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8F64A" w14:textId="7E02534C" w:rsidR="00D2523F" w:rsidRPr="00D2523F" w:rsidRDefault="00D2523F" w:rsidP="00D2523F">
      <w:pPr>
        <w:spacing w:after="0" w:line="276" w:lineRule="auto"/>
        <w:rPr>
          <w:rFonts w:eastAsia="Calibri" w:cs="Times New Roman"/>
          <w:b/>
        </w:rPr>
      </w:pPr>
      <w:r w:rsidRPr="003F26A1">
        <w:rPr>
          <w:rFonts w:eastAsia="Calibri" w:cs="Times New Roman"/>
          <w:b/>
          <w:bCs/>
          <w:noProof/>
        </w:rPr>
        <w:drawing>
          <wp:anchor distT="0" distB="0" distL="114300" distR="114300" simplePos="0" relativeHeight="251657216" behindDoc="0" locked="0" layoutInCell="1" allowOverlap="1" wp14:anchorId="03659E71" wp14:editId="6E577E7C">
            <wp:simplePos x="0" y="0"/>
            <wp:positionH relativeFrom="leftMargin">
              <wp:align>right</wp:align>
            </wp:positionH>
            <wp:positionV relativeFrom="paragraph">
              <wp:posOffset>-107950</wp:posOffset>
            </wp:positionV>
            <wp:extent cx="476250" cy="424815"/>
            <wp:effectExtent l="0" t="0" r="0" b="0"/>
            <wp:wrapNone/>
            <wp:docPr id="1811494035"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494035" name="Picture 1" descr="A black background with a black square&#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6250" cy="424815"/>
                    </a:xfrm>
                    <a:prstGeom prst="rect">
                      <a:avLst/>
                    </a:prstGeom>
                  </pic:spPr>
                </pic:pic>
              </a:graphicData>
            </a:graphic>
            <wp14:sizeRelH relativeFrom="margin">
              <wp14:pctWidth>0</wp14:pctWidth>
            </wp14:sizeRelH>
            <wp14:sizeRelV relativeFrom="margin">
              <wp14:pctHeight>0</wp14:pctHeight>
            </wp14:sizeRelV>
          </wp:anchor>
        </w:drawing>
      </w:r>
    </w:p>
    <w:p w14:paraId="04FD71B8" w14:textId="77777777" w:rsidR="00D2523F" w:rsidRPr="00D2523F" w:rsidRDefault="00D2523F" w:rsidP="00D2523F">
      <w:pPr>
        <w:spacing w:after="0" w:line="276" w:lineRule="auto"/>
        <w:jc w:val="center"/>
        <w:rPr>
          <w:rFonts w:eastAsia="Calibri" w:cs="Times New Roman"/>
          <w:b/>
        </w:rPr>
      </w:pPr>
      <w:r w:rsidRPr="00D2523F">
        <w:rPr>
          <w:rFonts w:eastAsia="Calibri" w:cs="Times New Roman"/>
          <w:b/>
        </w:rPr>
        <w:t>PROJECT NO. 57236</w:t>
      </w:r>
    </w:p>
    <w:p w14:paraId="0A0044A3" w14:textId="7388CA5E" w:rsidR="00D2523F" w:rsidRPr="00D2523F" w:rsidRDefault="00D2523F" w:rsidP="003F26A1">
      <w:pPr>
        <w:spacing w:after="0" w:line="276" w:lineRule="auto"/>
        <w:jc w:val="center"/>
        <w:rPr>
          <w:rFonts w:eastAsia="Calibri" w:cs="Times New Roman"/>
        </w:rPr>
      </w:pPr>
    </w:p>
    <w:tbl>
      <w:tblPr>
        <w:tblStyle w:val="TableGrid"/>
        <w:tblW w:w="0" w:type="auto"/>
        <w:tblBorders>
          <w:top w:val="single" w:sz="4" w:space="0" w:color="FEFFFF"/>
          <w:left w:val="single" w:sz="4" w:space="0" w:color="FEFFFF"/>
          <w:bottom w:val="single" w:sz="4" w:space="0" w:color="FEFFFF"/>
          <w:right w:val="single" w:sz="4" w:space="0" w:color="FEFFFF"/>
          <w:insideH w:val="single" w:sz="4" w:space="0" w:color="FEFFFF"/>
          <w:insideV w:val="single" w:sz="4" w:space="0" w:color="FEFFFF"/>
        </w:tblBorders>
        <w:tblLook w:val="04A0" w:firstRow="1" w:lastRow="0" w:firstColumn="1" w:lastColumn="0" w:noHBand="0" w:noVBand="1"/>
      </w:tblPr>
      <w:tblGrid>
        <w:gridCol w:w="4352"/>
        <w:gridCol w:w="673"/>
        <w:gridCol w:w="4325"/>
      </w:tblGrid>
      <w:tr w:rsidR="00D2523F" w:rsidRPr="00D2523F" w14:paraId="3CEE6A9F" w14:textId="77777777" w:rsidTr="00D2523F">
        <w:trPr>
          <w:trHeight w:val="899"/>
        </w:trPr>
        <w:tc>
          <w:tcPr>
            <w:tcW w:w="4352" w:type="dxa"/>
            <w:vAlign w:val="center"/>
          </w:tcPr>
          <w:p w14:paraId="4755DBCF" w14:textId="29B0ACEB" w:rsidR="00D2523F" w:rsidRPr="00D2523F" w:rsidRDefault="00D2523F" w:rsidP="003F26A1">
            <w:pPr>
              <w:spacing w:line="276" w:lineRule="auto"/>
              <w:jc w:val="center"/>
              <w:rPr>
                <w:rFonts w:eastAsia="Calibri" w:cs="Times New Roman"/>
                <w:b/>
                <w:bCs/>
                <w:sz w:val="22"/>
                <w:szCs w:val="22"/>
              </w:rPr>
            </w:pPr>
            <w:r w:rsidRPr="00D2523F">
              <w:rPr>
                <w:rFonts w:eastAsia="Calibri" w:cs="Times New Roman"/>
                <w:b/>
                <w:bCs/>
                <w:sz w:val="22"/>
                <w:szCs w:val="22"/>
              </w:rPr>
              <w:t xml:space="preserve">PROJECT TO DEVELOP </w:t>
            </w:r>
            <w:proofErr w:type="gramStart"/>
            <w:r w:rsidRPr="00D2523F">
              <w:rPr>
                <w:rFonts w:eastAsia="Calibri" w:cs="Times New Roman"/>
                <w:b/>
                <w:bCs/>
                <w:sz w:val="22"/>
                <w:szCs w:val="22"/>
              </w:rPr>
              <w:t>THE TEXAS</w:t>
            </w:r>
            <w:proofErr w:type="gramEnd"/>
          </w:p>
          <w:p w14:paraId="43DE6FB0" w14:textId="77777777" w:rsidR="00D2523F" w:rsidRPr="00D2523F" w:rsidRDefault="00D2523F" w:rsidP="003F26A1">
            <w:pPr>
              <w:spacing w:line="276" w:lineRule="auto"/>
              <w:jc w:val="center"/>
              <w:rPr>
                <w:rFonts w:eastAsia="Calibri" w:cs="Times New Roman"/>
                <w:b/>
                <w:bCs/>
                <w:sz w:val="22"/>
                <w:szCs w:val="22"/>
              </w:rPr>
            </w:pPr>
            <w:r w:rsidRPr="00D2523F">
              <w:rPr>
                <w:rFonts w:eastAsia="Calibri" w:cs="Times New Roman"/>
                <w:b/>
                <w:bCs/>
                <w:sz w:val="22"/>
                <w:szCs w:val="22"/>
              </w:rPr>
              <w:t>BACKUP POWER PACKAGE PROGRAM</w:t>
            </w:r>
          </w:p>
        </w:tc>
        <w:tc>
          <w:tcPr>
            <w:tcW w:w="673" w:type="dxa"/>
            <w:vAlign w:val="center"/>
          </w:tcPr>
          <w:p w14:paraId="476F8476" w14:textId="77777777" w:rsidR="00D2523F" w:rsidRPr="00D2523F" w:rsidRDefault="00D2523F" w:rsidP="003F26A1">
            <w:pPr>
              <w:spacing w:line="276" w:lineRule="auto"/>
              <w:jc w:val="center"/>
              <w:rPr>
                <w:rFonts w:eastAsia="Calibri" w:cs="Times New Roman"/>
                <w:b/>
                <w:bCs/>
                <w:sz w:val="22"/>
                <w:szCs w:val="22"/>
              </w:rPr>
            </w:pPr>
            <w:r w:rsidRPr="00D2523F">
              <w:rPr>
                <w:rFonts w:eastAsia="Calibri" w:cs="Times New Roman"/>
                <w:b/>
                <w:bCs/>
                <w:sz w:val="22"/>
                <w:szCs w:val="22"/>
              </w:rPr>
              <w:t>§</w:t>
            </w:r>
          </w:p>
          <w:p w14:paraId="1C396E53" w14:textId="77777777" w:rsidR="00D2523F" w:rsidRPr="00D2523F" w:rsidRDefault="00D2523F" w:rsidP="003F26A1">
            <w:pPr>
              <w:spacing w:line="276" w:lineRule="auto"/>
              <w:jc w:val="center"/>
              <w:rPr>
                <w:rFonts w:eastAsia="Calibri" w:cs="Times New Roman"/>
                <w:b/>
                <w:bCs/>
                <w:sz w:val="22"/>
                <w:szCs w:val="22"/>
              </w:rPr>
            </w:pPr>
            <w:r w:rsidRPr="00D2523F">
              <w:rPr>
                <w:rFonts w:eastAsia="Calibri" w:cs="Times New Roman"/>
                <w:b/>
                <w:bCs/>
                <w:sz w:val="22"/>
                <w:szCs w:val="22"/>
              </w:rPr>
              <w:t>§</w:t>
            </w:r>
          </w:p>
          <w:p w14:paraId="624A1641" w14:textId="77777777" w:rsidR="00D2523F" w:rsidRPr="00D2523F" w:rsidRDefault="00D2523F" w:rsidP="003F26A1">
            <w:pPr>
              <w:spacing w:line="276" w:lineRule="auto"/>
              <w:jc w:val="center"/>
              <w:rPr>
                <w:rFonts w:eastAsia="Calibri" w:cs="Times New Roman"/>
                <w:sz w:val="22"/>
                <w:szCs w:val="22"/>
              </w:rPr>
            </w:pPr>
            <w:r w:rsidRPr="00D2523F">
              <w:rPr>
                <w:rFonts w:eastAsia="Calibri" w:cs="Times New Roman"/>
                <w:b/>
                <w:bCs/>
                <w:sz w:val="22"/>
                <w:szCs w:val="22"/>
              </w:rPr>
              <w:t>§</w:t>
            </w:r>
          </w:p>
        </w:tc>
        <w:tc>
          <w:tcPr>
            <w:tcW w:w="4325" w:type="dxa"/>
            <w:vAlign w:val="center"/>
          </w:tcPr>
          <w:p w14:paraId="4F44ACFB" w14:textId="77777777" w:rsidR="00D2523F" w:rsidRPr="00D2523F" w:rsidRDefault="00D2523F" w:rsidP="003F26A1">
            <w:pPr>
              <w:spacing w:line="276" w:lineRule="auto"/>
              <w:jc w:val="center"/>
              <w:rPr>
                <w:rFonts w:eastAsia="Calibri" w:cs="Times New Roman"/>
                <w:b/>
                <w:bCs/>
                <w:sz w:val="22"/>
                <w:szCs w:val="22"/>
              </w:rPr>
            </w:pPr>
            <w:r w:rsidRPr="00D2523F">
              <w:rPr>
                <w:rFonts w:eastAsia="Calibri" w:cs="Times New Roman"/>
                <w:b/>
                <w:bCs/>
                <w:sz w:val="22"/>
                <w:szCs w:val="22"/>
              </w:rPr>
              <w:t>PUBLIC UTILITY COMMISSION</w:t>
            </w:r>
          </w:p>
          <w:p w14:paraId="18ACEC35" w14:textId="77777777" w:rsidR="00D2523F" w:rsidRPr="00D2523F" w:rsidRDefault="00D2523F" w:rsidP="003F26A1">
            <w:pPr>
              <w:spacing w:line="276" w:lineRule="auto"/>
              <w:jc w:val="center"/>
              <w:rPr>
                <w:rFonts w:eastAsia="Calibri" w:cs="Times New Roman"/>
                <w:sz w:val="22"/>
                <w:szCs w:val="22"/>
              </w:rPr>
            </w:pPr>
            <w:r w:rsidRPr="00D2523F">
              <w:rPr>
                <w:rFonts w:eastAsia="Calibri" w:cs="Times New Roman"/>
                <w:b/>
                <w:bCs/>
                <w:sz w:val="22"/>
                <w:szCs w:val="22"/>
              </w:rPr>
              <w:t>OF TEXAS</w:t>
            </w:r>
          </w:p>
        </w:tc>
      </w:tr>
    </w:tbl>
    <w:p w14:paraId="217D2689" w14:textId="2713FB01" w:rsidR="00D2523F" w:rsidRPr="00D2523F" w:rsidRDefault="00D2523F" w:rsidP="00D2523F">
      <w:pPr>
        <w:spacing w:after="0" w:line="276" w:lineRule="auto"/>
        <w:jc w:val="center"/>
        <w:rPr>
          <w:rFonts w:eastAsia="Calibri" w:cs="Times New Roman"/>
          <w:b/>
          <w:bCs/>
        </w:rPr>
      </w:pPr>
    </w:p>
    <w:p w14:paraId="593C2844" w14:textId="6D26A12E" w:rsidR="00D2523F" w:rsidRPr="00D2523F" w:rsidRDefault="00D2523F" w:rsidP="00D2523F">
      <w:pPr>
        <w:spacing w:after="0" w:line="276" w:lineRule="auto"/>
        <w:jc w:val="center"/>
        <w:rPr>
          <w:rFonts w:eastAsia="Calibri" w:cs="Times New Roman"/>
          <w:b/>
          <w:bCs/>
        </w:rPr>
      </w:pPr>
      <w:r w:rsidRPr="00D2523F">
        <w:rPr>
          <w:rFonts w:eastAsia="Calibri" w:cs="Times New Roman"/>
          <w:b/>
          <w:bCs/>
        </w:rPr>
        <w:t xml:space="preserve">COMMENTS OF TEXAS </w:t>
      </w:r>
      <w:r w:rsidRPr="003F26A1">
        <w:rPr>
          <w:rFonts w:eastAsia="Calibri" w:cs="Times New Roman"/>
          <w:b/>
          <w:bCs/>
        </w:rPr>
        <w:t>ELECTRIC SCHOOL BUS PROJECT</w:t>
      </w:r>
    </w:p>
    <w:p w14:paraId="1560F320" w14:textId="77777777" w:rsidR="00D2523F" w:rsidRPr="003F26A1" w:rsidRDefault="00D2523F" w:rsidP="00E0208A"/>
    <w:p w14:paraId="7DFF3435" w14:textId="5DF183FA" w:rsidR="00E0208A" w:rsidRPr="00E0208A" w:rsidRDefault="00E0208A" w:rsidP="003F26A1">
      <w:pPr>
        <w:ind w:right="-180"/>
      </w:pPr>
      <w:r w:rsidRPr="00E0208A">
        <w:t>The Texas Electric School Bus Project (TESBP) greatly appreciates the opportunity to provide comments on the Texas Backup Power Package (TBPP) program. TESBP</w:t>
      </w:r>
      <w:r w:rsidRPr="003F26A1">
        <w:t>, and our members,</w:t>
      </w:r>
      <w:r w:rsidRPr="00E0208A">
        <w:t xml:space="preserve"> strongly advocate for the integration of Electric School Buses (ESBs) as a cost-effective, flexible, and scalable solution to bolster backup power capabilities for critical facilities across Texas.</w:t>
      </w:r>
    </w:p>
    <w:p w14:paraId="325D4325" w14:textId="7BFC7117" w:rsidR="00E0208A" w:rsidRPr="003F26A1" w:rsidRDefault="00E0208A" w:rsidP="00E0208A">
      <w:r w:rsidRPr="00E0208A">
        <w:t>The Patrick Engineering final report establishes a framework; however, targeted refinements are crucial for successful implementation. This document addresses key technical, operational, and economic concerns—from feasibility and ownership models to cost barriers and interconnection challenges. By implementing these comprehensive recommendations, the TBPP can become a transformational resilience solution for Texas communities.</w:t>
      </w:r>
    </w:p>
    <w:p w14:paraId="47A9A5E4" w14:textId="019D4BE0" w:rsidR="00C051A6" w:rsidRPr="00E0208A" w:rsidRDefault="00C051A6" w:rsidP="00E0208A">
      <w:pPr>
        <w:rPr>
          <w:b/>
          <w:bCs/>
          <w:u w:val="single"/>
        </w:rPr>
      </w:pPr>
      <w:r w:rsidRPr="003F26A1">
        <w:rPr>
          <w:b/>
          <w:bCs/>
          <w:u w:val="single"/>
        </w:rPr>
        <w:t>Questions</w:t>
      </w:r>
    </w:p>
    <w:p w14:paraId="3EE5A008" w14:textId="77777777" w:rsidR="00E0208A" w:rsidRPr="00E0208A" w:rsidRDefault="00E0208A" w:rsidP="00E0208A">
      <w:pPr>
        <w:rPr>
          <w:b/>
          <w:bCs/>
        </w:rPr>
      </w:pPr>
      <w:r w:rsidRPr="00E0208A">
        <w:rPr>
          <w:b/>
          <w:bCs/>
        </w:rPr>
        <w:t>1. Impact of TBPP Specifications on Critical Facilities</w:t>
      </w:r>
    </w:p>
    <w:p w14:paraId="1412B691" w14:textId="545F3153" w:rsidR="009A4859" w:rsidRPr="000E7108" w:rsidRDefault="00E0208A" w:rsidP="000E7108">
      <w:pPr>
        <w:rPr>
          <w:b/>
          <w:bCs/>
        </w:rPr>
      </w:pPr>
      <w:r w:rsidRPr="00E0208A">
        <w:rPr>
          <w:b/>
          <w:bCs/>
        </w:rPr>
        <w:t>1A. How could TBPP specifications affect critical facilities’ ability to apply, install, or utilize TBPPs?</w:t>
      </w:r>
    </w:p>
    <w:p w14:paraId="503C98A0" w14:textId="3143E0C5" w:rsidR="00E0208A" w:rsidRPr="00E0208A" w:rsidRDefault="00E0208A" w:rsidP="00E0208A">
      <w:pPr>
        <w:numPr>
          <w:ilvl w:val="0"/>
          <w:numId w:val="11"/>
        </w:numPr>
      </w:pPr>
      <w:r w:rsidRPr="00E0208A">
        <w:rPr>
          <w:b/>
          <w:bCs/>
        </w:rPr>
        <w:t>Opportunity</w:t>
      </w:r>
      <w:r w:rsidRPr="00E0208A">
        <w:t>: ESBs can serve as mobile energy storage under Vehicle-to-Grid (V2G) and Vehicle-to-Building (V2B) technology.</w:t>
      </w:r>
    </w:p>
    <w:p w14:paraId="3FB80C90" w14:textId="3EEB3A90" w:rsidR="00E0208A" w:rsidRPr="00E0208A" w:rsidRDefault="00E0208A" w:rsidP="00E0208A">
      <w:pPr>
        <w:numPr>
          <w:ilvl w:val="0"/>
          <w:numId w:val="11"/>
        </w:numPr>
      </w:pPr>
      <w:r w:rsidRPr="00E0208A">
        <w:rPr>
          <w:b/>
          <w:bCs/>
        </w:rPr>
        <w:t>Challenge</w:t>
      </w:r>
      <w:r w:rsidRPr="00E0208A">
        <w:t xml:space="preserve">: The current TBPP design only </w:t>
      </w:r>
      <w:r w:rsidR="00027DA4">
        <w:t xml:space="preserve">(partially) </w:t>
      </w:r>
      <w:r w:rsidRPr="00E0208A">
        <w:t>covers infrastructure for bidirectional charging, not the procurement of ESBs themselves. This limits incentives for school districts that have yet to adopt ESBs.</w:t>
      </w:r>
      <w:r w:rsidR="00400A6C">
        <w:t xml:space="preserve"> </w:t>
      </w:r>
    </w:p>
    <w:p w14:paraId="46761B7C" w14:textId="33E6BBDD" w:rsidR="0071636C" w:rsidRPr="00E0208A" w:rsidRDefault="00E0208A" w:rsidP="003E4560">
      <w:pPr>
        <w:numPr>
          <w:ilvl w:val="0"/>
          <w:numId w:val="11"/>
        </w:numPr>
      </w:pPr>
      <w:r w:rsidRPr="00E0208A">
        <w:rPr>
          <w:b/>
          <w:bCs/>
        </w:rPr>
        <w:t>48-hour Operational Barrier</w:t>
      </w:r>
      <w:r w:rsidRPr="00E0208A">
        <w:t>: Maintaining 48 hours of power typically requires multiple ESBs on-site, each with a high state of charge.</w:t>
      </w:r>
      <w:r w:rsidR="0071636C">
        <w:t xml:space="preserve"> ESBs should be paired with stationary batteries and solar PV to extend operating capacity.</w:t>
      </w:r>
      <w:r w:rsidR="00E57DDE">
        <w:t xml:space="preserve"> </w:t>
      </w:r>
      <w:r w:rsidR="0071636C">
        <w:t>ESBs can cycle in and out of service to maintain continuous power.</w:t>
      </w:r>
      <w:r w:rsidR="00E57DDE">
        <w:t xml:space="preserve"> </w:t>
      </w:r>
      <w:r w:rsidR="0071636C">
        <w:t>Establish a policy requiring designated ESBs to maintain ≥80% state of charge for emergency readiness</w:t>
      </w:r>
      <w:r w:rsidR="003E4560">
        <w:t>.</w:t>
      </w:r>
    </w:p>
    <w:p w14:paraId="70A79BEE" w14:textId="77777777" w:rsidR="00E0208A" w:rsidRPr="00E0208A" w:rsidRDefault="00E0208A" w:rsidP="00E0208A">
      <w:r w:rsidRPr="00E0208A">
        <w:rPr>
          <w:b/>
          <w:bCs/>
        </w:rPr>
        <w:t>Recommendations</w:t>
      </w:r>
      <w:r w:rsidRPr="00E0208A">
        <w:t>:</w:t>
      </w:r>
    </w:p>
    <w:p w14:paraId="6915F10B" w14:textId="77777777" w:rsidR="00E0208A" w:rsidRPr="00E0208A" w:rsidRDefault="00E0208A" w:rsidP="00E0208A">
      <w:pPr>
        <w:numPr>
          <w:ilvl w:val="0"/>
          <w:numId w:val="12"/>
        </w:numPr>
      </w:pPr>
      <w:r w:rsidRPr="00E0208A">
        <w:rPr>
          <w:b/>
          <w:bCs/>
        </w:rPr>
        <w:t>Expand Funding Incentives</w:t>
      </w:r>
    </w:p>
    <w:p w14:paraId="1F9C83ED" w14:textId="6C2BCB8C" w:rsidR="00E0208A" w:rsidRPr="00E0208A" w:rsidRDefault="00E0208A" w:rsidP="00D2523F">
      <w:pPr>
        <w:numPr>
          <w:ilvl w:val="1"/>
          <w:numId w:val="12"/>
        </w:numPr>
      </w:pPr>
      <w:r w:rsidRPr="00E0208A">
        <w:t>Provide direct funding for ESB</w:t>
      </w:r>
      <w:r w:rsidRPr="003F26A1">
        <w:t xml:space="preserve"> (or ESB battery)</w:t>
      </w:r>
      <w:r w:rsidRPr="00E0208A">
        <w:t xml:space="preserve"> procurement,</w:t>
      </w:r>
      <w:r w:rsidR="00083D5D">
        <w:t xml:space="preserve"> mirroring stationary </w:t>
      </w:r>
      <w:r w:rsidR="002D4796">
        <w:t>storage incentive models,</w:t>
      </w:r>
      <w:r w:rsidRPr="00E0208A">
        <w:t xml:space="preserve"> alongside charging infrastructure.</w:t>
      </w:r>
      <w:r w:rsidR="00D2523F" w:rsidRPr="003F26A1">
        <w:t xml:space="preserve"> </w:t>
      </w:r>
      <w:r w:rsidRPr="00E0208A">
        <w:t>School districts face high upfront costs; ensuring bus purchase support will accelerate participation and availability.</w:t>
      </w:r>
    </w:p>
    <w:p w14:paraId="527DE49A" w14:textId="77777777" w:rsidR="00E0208A" w:rsidRPr="00E0208A" w:rsidRDefault="00E0208A" w:rsidP="00E0208A">
      <w:pPr>
        <w:numPr>
          <w:ilvl w:val="0"/>
          <w:numId w:val="12"/>
        </w:numPr>
      </w:pPr>
      <w:r w:rsidRPr="00E0208A">
        <w:rPr>
          <w:b/>
          <w:bCs/>
        </w:rPr>
        <w:t>Alternative Sizing Solutions</w:t>
      </w:r>
    </w:p>
    <w:p w14:paraId="1FA8E126" w14:textId="258F367F" w:rsidR="00E0208A" w:rsidRPr="00E0208A" w:rsidRDefault="00E0208A" w:rsidP="00D2523F">
      <w:pPr>
        <w:numPr>
          <w:ilvl w:val="1"/>
          <w:numId w:val="12"/>
        </w:numPr>
      </w:pPr>
      <w:r w:rsidRPr="00E0208A">
        <w:lastRenderedPageBreak/>
        <w:t>Allow modular system sizes to fit smaller or space-constrained facilities. A “one-size-fits-all” package risks excluding many facilities.</w:t>
      </w:r>
    </w:p>
    <w:p w14:paraId="2CD23816" w14:textId="77777777" w:rsidR="00E0208A" w:rsidRPr="00E0208A" w:rsidRDefault="00E0208A" w:rsidP="00E0208A">
      <w:pPr>
        <w:numPr>
          <w:ilvl w:val="0"/>
          <w:numId w:val="12"/>
        </w:numPr>
      </w:pPr>
      <w:r w:rsidRPr="00E0208A">
        <w:rPr>
          <w:b/>
          <w:bCs/>
        </w:rPr>
        <w:t>Hybrid Backup Systems</w:t>
      </w:r>
    </w:p>
    <w:p w14:paraId="627FD004" w14:textId="77777777" w:rsidR="00F5575C" w:rsidRDefault="00E0208A" w:rsidP="00F5575C">
      <w:pPr>
        <w:numPr>
          <w:ilvl w:val="1"/>
          <w:numId w:val="12"/>
        </w:numPr>
      </w:pPr>
      <w:r w:rsidRPr="00E0208A">
        <w:t>Encourage pairing ESBs with permanent battery storage to extend runtimes</w:t>
      </w:r>
      <w:r w:rsidR="00D2523F" w:rsidRPr="003F26A1">
        <w:t>.</w:t>
      </w:r>
      <w:r w:rsidRPr="00E0208A">
        <w:t xml:space="preserve"> Ensures that the 48-hour requirement can be met even if ESBs are deployed intermittently.</w:t>
      </w:r>
    </w:p>
    <w:p w14:paraId="73A9F920" w14:textId="77777777" w:rsidR="00420B35" w:rsidRPr="00420B35" w:rsidRDefault="00F5575C" w:rsidP="00420B35">
      <w:pPr>
        <w:pStyle w:val="ListParagraph"/>
        <w:numPr>
          <w:ilvl w:val="0"/>
          <w:numId w:val="12"/>
        </w:numPr>
      </w:pPr>
      <w:r w:rsidRPr="00F5575C">
        <w:rPr>
          <w:b/>
          <w:bCs/>
        </w:rPr>
        <w:t>Resilience-as-a-Service (RaaS) Model</w:t>
      </w:r>
    </w:p>
    <w:p w14:paraId="40FA0378" w14:textId="77777777" w:rsidR="00EE1240" w:rsidRDefault="00EE1240" w:rsidP="00EE1240">
      <w:pPr>
        <w:pStyle w:val="ListParagraph"/>
        <w:ind w:left="1440"/>
      </w:pPr>
    </w:p>
    <w:p w14:paraId="3EE795D3" w14:textId="47346B02" w:rsidR="00F5575C" w:rsidRPr="00EC558E" w:rsidRDefault="00F5575C" w:rsidP="00420B35">
      <w:pPr>
        <w:pStyle w:val="ListParagraph"/>
        <w:numPr>
          <w:ilvl w:val="0"/>
          <w:numId w:val="28"/>
        </w:numPr>
      </w:pPr>
      <w:r w:rsidRPr="00EC558E">
        <w:t>Public-private partnerships can</w:t>
      </w:r>
      <w:r w:rsidRPr="00EE1240">
        <w:t xml:space="preserve"> lower upfront costs </w:t>
      </w:r>
      <w:r w:rsidRPr="00EC558E">
        <w:t>through subscription-based ESB backup services.</w:t>
      </w:r>
    </w:p>
    <w:p w14:paraId="427166EC" w14:textId="77777777" w:rsidR="00F5575C" w:rsidRPr="00E0208A" w:rsidRDefault="00F5575C" w:rsidP="00F5575C"/>
    <w:p w14:paraId="42275203" w14:textId="77777777" w:rsidR="00E0208A" w:rsidRPr="00E0208A" w:rsidRDefault="00E0208A" w:rsidP="00E0208A">
      <w:pPr>
        <w:rPr>
          <w:b/>
          <w:bCs/>
        </w:rPr>
      </w:pPr>
      <w:r w:rsidRPr="00E0208A">
        <w:rPr>
          <w:b/>
          <w:bCs/>
        </w:rPr>
        <w:t xml:space="preserve">1B. How should specifications be modified to ensure packages can serve </w:t>
      </w:r>
      <w:proofErr w:type="gramStart"/>
      <w:r w:rsidRPr="00E0208A">
        <w:rPr>
          <w:b/>
          <w:bCs/>
        </w:rPr>
        <w:t>most</w:t>
      </w:r>
      <w:proofErr w:type="gramEnd"/>
      <w:r w:rsidRPr="00E0208A">
        <w:rPr>
          <w:b/>
          <w:bCs/>
        </w:rPr>
        <w:t xml:space="preserve"> critical facilities?</w:t>
      </w:r>
    </w:p>
    <w:p w14:paraId="798213EE" w14:textId="77777777" w:rsidR="00E0208A" w:rsidRPr="00E0208A" w:rsidRDefault="00E0208A" w:rsidP="00E0208A">
      <w:pPr>
        <w:numPr>
          <w:ilvl w:val="0"/>
          <w:numId w:val="13"/>
        </w:numPr>
      </w:pPr>
      <w:r w:rsidRPr="00E0208A">
        <w:rPr>
          <w:b/>
          <w:bCs/>
        </w:rPr>
        <w:t>Tiered Funding Model</w:t>
      </w:r>
      <w:r w:rsidRPr="00E0208A">
        <w:t>:</w:t>
      </w:r>
    </w:p>
    <w:p w14:paraId="61E4D5E1" w14:textId="02AD6A57" w:rsidR="00E0208A" w:rsidRPr="00E0208A" w:rsidRDefault="00E0208A" w:rsidP="00D65B8D">
      <w:pPr>
        <w:numPr>
          <w:ilvl w:val="1"/>
          <w:numId w:val="13"/>
        </w:numPr>
      </w:pPr>
      <w:r w:rsidRPr="00E0208A">
        <w:t>Adopt a sliding-scale approach where facilities</w:t>
      </w:r>
      <w:r w:rsidR="00D2523F" w:rsidRPr="003F26A1">
        <w:t xml:space="preserve"> (or communities)</w:t>
      </w:r>
      <w:r w:rsidRPr="00E0208A">
        <w:t xml:space="preserve"> with existing ESB fleets receive different support levels compared to those that need initial ESB procurement.</w:t>
      </w:r>
    </w:p>
    <w:p w14:paraId="22EDF607" w14:textId="77777777" w:rsidR="00E0208A" w:rsidRPr="00E0208A" w:rsidRDefault="00E0208A" w:rsidP="00E0208A">
      <w:pPr>
        <w:numPr>
          <w:ilvl w:val="0"/>
          <w:numId w:val="13"/>
        </w:numPr>
      </w:pPr>
      <w:r w:rsidRPr="00E0208A">
        <w:rPr>
          <w:b/>
          <w:bCs/>
        </w:rPr>
        <w:t>Emergency Deployment Strategy</w:t>
      </w:r>
      <w:r w:rsidRPr="00E0208A">
        <w:t>:</w:t>
      </w:r>
    </w:p>
    <w:p w14:paraId="1E04237E" w14:textId="77777777" w:rsidR="00E0208A" w:rsidRPr="00E0208A" w:rsidRDefault="00E0208A" w:rsidP="00E0208A">
      <w:pPr>
        <w:numPr>
          <w:ilvl w:val="1"/>
          <w:numId w:val="13"/>
        </w:numPr>
      </w:pPr>
      <w:r w:rsidRPr="00E0208A">
        <w:t xml:space="preserve">Create a </w:t>
      </w:r>
      <w:r w:rsidRPr="003D0828">
        <w:rPr>
          <w:b/>
          <w:bCs/>
          <w:i/>
          <w:iCs/>
        </w:rPr>
        <w:t>formal protocol</w:t>
      </w:r>
      <w:r w:rsidRPr="00E0208A">
        <w:t xml:space="preserve"> to allocate ESBs to high-priority sites in an emergency.</w:t>
      </w:r>
    </w:p>
    <w:p w14:paraId="1FD24E0D" w14:textId="054BDB9C" w:rsidR="00E0208A" w:rsidRPr="00E0208A" w:rsidRDefault="00E0208A" w:rsidP="00E0208A">
      <w:pPr>
        <w:numPr>
          <w:ilvl w:val="1"/>
          <w:numId w:val="13"/>
        </w:numPr>
      </w:pPr>
      <w:r w:rsidRPr="003F26A1">
        <w:rPr>
          <w:b/>
          <w:bCs/>
        </w:rPr>
        <w:t>Opportunity:</w:t>
      </w:r>
      <w:r w:rsidRPr="00E0208A">
        <w:t xml:space="preserve"> Implement a real-time fleet management system (in coordination with utilities) to dispatch ESBs where and when they are most needed.</w:t>
      </w:r>
    </w:p>
    <w:p w14:paraId="620901D1" w14:textId="3408EFDE" w:rsidR="00E0208A" w:rsidRPr="00E0208A" w:rsidRDefault="00E0208A" w:rsidP="00E0208A"/>
    <w:p w14:paraId="0E979881" w14:textId="77777777" w:rsidR="00E0208A" w:rsidRPr="00E0208A" w:rsidRDefault="00E0208A" w:rsidP="00E0208A">
      <w:pPr>
        <w:rPr>
          <w:b/>
          <w:bCs/>
        </w:rPr>
      </w:pPr>
      <w:r w:rsidRPr="00E0208A">
        <w:rPr>
          <w:b/>
          <w:bCs/>
        </w:rPr>
        <w:t>2. Vendors and Implementation Challenges</w:t>
      </w:r>
    </w:p>
    <w:p w14:paraId="68C23DB7" w14:textId="77777777" w:rsidR="00E0208A" w:rsidRPr="00E0208A" w:rsidRDefault="00E0208A" w:rsidP="00E0208A">
      <w:pPr>
        <w:rPr>
          <w:b/>
          <w:bCs/>
        </w:rPr>
      </w:pPr>
      <w:r w:rsidRPr="00E0208A">
        <w:rPr>
          <w:b/>
          <w:bCs/>
        </w:rPr>
        <w:t>2A. Factors Affecting Vendor Participation</w:t>
      </w:r>
    </w:p>
    <w:p w14:paraId="7EC67FCD" w14:textId="54782D67" w:rsidR="00E0208A" w:rsidRPr="00E0208A" w:rsidRDefault="00E0208A" w:rsidP="00E0208A">
      <w:pPr>
        <w:numPr>
          <w:ilvl w:val="0"/>
          <w:numId w:val="14"/>
        </w:numPr>
      </w:pPr>
      <w:r w:rsidRPr="00E0208A">
        <w:t>Limited Availability of bidirectional chargers compatible with ESBs</w:t>
      </w:r>
      <w:r w:rsidR="000255BE">
        <w:t xml:space="preserve"> </w:t>
      </w:r>
      <w:r w:rsidR="002679E8">
        <w:t>with the ability to “island”.</w:t>
      </w:r>
    </w:p>
    <w:p w14:paraId="2021D203" w14:textId="77777777" w:rsidR="00E0208A" w:rsidRPr="00E0208A" w:rsidRDefault="00E0208A" w:rsidP="00E0208A">
      <w:pPr>
        <w:numPr>
          <w:ilvl w:val="0"/>
          <w:numId w:val="14"/>
        </w:numPr>
      </w:pPr>
      <w:r w:rsidRPr="00E0208A">
        <w:t>Interoperability Issues among different bus manufacturers and charging systems.</w:t>
      </w:r>
    </w:p>
    <w:p w14:paraId="4C827E5A" w14:textId="77777777" w:rsidR="00E0208A" w:rsidRPr="00E0208A" w:rsidRDefault="00E0208A" w:rsidP="00E0208A">
      <w:pPr>
        <w:numPr>
          <w:ilvl w:val="0"/>
          <w:numId w:val="14"/>
        </w:numPr>
      </w:pPr>
      <w:r w:rsidRPr="00E0208A">
        <w:t>Skill Gaps: Many vendors lack experience in managing ESB-based microgrids.</w:t>
      </w:r>
    </w:p>
    <w:p w14:paraId="4536248D" w14:textId="77777777" w:rsidR="00E0208A" w:rsidRPr="00E0208A" w:rsidRDefault="00E0208A" w:rsidP="00E0208A">
      <w:pPr>
        <w:rPr>
          <w:b/>
          <w:bCs/>
        </w:rPr>
      </w:pPr>
      <w:r w:rsidRPr="00E0208A">
        <w:rPr>
          <w:b/>
          <w:bCs/>
        </w:rPr>
        <w:t>2B. Program Design to Maximize Vendor Participation</w:t>
      </w:r>
    </w:p>
    <w:p w14:paraId="4925179A" w14:textId="77777777" w:rsidR="00E0208A" w:rsidRPr="00E0208A" w:rsidRDefault="00E0208A" w:rsidP="00E0208A">
      <w:pPr>
        <w:numPr>
          <w:ilvl w:val="0"/>
          <w:numId w:val="15"/>
        </w:numPr>
      </w:pPr>
      <w:r w:rsidRPr="00E0208A">
        <w:rPr>
          <w:b/>
          <w:bCs/>
        </w:rPr>
        <w:t>Standardized Technical Specifications</w:t>
      </w:r>
    </w:p>
    <w:p w14:paraId="485757F9" w14:textId="464CA67F" w:rsidR="00E0208A" w:rsidRPr="00E0208A" w:rsidRDefault="00E0208A" w:rsidP="00E0208A">
      <w:pPr>
        <w:numPr>
          <w:ilvl w:val="1"/>
          <w:numId w:val="15"/>
        </w:numPr>
      </w:pPr>
      <w:r w:rsidRPr="00E0208A">
        <w:t>Establish clear, uniform standards to guarantee interoperability across manufacturers and chargers</w:t>
      </w:r>
      <w:r w:rsidRPr="003F26A1">
        <w:t xml:space="preserve"> to r</w:t>
      </w:r>
      <w:r w:rsidRPr="00E0208A">
        <w:t>educe market fragmentation and vendor confusion.</w:t>
      </w:r>
    </w:p>
    <w:p w14:paraId="59D6BE07" w14:textId="77777777" w:rsidR="00E0208A" w:rsidRPr="00E0208A" w:rsidRDefault="00E0208A" w:rsidP="00E0208A">
      <w:pPr>
        <w:numPr>
          <w:ilvl w:val="0"/>
          <w:numId w:val="15"/>
        </w:numPr>
      </w:pPr>
      <w:r w:rsidRPr="00E0208A">
        <w:rPr>
          <w:b/>
          <w:bCs/>
        </w:rPr>
        <w:t>Vendor Certification Programs</w:t>
      </w:r>
    </w:p>
    <w:p w14:paraId="56247226" w14:textId="3516B299" w:rsidR="00E0208A" w:rsidRPr="00E0208A" w:rsidRDefault="00E0208A" w:rsidP="00E0208A">
      <w:pPr>
        <w:numPr>
          <w:ilvl w:val="1"/>
          <w:numId w:val="15"/>
        </w:numPr>
      </w:pPr>
      <w:r w:rsidRPr="00E0208A">
        <w:t>Develop a specialized certification for ESB-centric microgrid solutions</w:t>
      </w:r>
      <w:r w:rsidRPr="003F26A1">
        <w:t xml:space="preserve"> to e</w:t>
      </w:r>
      <w:r w:rsidRPr="00E0208A">
        <w:t>nsure reliability and foster a pool of qualified service providers.</w:t>
      </w:r>
    </w:p>
    <w:p w14:paraId="4F3C126A" w14:textId="77777777" w:rsidR="00E0208A" w:rsidRPr="00E0208A" w:rsidRDefault="00E0208A" w:rsidP="00E0208A">
      <w:pPr>
        <w:numPr>
          <w:ilvl w:val="0"/>
          <w:numId w:val="15"/>
        </w:numPr>
      </w:pPr>
      <w:r w:rsidRPr="00E0208A">
        <w:rPr>
          <w:b/>
          <w:bCs/>
        </w:rPr>
        <w:lastRenderedPageBreak/>
        <w:t>Collaborative Ecosystem</w:t>
      </w:r>
    </w:p>
    <w:p w14:paraId="25985188" w14:textId="29420DE9" w:rsidR="00355B29" w:rsidRDefault="00E0208A" w:rsidP="00355B29">
      <w:pPr>
        <w:numPr>
          <w:ilvl w:val="1"/>
          <w:numId w:val="15"/>
        </w:numPr>
      </w:pPr>
      <w:r w:rsidRPr="00E0208A">
        <w:t>Encourage partnerships among school bus manufacturers, utilities, microgrid developers, and tech providers</w:t>
      </w:r>
      <w:r w:rsidRPr="003F26A1">
        <w:rPr>
          <w:b/>
          <w:bCs/>
        </w:rPr>
        <w:t>.</w:t>
      </w:r>
    </w:p>
    <w:p w14:paraId="06BA0B10" w14:textId="77777777" w:rsidR="0074217D" w:rsidRPr="00516141" w:rsidRDefault="0016386E" w:rsidP="00380F06">
      <w:pPr>
        <w:pStyle w:val="ListParagraph"/>
        <w:numPr>
          <w:ilvl w:val="0"/>
          <w:numId w:val="15"/>
        </w:numPr>
        <w:rPr>
          <w:b/>
          <w:bCs/>
        </w:rPr>
      </w:pPr>
      <w:r w:rsidRPr="00516141">
        <w:rPr>
          <w:b/>
          <w:bCs/>
        </w:rPr>
        <w:t>Regional ESB Testing Centers</w:t>
      </w:r>
    </w:p>
    <w:p w14:paraId="075FA479" w14:textId="77777777" w:rsidR="0074217D" w:rsidRDefault="0074217D" w:rsidP="0074217D">
      <w:pPr>
        <w:pStyle w:val="ListParagraph"/>
        <w:ind w:left="1440"/>
      </w:pPr>
    </w:p>
    <w:p w14:paraId="45AED570" w14:textId="1EB447C8" w:rsidR="00B3735B" w:rsidRDefault="00380F06" w:rsidP="00B3735B">
      <w:pPr>
        <w:pStyle w:val="ListParagraph"/>
        <w:numPr>
          <w:ilvl w:val="0"/>
          <w:numId w:val="28"/>
        </w:numPr>
      </w:pPr>
      <w:r w:rsidRPr="00516141">
        <w:t>State-supported facilities to verify charging interoperability before deployment.</w:t>
      </w:r>
    </w:p>
    <w:p w14:paraId="7A907EB9" w14:textId="77777777" w:rsidR="003964A9" w:rsidRDefault="003964A9" w:rsidP="003964A9">
      <w:pPr>
        <w:pStyle w:val="ListParagraph"/>
        <w:ind w:left="1440"/>
      </w:pPr>
    </w:p>
    <w:p w14:paraId="712F5911" w14:textId="77777777" w:rsidR="004D296D" w:rsidRPr="004D296D" w:rsidRDefault="003964A9" w:rsidP="003964A9">
      <w:pPr>
        <w:pStyle w:val="ListParagraph"/>
        <w:numPr>
          <w:ilvl w:val="0"/>
          <w:numId w:val="15"/>
        </w:numPr>
        <w:rPr>
          <w:b/>
          <w:bCs/>
        </w:rPr>
      </w:pPr>
      <w:r w:rsidRPr="004D296D">
        <w:rPr>
          <w:b/>
          <w:bCs/>
        </w:rPr>
        <w:t>Bulk Procurement Models</w:t>
      </w:r>
    </w:p>
    <w:p w14:paraId="7F73B036" w14:textId="77777777" w:rsidR="004D296D" w:rsidRDefault="004D296D" w:rsidP="004D296D">
      <w:pPr>
        <w:pStyle w:val="ListParagraph"/>
        <w:ind w:left="1440"/>
      </w:pPr>
    </w:p>
    <w:p w14:paraId="5E8B384B" w14:textId="0D5D35B5" w:rsidR="003964A9" w:rsidRPr="003964A9" w:rsidRDefault="003964A9" w:rsidP="004D296D">
      <w:pPr>
        <w:pStyle w:val="ListParagraph"/>
        <w:numPr>
          <w:ilvl w:val="0"/>
          <w:numId w:val="28"/>
        </w:numPr>
      </w:pPr>
      <w:r w:rsidRPr="003964A9">
        <w:t xml:space="preserve">TBPP </w:t>
      </w:r>
      <w:r w:rsidR="00FE76AE">
        <w:t xml:space="preserve">guidelines </w:t>
      </w:r>
      <w:r w:rsidRPr="003964A9">
        <w:t xml:space="preserve">should encourage statewide ESB and </w:t>
      </w:r>
      <w:proofErr w:type="gramStart"/>
      <w:r w:rsidRPr="003964A9">
        <w:t>charger</w:t>
      </w:r>
      <w:proofErr w:type="gramEnd"/>
      <w:r w:rsidRPr="003964A9">
        <w:t xml:space="preserve"> bulk purchasing agreements.</w:t>
      </w:r>
    </w:p>
    <w:p w14:paraId="7BC95F42" w14:textId="0D2C8FF1" w:rsidR="00B3735B" w:rsidRPr="00516141" w:rsidRDefault="00B3735B" w:rsidP="003964A9">
      <w:pPr>
        <w:pStyle w:val="ListParagraph"/>
      </w:pPr>
    </w:p>
    <w:p w14:paraId="26E32CA3" w14:textId="77777777" w:rsidR="00380F06" w:rsidRPr="003F26A1" w:rsidRDefault="00380F06" w:rsidP="0074217D">
      <w:pPr>
        <w:pStyle w:val="ListParagraph"/>
        <w:ind w:left="1440"/>
      </w:pPr>
    </w:p>
    <w:p w14:paraId="60804B19" w14:textId="55022BF5" w:rsidR="00E0208A" w:rsidRPr="003F26A1" w:rsidRDefault="00E0208A" w:rsidP="00D2523F">
      <w:r w:rsidRPr="003F26A1">
        <w:rPr>
          <w:b/>
          <w:bCs/>
          <w:u w:val="single"/>
        </w:rPr>
        <w:t>Technical Feasibility: Proposed 10 kWh Backup Battery Package for a Critical Facility</w:t>
      </w:r>
    </w:p>
    <w:p w14:paraId="550D1AEF" w14:textId="77777777" w:rsidR="00E0208A" w:rsidRPr="003F26A1" w:rsidRDefault="00E0208A" w:rsidP="00E0208A">
      <w:pPr>
        <w:pStyle w:val="ListParagraph"/>
        <w:rPr>
          <w:b/>
          <w:bCs/>
        </w:rPr>
      </w:pPr>
    </w:p>
    <w:p w14:paraId="34CDE6D5" w14:textId="77777777" w:rsidR="00E0208A" w:rsidRPr="00E0208A" w:rsidRDefault="00E0208A" w:rsidP="00E0208A">
      <w:pPr>
        <w:rPr>
          <w:b/>
          <w:bCs/>
        </w:rPr>
      </w:pPr>
      <w:r w:rsidRPr="00E0208A">
        <w:rPr>
          <w:b/>
          <w:bCs/>
        </w:rPr>
        <w:t>Hypothetical Critical Facility: Oakville Fire Station</w:t>
      </w:r>
    </w:p>
    <w:p w14:paraId="5A1D50AB" w14:textId="77777777" w:rsidR="00E0208A" w:rsidRPr="00E0208A" w:rsidRDefault="00E0208A" w:rsidP="00E0208A">
      <w:pPr>
        <w:numPr>
          <w:ilvl w:val="0"/>
          <w:numId w:val="16"/>
        </w:numPr>
      </w:pPr>
      <w:r w:rsidRPr="00E0208A">
        <w:rPr>
          <w:b/>
          <w:bCs/>
        </w:rPr>
        <w:t>Location</w:t>
      </w:r>
      <w:r w:rsidRPr="00E0208A">
        <w:t>: Rural Oakville, TX</w:t>
      </w:r>
    </w:p>
    <w:p w14:paraId="31ACA16A" w14:textId="77777777" w:rsidR="00E0208A" w:rsidRPr="00E0208A" w:rsidRDefault="00E0208A" w:rsidP="00E0208A">
      <w:pPr>
        <w:numPr>
          <w:ilvl w:val="0"/>
          <w:numId w:val="16"/>
        </w:numPr>
      </w:pPr>
      <w:r w:rsidRPr="00E0208A">
        <w:rPr>
          <w:b/>
          <w:bCs/>
        </w:rPr>
        <w:t>Function</w:t>
      </w:r>
      <w:r w:rsidRPr="00E0208A">
        <w:t>: Emergency response, medical aid, and severe weather shelter</w:t>
      </w:r>
    </w:p>
    <w:p w14:paraId="46B92B8F" w14:textId="77777777" w:rsidR="00E0208A" w:rsidRPr="00E0208A" w:rsidRDefault="00E0208A" w:rsidP="00E0208A">
      <w:pPr>
        <w:numPr>
          <w:ilvl w:val="0"/>
          <w:numId w:val="16"/>
        </w:numPr>
      </w:pPr>
      <w:r w:rsidRPr="00E0208A">
        <w:rPr>
          <w:b/>
          <w:bCs/>
        </w:rPr>
        <w:t>Load</w:t>
      </w:r>
      <w:r w:rsidRPr="00E0208A">
        <w:t>: 8 kW continuous demand</w:t>
      </w:r>
    </w:p>
    <w:p w14:paraId="48C8F4CD" w14:textId="77777777" w:rsidR="00E0208A" w:rsidRPr="00E0208A" w:rsidRDefault="00E0208A" w:rsidP="00E0208A">
      <w:pPr>
        <w:numPr>
          <w:ilvl w:val="0"/>
          <w:numId w:val="16"/>
        </w:numPr>
      </w:pPr>
      <w:r w:rsidRPr="00E0208A">
        <w:rPr>
          <w:b/>
          <w:bCs/>
        </w:rPr>
        <w:t>Backup Goal</w:t>
      </w:r>
      <w:r w:rsidRPr="00E0208A">
        <w:t>: 10 kWh stationary battery + ESBs for 48-hour operation</w:t>
      </w:r>
    </w:p>
    <w:p w14:paraId="60642CDE" w14:textId="77777777" w:rsidR="00E0208A" w:rsidRPr="00E0208A" w:rsidRDefault="00E0208A" w:rsidP="00E0208A">
      <w:pPr>
        <w:rPr>
          <w:b/>
          <w:bCs/>
        </w:rPr>
      </w:pPr>
      <w:r w:rsidRPr="00E0208A">
        <w:rPr>
          <w:b/>
          <w:bCs/>
        </w:rPr>
        <w:t>System Components</w:t>
      </w:r>
    </w:p>
    <w:p w14:paraId="7E1A3D07" w14:textId="77777777" w:rsidR="00E0208A" w:rsidRPr="00E0208A" w:rsidRDefault="00E0208A" w:rsidP="00E0208A">
      <w:pPr>
        <w:numPr>
          <w:ilvl w:val="0"/>
          <w:numId w:val="17"/>
        </w:numPr>
      </w:pPr>
      <w:r w:rsidRPr="00E0208A">
        <w:rPr>
          <w:b/>
          <w:bCs/>
        </w:rPr>
        <w:t>Battery Energy Storage System (BESS)</w:t>
      </w:r>
      <w:r w:rsidRPr="00E0208A">
        <w:t xml:space="preserve"> – 10 kWh capacity</w:t>
      </w:r>
    </w:p>
    <w:p w14:paraId="4FA42376" w14:textId="77777777" w:rsidR="00E0208A" w:rsidRPr="00E0208A" w:rsidRDefault="00E0208A" w:rsidP="00E0208A">
      <w:pPr>
        <w:numPr>
          <w:ilvl w:val="0"/>
          <w:numId w:val="17"/>
        </w:numPr>
      </w:pPr>
      <w:r w:rsidRPr="00E0208A">
        <w:rPr>
          <w:b/>
          <w:bCs/>
        </w:rPr>
        <w:t>Bidirectional Inverter/Charger</w:t>
      </w:r>
      <w:r w:rsidRPr="00E0208A">
        <w:t xml:space="preserve"> – </w:t>
      </w:r>
      <w:r w:rsidRPr="00E0208A">
        <w:rPr>
          <w:b/>
          <w:bCs/>
        </w:rPr>
        <w:t>ESB-ready</w:t>
      </w:r>
      <w:r w:rsidRPr="00E0208A">
        <w:t xml:space="preserve"> for V2G</w:t>
      </w:r>
    </w:p>
    <w:p w14:paraId="66F151B0" w14:textId="77777777" w:rsidR="00E0208A" w:rsidRPr="00E0208A" w:rsidRDefault="00E0208A" w:rsidP="00E0208A">
      <w:pPr>
        <w:numPr>
          <w:ilvl w:val="0"/>
          <w:numId w:val="17"/>
        </w:numPr>
      </w:pPr>
      <w:r w:rsidRPr="00E0208A">
        <w:rPr>
          <w:b/>
          <w:bCs/>
        </w:rPr>
        <w:t>Photovoltaic Solar Panels</w:t>
      </w:r>
      <w:r w:rsidRPr="00E0208A">
        <w:t xml:space="preserve"> – 5 kW capacity</w:t>
      </w:r>
    </w:p>
    <w:p w14:paraId="52D7B563" w14:textId="77777777" w:rsidR="00E0208A" w:rsidRPr="00E0208A" w:rsidRDefault="00E0208A" w:rsidP="00E0208A">
      <w:pPr>
        <w:numPr>
          <w:ilvl w:val="0"/>
          <w:numId w:val="17"/>
        </w:numPr>
      </w:pPr>
      <w:r w:rsidRPr="00E0208A">
        <w:rPr>
          <w:b/>
          <w:bCs/>
        </w:rPr>
        <w:t>Automatic Transfer Switch (ATS)</w:t>
      </w:r>
      <w:r w:rsidRPr="00E0208A">
        <w:t xml:space="preserve"> – Smooth grid disconnection/reconnection</w:t>
      </w:r>
    </w:p>
    <w:p w14:paraId="385678BF" w14:textId="77777777" w:rsidR="00E0208A" w:rsidRPr="00E0208A" w:rsidRDefault="00E0208A" w:rsidP="00E0208A">
      <w:pPr>
        <w:numPr>
          <w:ilvl w:val="0"/>
          <w:numId w:val="17"/>
        </w:numPr>
      </w:pPr>
      <w:r w:rsidRPr="00E0208A">
        <w:rPr>
          <w:b/>
          <w:bCs/>
        </w:rPr>
        <w:t>Monitoring System</w:t>
      </w:r>
      <w:r w:rsidRPr="00E0208A">
        <w:t xml:space="preserve"> – Real-time tracking of power flow and state of charge</w:t>
      </w:r>
    </w:p>
    <w:p w14:paraId="686312CC" w14:textId="77777777" w:rsidR="00E0208A" w:rsidRPr="00E0208A" w:rsidRDefault="00E0208A" w:rsidP="00E0208A">
      <w:pPr>
        <w:numPr>
          <w:ilvl w:val="0"/>
          <w:numId w:val="17"/>
        </w:numPr>
      </w:pPr>
      <w:r w:rsidRPr="00E0208A">
        <w:rPr>
          <w:b/>
          <w:bCs/>
        </w:rPr>
        <w:t>Electric School Buses (ESBs)</w:t>
      </w:r>
      <w:r w:rsidRPr="00E0208A">
        <w:t xml:space="preserve"> – Two ESBs with 150 kWh each, for extended outages</w:t>
      </w:r>
    </w:p>
    <w:p w14:paraId="3BD50D07" w14:textId="77777777" w:rsidR="00E0208A" w:rsidRPr="00E0208A" w:rsidRDefault="00E0208A" w:rsidP="00E0208A">
      <w:pPr>
        <w:rPr>
          <w:b/>
          <w:bCs/>
        </w:rPr>
      </w:pPr>
      <w:r w:rsidRPr="00E0208A">
        <w:rPr>
          <w:b/>
          <w:bCs/>
        </w:rPr>
        <w:t>Deployment Protocols</w:t>
      </w:r>
    </w:p>
    <w:p w14:paraId="7761951D" w14:textId="77777777" w:rsidR="00E0208A" w:rsidRPr="00E0208A" w:rsidRDefault="00E0208A" w:rsidP="00E0208A">
      <w:pPr>
        <w:numPr>
          <w:ilvl w:val="0"/>
          <w:numId w:val="18"/>
        </w:numPr>
      </w:pPr>
      <w:r w:rsidRPr="00E0208A">
        <w:rPr>
          <w:b/>
          <w:bCs/>
        </w:rPr>
        <w:t>Pre-Outage Planning</w:t>
      </w:r>
    </w:p>
    <w:p w14:paraId="75A275FD" w14:textId="77777777" w:rsidR="00E0208A" w:rsidRPr="00E0208A" w:rsidRDefault="00E0208A" w:rsidP="00E0208A">
      <w:pPr>
        <w:numPr>
          <w:ilvl w:val="1"/>
          <w:numId w:val="18"/>
        </w:numPr>
      </w:pPr>
      <w:r w:rsidRPr="00E0208A">
        <w:t xml:space="preserve">Maintain ESBs at </w:t>
      </w:r>
      <w:r w:rsidRPr="00E0208A">
        <w:rPr>
          <w:b/>
          <w:bCs/>
        </w:rPr>
        <w:t>≥80%</w:t>
      </w:r>
      <w:r w:rsidRPr="00E0208A">
        <w:t xml:space="preserve"> state of charge.</w:t>
      </w:r>
    </w:p>
    <w:p w14:paraId="74955FDF" w14:textId="77777777" w:rsidR="00E0208A" w:rsidRPr="00E0208A" w:rsidRDefault="00E0208A" w:rsidP="00E0208A">
      <w:pPr>
        <w:numPr>
          <w:ilvl w:val="1"/>
          <w:numId w:val="18"/>
        </w:numPr>
      </w:pPr>
      <w:r w:rsidRPr="00E0208A">
        <w:t>Coordinate with local utility for load forecasting and bus scheduling.</w:t>
      </w:r>
    </w:p>
    <w:p w14:paraId="218BDCAF" w14:textId="77777777" w:rsidR="00E0208A" w:rsidRPr="00E0208A" w:rsidRDefault="00E0208A" w:rsidP="00E0208A">
      <w:pPr>
        <w:numPr>
          <w:ilvl w:val="0"/>
          <w:numId w:val="18"/>
        </w:numPr>
      </w:pPr>
      <w:r w:rsidRPr="00E0208A">
        <w:rPr>
          <w:b/>
          <w:bCs/>
        </w:rPr>
        <w:t>During a Grid Outage</w:t>
      </w:r>
    </w:p>
    <w:p w14:paraId="0D9DE3FE" w14:textId="77777777" w:rsidR="00E0208A" w:rsidRPr="00E0208A" w:rsidRDefault="00E0208A" w:rsidP="00E0208A">
      <w:pPr>
        <w:numPr>
          <w:ilvl w:val="1"/>
          <w:numId w:val="18"/>
        </w:numPr>
      </w:pPr>
      <w:r w:rsidRPr="00E0208A">
        <w:rPr>
          <w:b/>
          <w:bCs/>
        </w:rPr>
        <w:t>Phase 1 (0-6 hours)</w:t>
      </w:r>
      <w:r w:rsidRPr="00E0208A">
        <w:t>: BESS covers immediate load.</w:t>
      </w:r>
    </w:p>
    <w:p w14:paraId="7D404682" w14:textId="77777777" w:rsidR="00E0208A" w:rsidRPr="00E0208A" w:rsidRDefault="00E0208A" w:rsidP="00E0208A">
      <w:pPr>
        <w:numPr>
          <w:ilvl w:val="1"/>
          <w:numId w:val="18"/>
        </w:numPr>
      </w:pPr>
      <w:r w:rsidRPr="00E0208A">
        <w:rPr>
          <w:b/>
          <w:bCs/>
        </w:rPr>
        <w:t>Phase 2 (6-24 hours)</w:t>
      </w:r>
      <w:r w:rsidRPr="00E0208A">
        <w:t>: Deploy first ESB (150 kWh).</w:t>
      </w:r>
    </w:p>
    <w:p w14:paraId="25DDF51F" w14:textId="77777777" w:rsidR="00E0208A" w:rsidRPr="00E0208A" w:rsidRDefault="00E0208A" w:rsidP="00E0208A">
      <w:pPr>
        <w:numPr>
          <w:ilvl w:val="1"/>
          <w:numId w:val="18"/>
        </w:numPr>
      </w:pPr>
      <w:r w:rsidRPr="00E0208A">
        <w:rPr>
          <w:b/>
          <w:bCs/>
        </w:rPr>
        <w:lastRenderedPageBreak/>
        <w:t>Phase 3 (24-48+ hours)</w:t>
      </w:r>
      <w:r w:rsidRPr="00E0208A">
        <w:t>: Deploy second ESB, ensuring continuous operation.</w:t>
      </w:r>
    </w:p>
    <w:p w14:paraId="4F115E88" w14:textId="77777777" w:rsidR="00E0208A" w:rsidRPr="00E0208A" w:rsidRDefault="00E0208A" w:rsidP="00E0208A">
      <w:pPr>
        <w:numPr>
          <w:ilvl w:val="0"/>
          <w:numId w:val="18"/>
        </w:numPr>
      </w:pPr>
      <w:r w:rsidRPr="00E0208A">
        <w:rPr>
          <w:b/>
          <w:bCs/>
        </w:rPr>
        <w:t>Post-Outage Recovery</w:t>
      </w:r>
    </w:p>
    <w:p w14:paraId="6864710E" w14:textId="77777777" w:rsidR="00E0208A" w:rsidRPr="00E0208A" w:rsidRDefault="00E0208A" w:rsidP="00E0208A">
      <w:pPr>
        <w:numPr>
          <w:ilvl w:val="1"/>
          <w:numId w:val="18"/>
        </w:numPr>
      </w:pPr>
      <w:r w:rsidRPr="00E0208A">
        <w:rPr>
          <w:b/>
          <w:bCs/>
        </w:rPr>
        <w:t>Gradual</w:t>
      </w:r>
      <w:r w:rsidRPr="00E0208A">
        <w:t xml:space="preserve"> recharge using solar and grid power.</w:t>
      </w:r>
    </w:p>
    <w:p w14:paraId="70520445" w14:textId="77777777" w:rsidR="00E0208A" w:rsidRPr="00E0208A" w:rsidRDefault="00E0208A" w:rsidP="00E0208A">
      <w:pPr>
        <w:numPr>
          <w:ilvl w:val="1"/>
          <w:numId w:val="18"/>
        </w:numPr>
      </w:pPr>
      <w:r w:rsidRPr="00E0208A">
        <w:rPr>
          <w:b/>
          <w:bCs/>
        </w:rPr>
        <w:t>Return</w:t>
      </w:r>
      <w:r w:rsidRPr="00E0208A">
        <w:t xml:space="preserve"> ESBs to school routes once grid reliability is restored.</w:t>
      </w:r>
    </w:p>
    <w:p w14:paraId="157AB146" w14:textId="77777777" w:rsidR="00E0208A" w:rsidRPr="00E0208A" w:rsidRDefault="00E0208A" w:rsidP="00E0208A">
      <w:pPr>
        <w:rPr>
          <w:b/>
          <w:bCs/>
        </w:rPr>
      </w:pPr>
      <w:r w:rsidRPr="00E0208A">
        <w:rPr>
          <w:b/>
          <w:bCs/>
        </w:rPr>
        <w:t>Additional Innovations</w:t>
      </w:r>
    </w:p>
    <w:p w14:paraId="1EEF749E" w14:textId="390EB63A" w:rsidR="00E0208A" w:rsidRPr="00E0208A" w:rsidRDefault="00E0208A" w:rsidP="00E0208A">
      <w:pPr>
        <w:numPr>
          <w:ilvl w:val="0"/>
          <w:numId w:val="19"/>
        </w:numPr>
      </w:pPr>
      <w:r w:rsidRPr="00E0208A">
        <w:rPr>
          <w:b/>
          <w:bCs/>
        </w:rPr>
        <w:t>Floating Fleet Approach</w:t>
      </w:r>
      <w:r w:rsidRPr="00E0208A">
        <w:t xml:space="preserve">: </w:t>
      </w:r>
      <w:r w:rsidR="00C051A6" w:rsidRPr="003F26A1">
        <w:t>C</w:t>
      </w:r>
      <w:r w:rsidRPr="00E0208A">
        <w:t xml:space="preserve">onsider rotating multiple ESBs </w:t>
      </w:r>
      <w:r w:rsidR="00C051A6" w:rsidRPr="003F26A1">
        <w:t>through the system to ensure continuous power without recharging the ESB batteries.</w:t>
      </w:r>
    </w:p>
    <w:p w14:paraId="63598EFD" w14:textId="77777777" w:rsidR="00E0208A" w:rsidRDefault="00E0208A" w:rsidP="00E0208A">
      <w:pPr>
        <w:numPr>
          <w:ilvl w:val="0"/>
          <w:numId w:val="19"/>
        </w:numPr>
      </w:pPr>
      <w:r w:rsidRPr="00E0208A">
        <w:rPr>
          <w:b/>
          <w:bCs/>
        </w:rPr>
        <w:t>Mobile Microgrid Units</w:t>
      </w:r>
      <w:r w:rsidRPr="00E0208A">
        <w:t xml:space="preserve">: Equip ESBs with portable distribution panels or </w:t>
      </w:r>
      <w:proofErr w:type="gramStart"/>
      <w:r w:rsidRPr="00E0208A">
        <w:t>mini inverters</w:t>
      </w:r>
      <w:proofErr w:type="gramEnd"/>
      <w:r w:rsidRPr="00E0208A">
        <w:t xml:space="preserve"> to power on-site emergency medical or communications equipment independently from the main building.</w:t>
      </w:r>
    </w:p>
    <w:p w14:paraId="4EDDF9AA" w14:textId="1B6A904C" w:rsidR="006D16E1" w:rsidRPr="00EC558E" w:rsidRDefault="006D16E1" w:rsidP="006D16E1">
      <w:pPr>
        <w:numPr>
          <w:ilvl w:val="0"/>
          <w:numId w:val="30"/>
        </w:numPr>
      </w:pPr>
      <w:r w:rsidRPr="00EC558E">
        <w:rPr>
          <w:b/>
          <w:bCs/>
        </w:rPr>
        <w:t>Multi-District ESB Agreements:</w:t>
      </w:r>
      <w:r w:rsidRPr="00EC558E">
        <w:t xml:space="preserve"> Schools within a region can pool resources for emergency backup</w:t>
      </w:r>
      <w:r w:rsidR="00473DA0">
        <w:t xml:space="preserve"> solutions.</w:t>
      </w:r>
    </w:p>
    <w:p w14:paraId="2FA6388A" w14:textId="285E5174" w:rsidR="006D16E1" w:rsidRPr="00473DA0" w:rsidRDefault="006D16E1" w:rsidP="00473DA0">
      <w:pPr>
        <w:numPr>
          <w:ilvl w:val="0"/>
          <w:numId w:val="30"/>
        </w:numPr>
        <w:rPr>
          <w:b/>
          <w:bCs/>
        </w:rPr>
      </w:pPr>
      <w:r w:rsidRPr="00EC558E">
        <w:rPr>
          <w:b/>
          <w:bCs/>
        </w:rPr>
        <w:t>Real-Time ESB Tracking:</w:t>
      </w:r>
      <w:r w:rsidRPr="00EC558E">
        <w:t xml:space="preserve"> Utilizing smart fleet dispatch</w:t>
      </w:r>
      <w:r w:rsidR="002604CC">
        <w:t xml:space="preserve"> and telematics</w:t>
      </w:r>
      <w:r w:rsidRPr="00EC558E">
        <w:t xml:space="preserve"> to redirect buses to high-priority locations.</w:t>
      </w:r>
    </w:p>
    <w:p w14:paraId="0BE5E6AC" w14:textId="77777777" w:rsidR="003F26A1" w:rsidRPr="003F26A1" w:rsidRDefault="003F26A1" w:rsidP="00E0208A">
      <w:pPr>
        <w:rPr>
          <w:b/>
          <w:bCs/>
          <w:u w:val="single"/>
        </w:rPr>
      </w:pPr>
    </w:p>
    <w:p w14:paraId="187917FE" w14:textId="1B8657E0" w:rsidR="00E0208A" w:rsidRPr="003F26A1" w:rsidRDefault="00E0208A" w:rsidP="00E0208A">
      <w:pPr>
        <w:rPr>
          <w:b/>
          <w:bCs/>
          <w:u w:val="single"/>
        </w:rPr>
      </w:pPr>
      <w:r w:rsidRPr="00E0208A">
        <w:rPr>
          <w:b/>
          <w:bCs/>
          <w:u w:val="single"/>
        </w:rPr>
        <w:t>The Resilience-as-a-Service (RaaS) Model</w:t>
      </w:r>
    </w:p>
    <w:p w14:paraId="32CDB58D" w14:textId="77777777" w:rsidR="00C051A6" w:rsidRPr="00E0208A" w:rsidRDefault="00C051A6" w:rsidP="00E0208A">
      <w:pPr>
        <w:rPr>
          <w:b/>
          <w:bCs/>
        </w:rPr>
      </w:pPr>
    </w:p>
    <w:p w14:paraId="789A1F58" w14:textId="77777777" w:rsidR="00E0208A" w:rsidRPr="00E0208A" w:rsidRDefault="00E0208A" w:rsidP="00E0208A">
      <w:pPr>
        <w:numPr>
          <w:ilvl w:val="0"/>
          <w:numId w:val="20"/>
        </w:numPr>
      </w:pPr>
      <w:r w:rsidRPr="00E0208A">
        <w:rPr>
          <w:b/>
          <w:bCs/>
        </w:rPr>
        <w:t>Core Concept</w:t>
      </w:r>
      <w:r w:rsidRPr="00E0208A">
        <w:t>: A third-party provider supplies ESBs for both daily transportation and backup power.</w:t>
      </w:r>
    </w:p>
    <w:p w14:paraId="4BB17C63" w14:textId="77777777" w:rsidR="00E0208A" w:rsidRPr="00E0208A" w:rsidRDefault="00E0208A" w:rsidP="00E0208A">
      <w:pPr>
        <w:numPr>
          <w:ilvl w:val="0"/>
          <w:numId w:val="20"/>
        </w:numPr>
      </w:pPr>
      <w:r w:rsidRPr="00E0208A">
        <w:rPr>
          <w:b/>
          <w:bCs/>
        </w:rPr>
        <w:t>Subscription-Based</w:t>
      </w:r>
      <w:r w:rsidRPr="00E0208A">
        <w:t>: Facilities pay a predictable monthly fee, reducing capital expenditures.</w:t>
      </w:r>
    </w:p>
    <w:p w14:paraId="72FDC0E5" w14:textId="77777777" w:rsidR="00E0208A" w:rsidRPr="00E0208A" w:rsidRDefault="00E0208A" w:rsidP="00E0208A">
      <w:pPr>
        <w:numPr>
          <w:ilvl w:val="0"/>
          <w:numId w:val="20"/>
        </w:numPr>
      </w:pPr>
      <w:r w:rsidRPr="00E0208A">
        <w:rPr>
          <w:b/>
          <w:bCs/>
        </w:rPr>
        <w:t>Maintenance &amp; Performance</w:t>
      </w:r>
      <w:r w:rsidRPr="00E0208A">
        <w:t>: The RaaS provider is fully</w:t>
      </w:r>
      <w:r w:rsidRPr="00E0208A">
        <w:rPr>
          <w:b/>
          <w:bCs/>
        </w:rPr>
        <w:t xml:space="preserve"> </w:t>
      </w:r>
      <w:r w:rsidRPr="00E0208A">
        <w:t>accountable for operational reliability.</w:t>
      </w:r>
    </w:p>
    <w:p w14:paraId="0BDE16B8" w14:textId="77777777" w:rsidR="00E0208A" w:rsidRPr="00E0208A" w:rsidRDefault="00E0208A" w:rsidP="00E0208A">
      <w:pPr>
        <w:numPr>
          <w:ilvl w:val="0"/>
          <w:numId w:val="20"/>
        </w:numPr>
      </w:pPr>
      <w:r w:rsidRPr="00E0208A">
        <w:rPr>
          <w:b/>
          <w:bCs/>
        </w:rPr>
        <w:t>Scalability</w:t>
      </w:r>
      <w:r w:rsidRPr="00E0208A">
        <w:t>: Public-private partnerships expand the reach of ESB-based backup solutions.</w:t>
      </w:r>
    </w:p>
    <w:p w14:paraId="621A3854" w14:textId="77777777" w:rsidR="00E0208A" w:rsidRPr="00E0208A" w:rsidRDefault="00E0208A" w:rsidP="00E0208A">
      <w:pPr>
        <w:rPr>
          <w:b/>
          <w:bCs/>
        </w:rPr>
      </w:pPr>
      <w:r w:rsidRPr="00E0208A">
        <w:rPr>
          <w:b/>
          <w:bCs/>
        </w:rPr>
        <w:t>Expanded RaaS Opportunities</w:t>
      </w:r>
    </w:p>
    <w:p w14:paraId="22EFE428" w14:textId="29CD12CC" w:rsidR="00E0208A" w:rsidRPr="00E0208A" w:rsidRDefault="00E0208A" w:rsidP="00E0208A">
      <w:pPr>
        <w:numPr>
          <w:ilvl w:val="0"/>
          <w:numId w:val="21"/>
        </w:numPr>
      </w:pPr>
      <w:r w:rsidRPr="00E0208A">
        <w:rPr>
          <w:b/>
          <w:bCs/>
        </w:rPr>
        <w:t>Regional Aggregation</w:t>
      </w:r>
      <w:r w:rsidRPr="00E0208A">
        <w:t>: A single provider or consortium manages ESBs across multiple school districts</w:t>
      </w:r>
      <w:r w:rsidR="00C051A6" w:rsidRPr="003F26A1">
        <w:t xml:space="preserve"> or regions</w:t>
      </w:r>
      <w:r w:rsidRPr="00E0208A">
        <w:t>, increasing resource-sharing capabilities and enabling bulk purchasing discounts.</w:t>
      </w:r>
    </w:p>
    <w:p w14:paraId="68108CC0" w14:textId="77777777" w:rsidR="00E0208A" w:rsidRDefault="00E0208A" w:rsidP="00E0208A">
      <w:pPr>
        <w:numPr>
          <w:ilvl w:val="0"/>
          <w:numId w:val="21"/>
        </w:numPr>
      </w:pPr>
      <w:r w:rsidRPr="00E0208A">
        <w:rPr>
          <w:b/>
          <w:bCs/>
        </w:rPr>
        <w:t>Performance Guarantees</w:t>
      </w:r>
      <w:r w:rsidRPr="00E0208A">
        <w:t>: RaaS providers could offer service-level agreements (SLAs) that ensure a minimum backup duration, further reducing risk for critical facility operators.</w:t>
      </w:r>
    </w:p>
    <w:p w14:paraId="29CF93EC" w14:textId="77777777" w:rsidR="00C226DB" w:rsidRPr="00EC558E" w:rsidRDefault="00C226DB" w:rsidP="00C226DB">
      <w:pPr>
        <w:numPr>
          <w:ilvl w:val="0"/>
          <w:numId w:val="31"/>
        </w:numPr>
      </w:pPr>
      <w:r w:rsidRPr="00EC558E">
        <w:rPr>
          <w:b/>
          <w:bCs/>
        </w:rPr>
        <w:t>Utility Demand Response Partnerships:</w:t>
      </w:r>
      <w:r w:rsidRPr="00EC558E">
        <w:t xml:space="preserve"> ESBs can participate in grid services (peak shaving, emergency reserves).</w:t>
      </w:r>
    </w:p>
    <w:p w14:paraId="46505990" w14:textId="77777777" w:rsidR="00C226DB" w:rsidRPr="00E0208A" w:rsidRDefault="00C226DB" w:rsidP="00C226DB">
      <w:pPr>
        <w:ind w:left="360"/>
      </w:pPr>
    </w:p>
    <w:p w14:paraId="5DF480C2" w14:textId="3B56EC35" w:rsidR="00E0208A" w:rsidRPr="00E0208A" w:rsidRDefault="00E0208A" w:rsidP="00E0208A"/>
    <w:p w14:paraId="2F9DD074" w14:textId="77777777" w:rsidR="00107BD9" w:rsidRDefault="00107BD9" w:rsidP="00E0208A">
      <w:pPr>
        <w:rPr>
          <w:b/>
          <w:bCs/>
          <w:u w:val="single"/>
        </w:rPr>
      </w:pPr>
    </w:p>
    <w:p w14:paraId="07FC789C" w14:textId="7C3F9E03" w:rsidR="00E0208A" w:rsidRPr="003F26A1" w:rsidRDefault="00E0208A" w:rsidP="00E0208A">
      <w:pPr>
        <w:rPr>
          <w:b/>
          <w:bCs/>
          <w:u w:val="single"/>
        </w:rPr>
      </w:pPr>
      <w:r w:rsidRPr="00E0208A">
        <w:rPr>
          <w:b/>
          <w:bCs/>
          <w:u w:val="single"/>
        </w:rPr>
        <w:lastRenderedPageBreak/>
        <w:t>Conclusion and Recommendations</w:t>
      </w:r>
    </w:p>
    <w:p w14:paraId="4CFD485F" w14:textId="77777777" w:rsidR="00C051A6" w:rsidRPr="00E0208A" w:rsidRDefault="00C051A6" w:rsidP="00E0208A">
      <w:pPr>
        <w:rPr>
          <w:b/>
          <w:bCs/>
          <w:u w:val="single"/>
        </w:rPr>
      </w:pPr>
    </w:p>
    <w:p w14:paraId="7BAB9BE3" w14:textId="77777777" w:rsidR="00E0208A" w:rsidRPr="00E0208A" w:rsidRDefault="00E0208A" w:rsidP="00E0208A">
      <w:r w:rsidRPr="00E0208A">
        <w:rPr>
          <w:b/>
          <w:bCs/>
        </w:rPr>
        <w:t>TESBP</w:t>
      </w:r>
      <w:r w:rsidRPr="00E0208A">
        <w:t xml:space="preserve"> strongly believes that enhancing </w:t>
      </w:r>
      <w:proofErr w:type="gramStart"/>
      <w:r w:rsidRPr="00E0208A">
        <w:t>the TBPP</w:t>
      </w:r>
      <w:proofErr w:type="gramEnd"/>
      <w:r w:rsidRPr="00E0208A">
        <w:t xml:space="preserve"> with ESB integration will deliver significant advantages for Texas’s critical infrastructure. Our key recommendations include:</w:t>
      </w:r>
    </w:p>
    <w:p w14:paraId="01883B8B" w14:textId="77777777" w:rsidR="00E0208A" w:rsidRPr="00E0208A" w:rsidRDefault="00E0208A" w:rsidP="00E0208A">
      <w:pPr>
        <w:numPr>
          <w:ilvl w:val="0"/>
          <w:numId w:val="22"/>
        </w:numPr>
      </w:pPr>
      <w:r w:rsidRPr="00E0208A">
        <w:rPr>
          <w:b/>
          <w:bCs/>
        </w:rPr>
        <w:t>Expand TBPP Funding</w:t>
      </w:r>
    </w:p>
    <w:p w14:paraId="62610282" w14:textId="77777777" w:rsidR="00E0208A" w:rsidRPr="00E0208A" w:rsidRDefault="00E0208A" w:rsidP="00E0208A">
      <w:pPr>
        <w:numPr>
          <w:ilvl w:val="1"/>
          <w:numId w:val="22"/>
        </w:numPr>
      </w:pPr>
      <w:r w:rsidRPr="00E0208A">
        <w:t>Cover ESB battery procurement and bidirectional charging infrastructure, ensuring equitable access for all school districts.</w:t>
      </w:r>
    </w:p>
    <w:p w14:paraId="3EAA2C37" w14:textId="77777777" w:rsidR="00E0208A" w:rsidRPr="00E0208A" w:rsidRDefault="00E0208A" w:rsidP="00E0208A">
      <w:pPr>
        <w:numPr>
          <w:ilvl w:val="0"/>
          <w:numId w:val="22"/>
        </w:numPr>
      </w:pPr>
      <w:r w:rsidRPr="00E0208A">
        <w:rPr>
          <w:b/>
          <w:bCs/>
        </w:rPr>
        <w:t>Develop Certification Processes</w:t>
      </w:r>
    </w:p>
    <w:p w14:paraId="216F0A02" w14:textId="77777777" w:rsidR="00E0208A" w:rsidRPr="00E0208A" w:rsidRDefault="00E0208A" w:rsidP="00E0208A">
      <w:pPr>
        <w:numPr>
          <w:ilvl w:val="1"/>
          <w:numId w:val="22"/>
        </w:numPr>
      </w:pPr>
      <w:r w:rsidRPr="00E0208A">
        <w:t>Create ESB-focused vendor accreditation to standardize installations and boost vendor confidence.</w:t>
      </w:r>
    </w:p>
    <w:p w14:paraId="3BDFA1E7" w14:textId="77777777" w:rsidR="00E0208A" w:rsidRPr="00E0208A" w:rsidRDefault="00E0208A" w:rsidP="00E0208A">
      <w:pPr>
        <w:numPr>
          <w:ilvl w:val="0"/>
          <w:numId w:val="22"/>
        </w:numPr>
      </w:pPr>
      <w:r w:rsidRPr="00E0208A">
        <w:rPr>
          <w:b/>
          <w:bCs/>
        </w:rPr>
        <w:t>Implement Standardized Interconnection Requirements</w:t>
      </w:r>
    </w:p>
    <w:p w14:paraId="0D52F715" w14:textId="77777777" w:rsidR="00E0208A" w:rsidRPr="00E0208A" w:rsidRDefault="00E0208A" w:rsidP="00E0208A">
      <w:pPr>
        <w:numPr>
          <w:ilvl w:val="1"/>
          <w:numId w:val="22"/>
        </w:numPr>
      </w:pPr>
      <w:r w:rsidRPr="00E0208A">
        <w:t>Streamline utility approvals to accelerate project timelines and minimize risk.</w:t>
      </w:r>
    </w:p>
    <w:p w14:paraId="42DDA424" w14:textId="77777777" w:rsidR="00E0208A" w:rsidRPr="00E0208A" w:rsidRDefault="00E0208A" w:rsidP="00E0208A">
      <w:pPr>
        <w:numPr>
          <w:ilvl w:val="0"/>
          <w:numId w:val="22"/>
        </w:numPr>
      </w:pPr>
      <w:r w:rsidRPr="00E0208A">
        <w:rPr>
          <w:b/>
          <w:bCs/>
        </w:rPr>
        <w:t>Promote Resilience-as-a-Service</w:t>
      </w:r>
    </w:p>
    <w:p w14:paraId="4BEEC5CE" w14:textId="77777777" w:rsidR="00E0208A" w:rsidRPr="00E0208A" w:rsidRDefault="00E0208A" w:rsidP="00E0208A">
      <w:pPr>
        <w:numPr>
          <w:ilvl w:val="1"/>
          <w:numId w:val="22"/>
        </w:numPr>
      </w:pPr>
      <w:r w:rsidRPr="00E0208A">
        <w:t>Reduce upfront costs for school districts, encourage partnerships, and optimize resource usage through centralized management of ESB fleets.</w:t>
      </w:r>
    </w:p>
    <w:p w14:paraId="222749AD" w14:textId="77777777" w:rsidR="00E0208A" w:rsidRPr="00E0208A" w:rsidRDefault="00E0208A" w:rsidP="00E0208A">
      <w:pPr>
        <w:numPr>
          <w:ilvl w:val="0"/>
          <w:numId w:val="22"/>
        </w:numPr>
      </w:pPr>
      <w:r w:rsidRPr="00E0208A">
        <w:rPr>
          <w:b/>
          <w:bCs/>
        </w:rPr>
        <w:t>Ensure Robust Deployment Protocols</w:t>
      </w:r>
    </w:p>
    <w:p w14:paraId="58424385" w14:textId="77777777" w:rsidR="00E0208A" w:rsidRPr="00E0208A" w:rsidRDefault="00E0208A" w:rsidP="00E0208A">
      <w:pPr>
        <w:numPr>
          <w:ilvl w:val="1"/>
          <w:numId w:val="22"/>
        </w:numPr>
      </w:pPr>
      <w:r w:rsidRPr="00E0208A">
        <w:t>Mandate that ESBs remain charged and readily available, with real-time monitoring to guarantee 48-hour backup capacity.</w:t>
      </w:r>
    </w:p>
    <w:p w14:paraId="6DEBBA6F" w14:textId="77777777" w:rsidR="00D2523F" w:rsidRPr="003F26A1" w:rsidRDefault="00D2523F" w:rsidP="00E0208A">
      <w:pPr>
        <w:rPr>
          <w:b/>
          <w:bCs/>
        </w:rPr>
      </w:pPr>
    </w:p>
    <w:p w14:paraId="01251EB6" w14:textId="70E3CAE6" w:rsidR="00E0208A" w:rsidRPr="003F26A1" w:rsidRDefault="00E0208A" w:rsidP="00E0208A">
      <w:pPr>
        <w:rPr>
          <w:b/>
          <w:bCs/>
          <w:u w:val="single"/>
        </w:rPr>
      </w:pPr>
      <w:r w:rsidRPr="00E0208A">
        <w:rPr>
          <w:b/>
          <w:bCs/>
          <w:u w:val="single"/>
        </w:rPr>
        <w:t>Further Solutions</w:t>
      </w:r>
    </w:p>
    <w:p w14:paraId="768EB9D7" w14:textId="77777777" w:rsidR="00D2523F" w:rsidRPr="00E0208A" w:rsidRDefault="00D2523F" w:rsidP="00E0208A">
      <w:pPr>
        <w:rPr>
          <w:b/>
          <w:bCs/>
        </w:rPr>
      </w:pPr>
    </w:p>
    <w:p w14:paraId="0817D3FC" w14:textId="77777777" w:rsidR="00E0208A" w:rsidRPr="00E0208A" w:rsidRDefault="00E0208A" w:rsidP="00E0208A">
      <w:pPr>
        <w:numPr>
          <w:ilvl w:val="0"/>
          <w:numId w:val="23"/>
        </w:numPr>
      </w:pPr>
      <w:r w:rsidRPr="00E0208A">
        <w:rPr>
          <w:b/>
          <w:bCs/>
        </w:rPr>
        <w:t>Grid-Interactive Fleet Aggregation</w:t>
      </w:r>
      <w:r w:rsidRPr="00E0208A">
        <w:t>: Partner with utility demand response programs to make ESBs available for peak shaving and frequency regulation, potentially generating revenue to offset TBPP costs.</w:t>
      </w:r>
    </w:p>
    <w:p w14:paraId="152C0FF1" w14:textId="77777777" w:rsidR="00E0208A" w:rsidRPr="00E0208A" w:rsidRDefault="00E0208A" w:rsidP="00E0208A">
      <w:pPr>
        <w:numPr>
          <w:ilvl w:val="0"/>
          <w:numId w:val="23"/>
        </w:numPr>
      </w:pPr>
      <w:r w:rsidRPr="00E0208A">
        <w:rPr>
          <w:b/>
          <w:bCs/>
        </w:rPr>
        <w:t>Microgrid-in-a-Box</w:t>
      </w:r>
      <w:r w:rsidRPr="00E0208A">
        <w:t>: Develop modular, containerized solutions that include chargers, inverters, and monitoring equipment—easy to deploy at remote facilities.</w:t>
      </w:r>
    </w:p>
    <w:p w14:paraId="566C41AA" w14:textId="77777777" w:rsidR="00E0208A" w:rsidRPr="003F26A1" w:rsidRDefault="00E0208A" w:rsidP="00E0208A">
      <w:pPr>
        <w:numPr>
          <w:ilvl w:val="0"/>
          <w:numId w:val="23"/>
        </w:numPr>
      </w:pPr>
      <w:r w:rsidRPr="00E0208A">
        <w:rPr>
          <w:b/>
          <w:bCs/>
        </w:rPr>
        <w:t>Multi-Use Financing Mechanisms</w:t>
      </w:r>
      <w:r w:rsidRPr="00E0208A">
        <w:t>: Allow carbon credit or clean energy credit revenues (where applicable) to further lower the cost of ESBs and accelerate payback periods.</w:t>
      </w:r>
    </w:p>
    <w:p w14:paraId="0B93F9F1" w14:textId="77777777" w:rsidR="00D2523F" w:rsidRPr="00E0208A" w:rsidRDefault="00D2523F" w:rsidP="00D2523F">
      <w:pPr>
        <w:ind w:left="720"/>
      </w:pPr>
    </w:p>
    <w:p w14:paraId="35B96A93" w14:textId="77777777" w:rsidR="008D17D7" w:rsidRDefault="008D17D7" w:rsidP="00E0208A"/>
    <w:p w14:paraId="4B267CE5" w14:textId="77777777" w:rsidR="008D17D7" w:rsidRDefault="008D17D7" w:rsidP="00E0208A"/>
    <w:p w14:paraId="6A981C9A" w14:textId="77777777" w:rsidR="008D17D7" w:rsidRDefault="008D17D7" w:rsidP="00E0208A"/>
    <w:p w14:paraId="3179C36C" w14:textId="77777777" w:rsidR="008D17D7" w:rsidRDefault="008D17D7" w:rsidP="00E0208A"/>
    <w:p w14:paraId="1220064B" w14:textId="688E2DA3" w:rsidR="00E0208A" w:rsidRPr="003F26A1" w:rsidRDefault="00E0208A" w:rsidP="00E0208A">
      <w:r w:rsidRPr="00E0208A">
        <w:lastRenderedPageBreak/>
        <w:t>By enacting these strategic and forward-thinking measures, the TBPP will maximize its resilience impact statewide. TESBP appreciates the opportunity to contribute to this critical initiative and stands ready to collaborate with</w:t>
      </w:r>
      <w:r w:rsidR="00C051A6" w:rsidRPr="003F26A1">
        <w:t xml:space="preserve"> other</w:t>
      </w:r>
      <w:r w:rsidRPr="00E0208A">
        <w:t xml:space="preserve"> stakeholders to ensure clean, reliable, and affordable backup power for all Texans.</w:t>
      </w:r>
    </w:p>
    <w:p w14:paraId="395E3F63" w14:textId="77777777" w:rsidR="00D2523F" w:rsidRPr="00E0208A" w:rsidRDefault="00D2523F" w:rsidP="00E0208A"/>
    <w:p w14:paraId="4FC37E5C" w14:textId="77777777" w:rsidR="00D2523F" w:rsidRPr="00D2523F" w:rsidRDefault="00D2523F" w:rsidP="00D2523F">
      <w:pPr>
        <w:suppressLineNumbers/>
        <w:spacing w:after="0" w:line="360" w:lineRule="auto"/>
        <w:jc w:val="right"/>
        <w:rPr>
          <w:rFonts w:eastAsia="Calibri" w:cs="Calibri"/>
        </w:rPr>
      </w:pPr>
      <w:r w:rsidRPr="00D2523F">
        <w:rPr>
          <w:rFonts w:eastAsia="Calibri" w:cs="Calibri"/>
        </w:rPr>
        <w:t>Respectfully submitted,</w:t>
      </w:r>
    </w:p>
    <w:p w14:paraId="19D36179" w14:textId="77777777" w:rsidR="00D2523F" w:rsidRPr="00D2523F" w:rsidRDefault="00D2523F" w:rsidP="00D2523F">
      <w:pPr>
        <w:suppressLineNumbers/>
        <w:spacing w:after="0" w:line="360" w:lineRule="auto"/>
        <w:jc w:val="right"/>
        <w:rPr>
          <w:rFonts w:eastAsia="Calibri" w:cs="Calibri"/>
        </w:rPr>
      </w:pPr>
    </w:p>
    <w:p w14:paraId="7BC2CA41" w14:textId="77777777" w:rsidR="008D17D7" w:rsidRDefault="008D17D7" w:rsidP="00D2523F">
      <w:pPr>
        <w:suppressLineNumbers/>
        <w:spacing w:after="0" w:line="360" w:lineRule="auto"/>
        <w:jc w:val="right"/>
        <w:rPr>
          <w:rFonts w:eastAsia="Calibri" w:cs="Calibri"/>
        </w:rPr>
      </w:pPr>
    </w:p>
    <w:p w14:paraId="5D4F0E76" w14:textId="274ACDB8" w:rsidR="00D2523F" w:rsidRPr="008D17D7" w:rsidRDefault="003F26A1" w:rsidP="00D2523F">
      <w:pPr>
        <w:suppressLineNumbers/>
        <w:spacing w:after="0" w:line="360" w:lineRule="auto"/>
        <w:jc w:val="right"/>
        <w:rPr>
          <w:rFonts w:eastAsia="Calibri" w:cs="Calibri"/>
          <w:sz w:val="24"/>
          <w:szCs w:val="24"/>
        </w:rPr>
      </w:pPr>
      <w:r w:rsidRPr="008D17D7">
        <w:rPr>
          <w:rFonts w:eastAsia="Calibri" w:cs="Calibri"/>
          <w:sz w:val="24"/>
          <w:szCs w:val="24"/>
        </w:rPr>
        <w:t>Jessica Keithan</w:t>
      </w:r>
    </w:p>
    <w:p w14:paraId="3CEAA4DA" w14:textId="2D1C11D7" w:rsidR="00D2523F" w:rsidRPr="00D2523F" w:rsidRDefault="003F26A1" w:rsidP="00D2523F">
      <w:pPr>
        <w:suppressLineNumbers/>
        <w:spacing w:after="0" w:line="276" w:lineRule="auto"/>
        <w:jc w:val="right"/>
        <w:rPr>
          <w:rFonts w:eastAsia="Calibri" w:cs="Calibri"/>
        </w:rPr>
      </w:pPr>
      <w:r w:rsidRPr="003F26A1">
        <w:rPr>
          <w:rFonts w:eastAsia="Calibri" w:cs="Calibri"/>
        </w:rPr>
        <w:t xml:space="preserve">Founder and </w:t>
      </w:r>
      <w:r w:rsidR="00D2523F" w:rsidRPr="00D2523F">
        <w:rPr>
          <w:rFonts w:eastAsia="Calibri" w:cs="Calibri"/>
        </w:rPr>
        <w:t>Executive Director</w:t>
      </w:r>
    </w:p>
    <w:p w14:paraId="10C30CD3" w14:textId="749F0380" w:rsidR="00D2523F" w:rsidRPr="00D2523F" w:rsidRDefault="00D2523F" w:rsidP="00D2523F">
      <w:pPr>
        <w:suppressLineNumbers/>
        <w:spacing w:after="0" w:line="276" w:lineRule="auto"/>
        <w:jc w:val="right"/>
        <w:rPr>
          <w:rFonts w:eastAsia="Calibri" w:cs="Calibri"/>
        </w:rPr>
      </w:pPr>
      <w:r w:rsidRPr="00D2523F">
        <w:rPr>
          <w:rFonts w:eastAsia="Calibri" w:cs="Calibri"/>
        </w:rPr>
        <w:t xml:space="preserve">Texas </w:t>
      </w:r>
      <w:r w:rsidR="003F26A1" w:rsidRPr="003F26A1">
        <w:rPr>
          <w:rFonts w:eastAsia="Calibri" w:cs="Calibri"/>
        </w:rPr>
        <w:t>Electric School Bus Project</w:t>
      </w:r>
    </w:p>
    <w:p w14:paraId="25CFB506" w14:textId="499A6086" w:rsidR="00D2523F" w:rsidRPr="00D2523F" w:rsidRDefault="003F26A1" w:rsidP="00D2523F">
      <w:pPr>
        <w:suppressLineNumbers/>
        <w:spacing w:after="0" w:line="276" w:lineRule="auto"/>
        <w:jc w:val="right"/>
        <w:rPr>
          <w:rFonts w:eastAsia="Calibri" w:cs="Calibri"/>
        </w:rPr>
      </w:pPr>
      <w:r w:rsidRPr="003F26A1">
        <w:rPr>
          <w:rFonts w:eastAsia="Calibri" w:cs="Calibri"/>
        </w:rPr>
        <w:t>jessica@texaselectricschoolbusproject.org</w:t>
      </w:r>
    </w:p>
    <w:p w14:paraId="4A9CC83B" w14:textId="77777777" w:rsidR="003F26A1" w:rsidRPr="003F26A1" w:rsidRDefault="00D2523F" w:rsidP="003F26A1">
      <w:pPr>
        <w:spacing w:after="0" w:line="240" w:lineRule="auto"/>
        <w:rPr>
          <w:rFonts w:eastAsia="Calibri" w:cs="Times New Roman"/>
        </w:rPr>
      </w:pPr>
      <w:r w:rsidRPr="00D2523F">
        <w:rPr>
          <w:rFonts w:eastAsia="Calibri" w:cs="Times New Roman"/>
        </w:rPr>
        <w:br w:type="page"/>
      </w:r>
    </w:p>
    <w:p w14:paraId="5CA3D058" w14:textId="77777777" w:rsidR="003F26A1" w:rsidRPr="003F26A1" w:rsidRDefault="003F26A1" w:rsidP="003F26A1">
      <w:pPr>
        <w:spacing w:after="0" w:line="240" w:lineRule="auto"/>
        <w:ind w:left="-720" w:firstLine="720"/>
        <w:rPr>
          <w:rFonts w:eastAsia="Calibri" w:cs="Times New Roman"/>
          <w:b/>
        </w:rPr>
      </w:pPr>
      <w:r w:rsidRPr="003F26A1">
        <w:rPr>
          <w:rFonts w:eastAsia="Calibri" w:cs="Times New Roman"/>
          <w:b/>
          <w:bCs/>
          <w:noProof/>
        </w:rPr>
        <w:lastRenderedPageBreak/>
        <w:drawing>
          <wp:anchor distT="0" distB="0" distL="114300" distR="114300" simplePos="0" relativeHeight="251659264" behindDoc="0" locked="0" layoutInCell="1" allowOverlap="1" wp14:anchorId="5060B408" wp14:editId="3199840E">
            <wp:simplePos x="0" y="0"/>
            <wp:positionH relativeFrom="leftMargin">
              <wp:posOffset>361950</wp:posOffset>
            </wp:positionH>
            <wp:positionV relativeFrom="paragraph">
              <wp:posOffset>-203200</wp:posOffset>
            </wp:positionV>
            <wp:extent cx="476250" cy="424815"/>
            <wp:effectExtent l="0" t="0" r="0" b="0"/>
            <wp:wrapNone/>
            <wp:docPr id="153511722"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494035" name="Picture 1" descr="A black background with a black square&#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6250" cy="424815"/>
                    </a:xfrm>
                    <a:prstGeom prst="rect">
                      <a:avLst/>
                    </a:prstGeom>
                  </pic:spPr>
                </pic:pic>
              </a:graphicData>
            </a:graphic>
            <wp14:sizeRelH relativeFrom="margin">
              <wp14:pctWidth>0</wp14:pctWidth>
            </wp14:sizeRelH>
            <wp14:sizeRelV relativeFrom="margin">
              <wp14:pctHeight>0</wp14:pctHeight>
            </wp14:sizeRelV>
          </wp:anchor>
        </w:drawing>
      </w:r>
    </w:p>
    <w:p w14:paraId="137CAABF" w14:textId="77777777" w:rsidR="003F26A1" w:rsidRPr="003F26A1" w:rsidRDefault="003F26A1" w:rsidP="003F26A1">
      <w:pPr>
        <w:spacing w:after="0" w:line="240" w:lineRule="auto"/>
        <w:jc w:val="center"/>
        <w:rPr>
          <w:rFonts w:eastAsia="Calibri" w:cs="Times New Roman"/>
          <w:b/>
        </w:rPr>
      </w:pPr>
      <w:r w:rsidRPr="003F26A1">
        <w:rPr>
          <w:rFonts w:eastAsia="Calibri" w:cs="Times New Roman"/>
          <w:b/>
        </w:rPr>
        <w:t>PROJECT NO. 57236</w:t>
      </w:r>
    </w:p>
    <w:p w14:paraId="30AF0EA5" w14:textId="77777777" w:rsidR="003F26A1" w:rsidRPr="003F26A1" w:rsidRDefault="003F26A1" w:rsidP="003F26A1">
      <w:pPr>
        <w:spacing w:after="0" w:line="240" w:lineRule="auto"/>
        <w:rPr>
          <w:rFonts w:eastAsia="Calibri" w:cs="Times New Roman"/>
        </w:rPr>
      </w:pPr>
    </w:p>
    <w:tbl>
      <w:tblPr>
        <w:tblStyle w:val="TableGrid"/>
        <w:tblW w:w="0" w:type="auto"/>
        <w:jc w:val="center"/>
        <w:tblBorders>
          <w:top w:val="single" w:sz="4" w:space="0" w:color="FEFFFF"/>
          <w:left w:val="single" w:sz="4" w:space="0" w:color="FEFFFF"/>
          <w:bottom w:val="single" w:sz="4" w:space="0" w:color="FEFFFF"/>
          <w:right w:val="single" w:sz="4" w:space="0" w:color="FEFFFF"/>
          <w:insideH w:val="single" w:sz="4" w:space="0" w:color="FEFFFF"/>
          <w:insideV w:val="single" w:sz="4" w:space="0" w:color="FEFFFF"/>
        </w:tblBorders>
        <w:tblLook w:val="04A0" w:firstRow="1" w:lastRow="0" w:firstColumn="1" w:lastColumn="0" w:noHBand="0" w:noVBand="1"/>
      </w:tblPr>
      <w:tblGrid>
        <w:gridCol w:w="4352"/>
        <w:gridCol w:w="673"/>
        <w:gridCol w:w="4325"/>
      </w:tblGrid>
      <w:tr w:rsidR="003F26A1" w:rsidRPr="003F26A1" w14:paraId="6A18B18F" w14:textId="77777777" w:rsidTr="003F26A1">
        <w:trPr>
          <w:trHeight w:val="899"/>
          <w:jc w:val="center"/>
        </w:trPr>
        <w:tc>
          <w:tcPr>
            <w:tcW w:w="4352" w:type="dxa"/>
            <w:vAlign w:val="center"/>
          </w:tcPr>
          <w:p w14:paraId="46D19EB1" w14:textId="77777777" w:rsidR="003F26A1" w:rsidRPr="003F26A1" w:rsidRDefault="003F26A1" w:rsidP="003F26A1">
            <w:pPr>
              <w:rPr>
                <w:rFonts w:eastAsia="Calibri" w:cs="Times New Roman"/>
                <w:b/>
                <w:bCs/>
                <w:sz w:val="22"/>
                <w:szCs w:val="22"/>
              </w:rPr>
            </w:pPr>
            <w:r w:rsidRPr="003F26A1">
              <w:rPr>
                <w:rFonts w:eastAsia="Calibri" w:cs="Times New Roman"/>
                <w:b/>
                <w:bCs/>
                <w:sz w:val="22"/>
                <w:szCs w:val="22"/>
              </w:rPr>
              <w:t xml:space="preserve">PROJECT TO DEVELOP </w:t>
            </w:r>
            <w:proofErr w:type="gramStart"/>
            <w:r w:rsidRPr="003F26A1">
              <w:rPr>
                <w:rFonts w:eastAsia="Calibri" w:cs="Times New Roman"/>
                <w:b/>
                <w:bCs/>
                <w:sz w:val="22"/>
                <w:szCs w:val="22"/>
              </w:rPr>
              <w:t>THE TEXAS</w:t>
            </w:r>
            <w:proofErr w:type="gramEnd"/>
          </w:p>
          <w:p w14:paraId="72C1C277" w14:textId="77777777" w:rsidR="003F26A1" w:rsidRPr="003F26A1" w:rsidRDefault="003F26A1" w:rsidP="003F26A1">
            <w:pPr>
              <w:rPr>
                <w:rFonts w:eastAsia="Calibri" w:cs="Times New Roman"/>
                <w:b/>
                <w:bCs/>
                <w:sz w:val="22"/>
                <w:szCs w:val="22"/>
              </w:rPr>
            </w:pPr>
            <w:r w:rsidRPr="003F26A1">
              <w:rPr>
                <w:rFonts w:eastAsia="Calibri" w:cs="Times New Roman"/>
                <w:b/>
                <w:bCs/>
                <w:sz w:val="22"/>
                <w:szCs w:val="22"/>
              </w:rPr>
              <w:t>BACKUP POWER PACKAGE PROGRAM</w:t>
            </w:r>
          </w:p>
        </w:tc>
        <w:tc>
          <w:tcPr>
            <w:tcW w:w="673" w:type="dxa"/>
            <w:vAlign w:val="center"/>
          </w:tcPr>
          <w:p w14:paraId="0E4E4B17" w14:textId="77777777" w:rsidR="003F26A1" w:rsidRPr="003F26A1" w:rsidRDefault="003F26A1" w:rsidP="003F26A1">
            <w:pPr>
              <w:rPr>
                <w:rFonts w:eastAsia="Calibri" w:cs="Times New Roman"/>
                <w:b/>
                <w:bCs/>
                <w:sz w:val="22"/>
                <w:szCs w:val="22"/>
              </w:rPr>
            </w:pPr>
            <w:r w:rsidRPr="003F26A1">
              <w:rPr>
                <w:rFonts w:eastAsia="Calibri" w:cs="Times New Roman"/>
                <w:b/>
                <w:bCs/>
                <w:sz w:val="22"/>
                <w:szCs w:val="22"/>
              </w:rPr>
              <w:t>§</w:t>
            </w:r>
          </w:p>
          <w:p w14:paraId="6CA36E92" w14:textId="77777777" w:rsidR="003F26A1" w:rsidRPr="003F26A1" w:rsidRDefault="003F26A1" w:rsidP="003F26A1">
            <w:pPr>
              <w:rPr>
                <w:rFonts w:eastAsia="Calibri" w:cs="Times New Roman"/>
                <w:b/>
                <w:bCs/>
                <w:sz w:val="22"/>
                <w:szCs w:val="22"/>
              </w:rPr>
            </w:pPr>
            <w:r w:rsidRPr="003F26A1">
              <w:rPr>
                <w:rFonts w:eastAsia="Calibri" w:cs="Times New Roman"/>
                <w:b/>
                <w:bCs/>
                <w:sz w:val="22"/>
                <w:szCs w:val="22"/>
              </w:rPr>
              <w:t>§</w:t>
            </w:r>
          </w:p>
          <w:p w14:paraId="54D5C03D" w14:textId="77777777" w:rsidR="003F26A1" w:rsidRPr="003F26A1" w:rsidRDefault="003F26A1" w:rsidP="003F26A1">
            <w:pPr>
              <w:rPr>
                <w:rFonts w:eastAsia="Calibri" w:cs="Times New Roman"/>
                <w:sz w:val="22"/>
                <w:szCs w:val="22"/>
              </w:rPr>
            </w:pPr>
            <w:r w:rsidRPr="003F26A1">
              <w:rPr>
                <w:rFonts w:eastAsia="Calibri" w:cs="Times New Roman"/>
                <w:b/>
                <w:bCs/>
                <w:sz w:val="22"/>
                <w:szCs w:val="22"/>
              </w:rPr>
              <w:t>§</w:t>
            </w:r>
          </w:p>
        </w:tc>
        <w:tc>
          <w:tcPr>
            <w:tcW w:w="4325" w:type="dxa"/>
            <w:vAlign w:val="center"/>
          </w:tcPr>
          <w:p w14:paraId="273CBEE6" w14:textId="77777777" w:rsidR="003F26A1" w:rsidRPr="003F26A1" w:rsidRDefault="003F26A1" w:rsidP="003F26A1">
            <w:pPr>
              <w:rPr>
                <w:rFonts w:eastAsia="Calibri" w:cs="Times New Roman"/>
                <w:b/>
                <w:bCs/>
                <w:sz w:val="22"/>
                <w:szCs w:val="22"/>
              </w:rPr>
            </w:pPr>
            <w:r w:rsidRPr="003F26A1">
              <w:rPr>
                <w:rFonts w:eastAsia="Calibri" w:cs="Times New Roman"/>
                <w:b/>
                <w:bCs/>
                <w:sz w:val="22"/>
                <w:szCs w:val="22"/>
              </w:rPr>
              <w:t>PUBLIC UTILITY COMMISSION</w:t>
            </w:r>
          </w:p>
          <w:p w14:paraId="6074561E" w14:textId="77777777" w:rsidR="003F26A1" w:rsidRPr="003F26A1" w:rsidRDefault="003F26A1" w:rsidP="003F26A1">
            <w:pPr>
              <w:rPr>
                <w:rFonts w:eastAsia="Calibri" w:cs="Times New Roman"/>
                <w:sz w:val="22"/>
                <w:szCs w:val="22"/>
              </w:rPr>
            </w:pPr>
            <w:r w:rsidRPr="003F26A1">
              <w:rPr>
                <w:rFonts w:eastAsia="Calibri" w:cs="Times New Roman"/>
                <w:b/>
                <w:bCs/>
                <w:sz w:val="22"/>
                <w:szCs w:val="22"/>
              </w:rPr>
              <w:t>OF TEXAS</w:t>
            </w:r>
          </w:p>
        </w:tc>
      </w:tr>
    </w:tbl>
    <w:p w14:paraId="34AC9EDF" w14:textId="77777777" w:rsidR="003F26A1" w:rsidRPr="003F26A1" w:rsidRDefault="003F26A1" w:rsidP="003F26A1">
      <w:pPr>
        <w:spacing w:after="0" w:line="240" w:lineRule="auto"/>
        <w:rPr>
          <w:rFonts w:eastAsia="Calibri" w:cs="Times New Roman"/>
        </w:rPr>
      </w:pPr>
    </w:p>
    <w:p w14:paraId="089E1465" w14:textId="7BBA49C2" w:rsidR="00E0208A" w:rsidRPr="003F26A1" w:rsidRDefault="00E0208A" w:rsidP="003F26A1">
      <w:pPr>
        <w:spacing w:after="0" w:line="240" w:lineRule="auto"/>
        <w:jc w:val="center"/>
        <w:rPr>
          <w:b/>
          <w:bCs/>
        </w:rPr>
      </w:pPr>
      <w:r w:rsidRPr="00E0208A">
        <w:rPr>
          <w:b/>
          <w:bCs/>
        </w:rPr>
        <w:t>Executive Summary</w:t>
      </w:r>
    </w:p>
    <w:p w14:paraId="4FD767D7" w14:textId="77777777" w:rsidR="003F26A1" w:rsidRPr="00E0208A" w:rsidRDefault="003F26A1" w:rsidP="003F26A1">
      <w:pPr>
        <w:spacing w:after="0" w:line="240" w:lineRule="auto"/>
        <w:rPr>
          <w:rFonts w:eastAsia="Calibri" w:cs="Times New Roman"/>
        </w:rPr>
      </w:pPr>
    </w:p>
    <w:p w14:paraId="33810BEF" w14:textId="77777777" w:rsidR="00E0208A" w:rsidRPr="00E0208A" w:rsidRDefault="00E0208A" w:rsidP="00E0208A">
      <w:r w:rsidRPr="00E0208A">
        <w:t xml:space="preserve">The Texas Electric School Bus Project (TESBP) strongly supports integrating Electric School Buses (ESBs) into the Texas Backup Power Package (TBPP) to bolster resilience for critical facilities. ESBs function as </w:t>
      </w:r>
      <w:r w:rsidRPr="00E0208A">
        <w:rPr>
          <w:i/>
          <w:iCs/>
        </w:rPr>
        <w:t>mobile energy storage</w:t>
      </w:r>
      <w:r w:rsidRPr="00E0208A">
        <w:t xml:space="preserve"> through Vehicle-to-Grid (V2G) and Vehicle-to-Building (V2B) technology, offering </w:t>
      </w:r>
      <w:r w:rsidRPr="00E0208A">
        <w:rPr>
          <w:i/>
          <w:iCs/>
        </w:rPr>
        <w:t>flexible</w:t>
      </w:r>
      <w:r w:rsidRPr="00E0208A">
        <w:t xml:space="preserve"> and </w:t>
      </w:r>
      <w:r w:rsidRPr="00E0208A">
        <w:rPr>
          <w:i/>
          <w:iCs/>
        </w:rPr>
        <w:t>cost-effective</w:t>
      </w:r>
      <w:r w:rsidRPr="00E0208A">
        <w:t xml:space="preserve"> backup power solutions. By pairing ESBs with stationary batteries and renewable generation, facilities can maintain essential operations during prolonged outages.</w:t>
      </w:r>
    </w:p>
    <w:p w14:paraId="78B38DDD" w14:textId="77777777" w:rsidR="00E0208A" w:rsidRPr="00E0208A" w:rsidRDefault="00E0208A" w:rsidP="00E0208A">
      <w:r w:rsidRPr="00E0208A">
        <w:rPr>
          <w:b/>
          <w:bCs/>
        </w:rPr>
        <w:t>Key Challenges and Solutions</w:t>
      </w:r>
    </w:p>
    <w:p w14:paraId="1B56406A" w14:textId="77777777" w:rsidR="00E0208A" w:rsidRPr="00E0208A" w:rsidRDefault="00E0208A" w:rsidP="00E0208A">
      <w:pPr>
        <w:numPr>
          <w:ilvl w:val="0"/>
          <w:numId w:val="24"/>
        </w:numPr>
      </w:pPr>
      <w:r w:rsidRPr="00E0208A">
        <w:rPr>
          <w:b/>
          <w:bCs/>
        </w:rPr>
        <w:t>High Upfront Costs</w:t>
      </w:r>
    </w:p>
    <w:p w14:paraId="56F1CFFD" w14:textId="77777777" w:rsidR="00E0208A" w:rsidRPr="00E0208A" w:rsidRDefault="00E0208A" w:rsidP="00E0208A">
      <w:pPr>
        <w:numPr>
          <w:ilvl w:val="1"/>
          <w:numId w:val="24"/>
        </w:numPr>
      </w:pPr>
      <w:r w:rsidRPr="00E0208A">
        <w:rPr>
          <w:i/>
          <w:iCs/>
        </w:rPr>
        <w:t>Solution</w:t>
      </w:r>
      <w:r w:rsidRPr="00E0208A">
        <w:t>: Expand TBPP funding to cover both ESB procurement and bidirectional charging infrastructure. This approach eliminates a major barrier for school districts lacking the resources to adopt ESBs.</w:t>
      </w:r>
    </w:p>
    <w:p w14:paraId="15C50091" w14:textId="77777777" w:rsidR="00E0208A" w:rsidRPr="00E0208A" w:rsidRDefault="00E0208A" w:rsidP="00E0208A">
      <w:pPr>
        <w:numPr>
          <w:ilvl w:val="0"/>
          <w:numId w:val="24"/>
        </w:numPr>
      </w:pPr>
      <w:r w:rsidRPr="00E0208A">
        <w:rPr>
          <w:b/>
          <w:bCs/>
        </w:rPr>
        <w:t>Interconnection and Technical Barriers</w:t>
      </w:r>
    </w:p>
    <w:p w14:paraId="41B3847B" w14:textId="77777777" w:rsidR="00E0208A" w:rsidRPr="00E0208A" w:rsidRDefault="00E0208A" w:rsidP="00E0208A">
      <w:pPr>
        <w:numPr>
          <w:ilvl w:val="1"/>
          <w:numId w:val="24"/>
        </w:numPr>
      </w:pPr>
      <w:r w:rsidRPr="00E0208A">
        <w:rPr>
          <w:i/>
          <w:iCs/>
        </w:rPr>
        <w:t>Solution</w:t>
      </w:r>
      <w:r w:rsidRPr="00E0208A">
        <w:t>: Establish uniform standards for charging systems and create an ESB-focused vendor certification. These measures ensure interoperability, streamline utility approvals, and foster a reliable pool of service providers.</w:t>
      </w:r>
    </w:p>
    <w:p w14:paraId="1EEE394E" w14:textId="77777777" w:rsidR="00E0208A" w:rsidRPr="00E0208A" w:rsidRDefault="00E0208A" w:rsidP="00E0208A">
      <w:pPr>
        <w:numPr>
          <w:ilvl w:val="0"/>
          <w:numId w:val="24"/>
        </w:numPr>
      </w:pPr>
      <w:r w:rsidRPr="00E0208A">
        <w:rPr>
          <w:b/>
          <w:bCs/>
        </w:rPr>
        <w:t>48-Hour Requirement</w:t>
      </w:r>
    </w:p>
    <w:p w14:paraId="341917EA" w14:textId="77777777" w:rsidR="00E0208A" w:rsidRPr="00E0208A" w:rsidRDefault="00E0208A" w:rsidP="00E0208A">
      <w:pPr>
        <w:numPr>
          <w:ilvl w:val="1"/>
          <w:numId w:val="24"/>
        </w:numPr>
      </w:pPr>
      <w:r w:rsidRPr="00E0208A">
        <w:rPr>
          <w:i/>
          <w:iCs/>
        </w:rPr>
        <w:t>Solution</w:t>
      </w:r>
      <w:r w:rsidRPr="00E0208A">
        <w:t xml:space="preserve">: Implement </w:t>
      </w:r>
      <w:r w:rsidRPr="00E0208A">
        <w:rPr>
          <w:i/>
          <w:iCs/>
        </w:rPr>
        <w:t>hybrid backup</w:t>
      </w:r>
      <w:r w:rsidRPr="00E0208A">
        <w:t xml:space="preserve"> strategies that combine ESBs with stationary batteries or solar arrays, guaranteeing extended runtimes and reliable power for critical facilities.</w:t>
      </w:r>
    </w:p>
    <w:p w14:paraId="41B736C9" w14:textId="77777777" w:rsidR="00E0208A" w:rsidRPr="00E0208A" w:rsidRDefault="00E0208A" w:rsidP="00E0208A">
      <w:pPr>
        <w:numPr>
          <w:ilvl w:val="0"/>
          <w:numId w:val="24"/>
        </w:numPr>
      </w:pPr>
      <w:r w:rsidRPr="00E0208A">
        <w:rPr>
          <w:b/>
          <w:bCs/>
        </w:rPr>
        <w:t>Vendor and Operational Complexity</w:t>
      </w:r>
    </w:p>
    <w:p w14:paraId="2CBDA180" w14:textId="77777777" w:rsidR="00E0208A" w:rsidRPr="00E0208A" w:rsidRDefault="00E0208A" w:rsidP="00E0208A">
      <w:pPr>
        <w:numPr>
          <w:ilvl w:val="1"/>
          <w:numId w:val="24"/>
        </w:numPr>
      </w:pPr>
      <w:r w:rsidRPr="00E0208A">
        <w:rPr>
          <w:i/>
          <w:iCs/>
        </w:rPr>
        <w:t>Solution</w:t>
      </w:r>
      <w:r w:rsidRPr="00E0208A">
        <w:t xml:space="preserve">: Introduce a </w:t>
      </w:r>
      <w:r w:rsidRPr="00E0208A">
        <w:rPr>
          <w:i/>
          <w:iCs/>
        </w:rPr>
        <w:t>Resilience-as-a-Service (RaaS)</w:t>
      </w:r>
      <w:r w:rsidRPr="00E0208A">
        <w:t xml:space="preserve"> model in which third-party providers own and maintain ESBs. This subscription-based structure offloads capital costs and ensures high service quality.</w:t>
      </w:r>
    </w:p>
    <w:p w14:paraId="01E9753C" w14:textId="5B22B46B" w:rsidR="00E0208A" w:rsidRPr="00E0208A" w:rsidRDefault="00E0208A" w:rsidP="00E0208A">
      <w:pPr>
        <w:rPr>
          <w:b/>
          <w:bCs/>
        </w:rPr>
      </w:pPr>
      <w:r w:rsidRPr="00E0208A">
        <w:rPr>
          <w:b/>
          <w:bCs/>
        </w:rPr>
        <w:t>Feasibility Example</w:t>
      </w:r>
      <w:r w:rsidRPr="00E0208A">
        <w:br/>
        <w:t xml:space="preserve">In a hypothetical Oakville Fire Station scenario, a </w:t>
      </w:r>
      <w:proofErr w:type="gramStart"/>
      <w:r w:rsidRPr="00E0208A">
        <w:t>10 kWh</w:t>
      </w:r>
      <w:proofErr w:type="gramEnd"/>
      <w:r w:rsidRPr="00E0208A">
        <w:t xml:space="preserve"> battery, 5 kW solar installation, and two ESBs (each with 150 kWh capacity) easily sustain the facility for 48 hours. ESBs remain at ≥80% state of charge pre-outage, then phase in as stationary batteries deplete—an approach suitable for </w:t>
      </w:r>
      <w:r w:rsidRPr="00E0208A">
        <w:rPr>
          <w:i/>
          <w:iCs/>
        </w:rPr>
        <w:t>both</w:t>
      </w:r>
      <w:r w:rsidRPr="00E0208A">
        <w:t xml:space="preserve"> urban and rural settings.</w:t>
      </w:r>
    </w:p>
    <w:p w14:paraId="74432814" w14:textId="51364025" w:rsidR="00E0208A" w:rsidRPr="00E0208A" w:rsidRDefault="00E0208A" w:rsidP="00E0208A">
      <w:r w:rsidRPr="00E0208A">
        <w:rPr>
          <w:b/>
          <w:bCs/>
        </w:rPr>
        <w:t>Conclusion</w:t>
      </w:r>
      <w:r w:rsidRPr="00E0208A">
        <w:br/>
        <w:t>By adopting these recommendations</w:t>
      </w:r>
      <w:r w:rsidR="003F26A1" w:rsidRPr="003F26A1">
        <w:t xml:space="preserve">, </w:t>
      </w:r>
      <w:r w:rsidRPr="00E0208A">
        <w:t xml:space="preserve">the TBPP can </w:t>
      </w:r>
      <w:r w:rsidRPr="00E0208A">
        <w:rPr>
          <w:i/>
          <w:iCs/>
        </w:rPr>
        <w:t>revolutionize</w:t>
      </w:r>
      <w:r w:rsidRPr="00E0208A">
        <w:t xml:space="preserve"> backup power across Texas. ESBs </w:t>
      </w:r>
      <w:r w:rsidR="003F26A1" w:rsidRPr="003F26A1">
        <w:t xml:space="preserve">strengthen </w:t>
      </w:r>
      <w:r w:rsidRPr="00E0208A">
        <w:t>critical infrastructure and enhanc</w:t>
      </w:r>
      <w:r w:rsidR="003F26A1" w:rsidRPr="003F26A1">
        <w:t xml:space="preserve">e </w:t>
      </w:r>
      <w:r w:rsidRPr="00E0208A">
        <w:t>community resilience.</w:t>
      </w:r>
    </w:p>
    <w:p w14:paraId="4CEBDB76" w14:textId="77777777" w:rsidR="00E0208A" w:rsidRPr="003F26A1" w:rsidRDefault="00E0208A"/>
    <w:sectPr w:rsidR="00E0208A" w:rsidRPr="003F26A1" w:rsidSect="003F26A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8360A"/>
    <w:multiLevelType w:val="multilevel"/>
    <w:tmpl w:val="DAC2C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D021D0"/>
    <w:multiLevelType w:val="hybridMultilevel"/>
    <w:tmpl w:val="8F1CA7E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87B4FD2"/>
    <w:multiLevelType w:val="multilevel"/>
    <w:tmpl w:val="079AF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F50C17"/>
    <w:multiLevelType w:val="multilevel"/>
    <w:tmpl w:val="11147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8561A2"/>
    <w:multiLevelType w:val="multilevel"/>
    <w:tmpl w:val="69A410C2"/>
    <w:lvl w:ilvl="0">
      <w:start w:val="1"/>
      <w:numFmt w:val="decimal"/>
      <w:lvlText w:val="%1."/>
      <w:lvlJc w:val="left"/>
      <w:pPr>
        <w:tabs>
          <w:tab w:val="num" w:pos="720"/>
        </w:tabs>
        <w:ind w:left="720" w:hanging="360"/>
      </w:pPr>
      <w:rPr>
        <w:b w:val="0"/>
        <w:bCs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0047CC"/>
    <w:multiLevelType w:val="multilevel"/>
    <w:tmpl w:val="42263D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1381DC7"/>
    <w:multiLevelType w:val="multilevel"/>
    <w:tmpl w:val="3064E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10499F"/>
    <w:multiLevelType w:val="multilevel"/>
    <w:tmpl w:val="42263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82088A"/>
    <w:multiLevelType w:val="multilevel"/>
    <w:tmpl w:val="90EC2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420477"/>
    <w:multiLevelType w:val="multilevel"/>
    <w:tmpl w:val="42263D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2F3531E"/>
    <w:multiLevelType w:val="multilevel"/>
    <w:tmpl w:val="C17E9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FA147D"/>
    <w:multiLevelType w:val="multilevel"/>
    <w:tmpl w:val="57D60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630C7E"/>
    <w:multiLevelType w:val="multilevel"/>
    <w:tmpl w:val="42263D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D786310"/>
    <w:multiLevelType w:val="multilevel"/>
    <w:tmpl w:val="42263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1701E4B"/>
    <w:multiLevelType w:val="multilevel"/>
    <w:tmpl w:val="AD02D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663CA8"/>
    <w:multiLevelType w:val="multilevel"/>
    <w:tmpl w:val="868C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414D31"/>
    <w:multiLevelType w:val="multilevel"/>
    <w:tmpl w:val="2B34C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D148EF"/>
    <w:multiLevelType w:val="multilevel"/>
    <w:tmpl w:val="6194F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DD08FB"/>
    <w:multiLevelType w:val="multilevel"/>
    <w:tmpl w:val="90B4B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9C5757"/>
    <w:multiLevelType w:val="hybridMultilevel"/>
    <w:tmpl w:val="58FE8374"/>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58753727"/>
    <w:multiLevelType w:val="multilevel"/>
    <w:tmpl w:val="140A3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BDB309A"/>
    <w:multiLevelType w:val="multilevel"/>
    <w:tmpl w:val="A5D66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2A3F51"/>
    <w:multiLevelType w:val="multilevel"/>
    <w:tmpl w:val="B114F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C535F1"/>
    <w:multiLevelType w:val="multilevel"/>
    <w:tmpl w:val="52D66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2B2758C"/>
    <w:multiLevelType w:val="multilevel"/>
    <w:tmpl w:val="42263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4830C2C"/>
    <w:multiLevelType w:val="multilevel"/>
    <w:tmpl w:val="5F28D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7D8641B"/>
    <w:multiLevelType w:val="multilevel"/>
    <w:tmpl w:val="4F6EC6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3C372B"/>
    <w:multiLevelType w:val="hybridMultilevel"/>
    <w:tmpl w:val="43D8403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79DD5BC3"/>
    <w:multiLevelType w:val="multilevel"/>
    <w:tmpl w:val="42263D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AE15981"/>
    <w:multiLevelType w:val="multilevel"/>
    <w:tmpl w:val="FCDC5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960181"/>
    <w:multiLevelType w:val="multilevel"/>
    <w:tmpl w:val="42263D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50811971">
    <w:abstractNumId w:val="25"/>
  </w:num>
  <w:num w:numId="2" w16cid:durableId="1554385894">
    <w:abstractNumId w:val="11"/>
  </w:num>
  <w:num w:numId="3" w16cid:durableId="1941839764">
    <w:abstractNumId w:val="2"/>
  </w:num>
  <w:num w:numId="4" w16cid:durableId="642733831">
    <w:abstractNumId w:val="6"/>
  </w:num>
  <w:num w:numId="5" w16cid:durableId="1199124691">
    <w:abstractNumId w:val="29"/>
  </w:num>
  <w:num w:numId="6" w16cid:durableId="978727609">
    <w:abstractNumId w:val="13"/>
  </w:num>
  <w:num w:numId="7" w16cid:durableId="622343030">
    <w:abstractNumId w:val="5"/>
  </w:num>
  <w:num w:numId="8" w16cid:durableId="1681855554">
    <w:abstractNumId w:val="0"/>
  </w:num>
  <w:num w:numId="9" w16cid:durableId="1377588096">
    <w:abstractNumId w:val="23"/>
  </w:num>
  <w:num w:numId="10" w16cid:durableId="1169634381">
    <w:abstractNumId w:val="24"/>
  </w:num>
  <w:num w:numId="11" w16cid:durableId="72093277">
    <w:abstractNumId w:val="14"/>
  </w:num>
  <w:num w:numId="12" w16cid:durableId="1584532790">
    <w:abstractNumId w:val="12"/>
  </w:num>
  <w:num w:numId="13" w16cid:durableId="735858455">
    <w:abstractNumId w:val="26"/>
  </w:num>
  <w:num w:numId="14" w16cid:durableId="619266863">
    <w:abstractNumId w:val="22"/>
  </w:num>
  <w:num w:numId="15" w16cid:durableId="1272590306">
    <w:abstractNumId w:val="4"/>
  </w:num>
  <w:num w:numId="16" w16cid:durableId="591931912">
    <w:abstractNumId w:val="8"/>
  </w:num>
  <w:num w:numId="17" w16cid:durableId="527059678">
    <w:abstractNumId w:val="7"/>
  </w:num>
  <w:num w:numId="18" w16cid:durableId="47995251">
    <w:abstractNumId w:val="28"/>
  </w:num>
  <w:num w:numId="19" w16cid:durableId="2025589538">
    <w:abstractNumId w:val="17"/>
  </w:num>
  <w:num w:numId="20" w16cid:durableId="234781888">
    <w:abstractNumId w:val="20"/>
  </w:num>
  <w:num w:numId="21" w16cid:durableId="1374111691">
    <w:abstractNumId w:val="10"/>
  </w:num>
  <w:num w:numId="22" w16cid:durableId="1320839552">
    <w:abstractNumId w:val="30"/>
  </w:num>
  <w:num w:numId="23" w16cid:durableId="1263951268">
    <w:abstractNumId w:val="3"/>
  </w:num>
  <w:num w:numId="24" w16cid:durableId="1816070851">
    <w:abstractNumId w:val="9"/>
  </w:num>
  <w:num w:numId="25" w16cid:durableId="1122921522">
    <w:abstractNumId w:val="15"/>
  </w:num>
  <w:num w:numId="26" w16cid:durableId="975601515">
    <w:abstractNumId w:val="27"/>
  </w:num>
  <w:num w:numId="27" w16cid:durableId="1418668767">
    <w:abstractNumId w:val="19"/>
  </w:num>
  <w:num w:numId="28" w16cid:durableId="857622219">
    <w:abstractNumId w:val="1"/>
  </w:num>
  <w:num w:numId="29" w16cid:durableId="1231231145">
    <w:abstractNumId w:val="16"/>
  </w:num>
  <w:num w:numId="30" w16cid:durableId="1594780802">
    <w:abstractNumId w:val="21"/>
  </w:num>
  <w:num w:numId="31" w16cid:durableId="8211147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C85"/>
    <w:rsid w:val="000255BE"/>
    <w:rsid w:val="00027DA4"/>
    <w:rsid w:val="00083D5D"/>
    <w:rsid w:val="000C2C63"/>
    <w:rsid w:val="000C6836"/>
    <w:rsid w:val="000E7108"/>
    <w:rsid w:val="00107BD9"/>
    <w:rsid w:val="001174F4"/>
    <w:rsid w:val="001338E6"/>
    <w:rsid w:val="0016386E"/>
    <w:rsid w:val="001723C5"/>
    <w:rsid w:val="00180FE8"/>
    <w:rsid w:val="0018409A"/>
    <w:rsid w:val="00187B82"/>
    <w:rsid w:val="001A0108"/>
    <w:rsid w:val="001C3167"/>
    <w:rsid w:val="002018DE"/>
    <w:rsid w:val="0020460C"/>
    <w:rsid w:val="00207088"/>
    <w:rsid w:val="0024781D"/>
    <w:rsid w:val="002604CC"/>
    <w:rsid w:val="002679E8"/>
    <w:rsid w:val="00294C5C"/>
    <w:rsid w:val="002B38C8"/>
    <w:rsid w:val="002D4796"/>
    <w:rsid w:val="002E07E9"/>
    <w:rsid w:val="0030798C"/>
    <w:rsid w:val="00351EA9"/>
    <w:rsid w:val="00352836"/>
    <w:rsid w:val="00355B29"/>
    <w:rsid w:val="00372390"/>
    <w:rsid w:val="003770A3"/>
    <w:rsid w:val="00380F06"/>
    <w:rsid w:val="003964A9"/>
    <w:rsid w:val="003979A2"/>
    <w:rsid w:val="003C0486"/>
    <w:rsid w:val="003D0828"/>
    <w:rsid w:val="003E4560"/>
    <w:rsid w:val="003F26A1"/>
    <w:rsid w:val="00400A6C"/>
    <w:rsid w:val="00400CD8"/>
    <w:rsid w:val="00420B35"/>
    <w:rsid w:val="00473DA0"/>
    <w:rsid w:val="004B4BD1"/>
    <w:rsid w:val="004D296D"/>
    <w:rsid w:val="004E2A4B"/>
    <w:rsid w:val="004E4EE0"/>
    <w:rsid w:val="00516141"/>
    <w:rsid w:val="00526F74"/>
    <w:rsid w:val="00547769"/>
    <w:rsid w:val="00570365"/>
    <w:rsid w:val="005A73C7"/>
    <w:rsid w:val="005E070F"/>
    <w:rsid w:val="00640EC3"/>
    <w:rsid w:val="0064196A"/>
    <w:rsid w:val="00654EB4"/>
    <w:rsid w:val="006A1ACF"/>
    <w:rsid w:val="006C43A5"/>
    <w:rsid w:val="006D16E1"/>
    <w:rsid w:val="006D3505"/>
    <w:rsid w:val="006E52A6"/>
    <w:rsid w:val="00714D9C"/>
    <w:rsid w:val="0071636C"/>
    <w:rsid w:val="0074217D"/>
    <w:rsid w:val="00767A9C"/>
    <w:rsid w:val="00784980"/>
    <w:rsid w:val="0078670C"/>
    <w:rsid w:val="007A1200"/>
    <w:rsid w:val="00811D09"/>
    <w:rsid w:val="00815879"/>
    <w:rsid w:val="00861658"/>
    <w:rsid w:val="0087164E"/>
    <w:rsid w:val="0087245C"/>
    <w:rsid w:val="0088135D"/>
    <w:rsid w:val="008A0C85"/>
    <w:rsid w:val="008A0F00"/>
    <w:rsid w:val="008D1247"/>
    <w:rsid w:val="008D17D7"/>
    <w:rsid w:val="009117FA"/>
    <w:rsid w:val="00927B55"/>
    <w:rsid w:val="00936D7B"/>
    <w:rsid w:val="009A3F2B"/>
    <w:rsid w:val="009A4032"/>
    <w:rsid w:val="009A4859"/>
    <w:rsid w:val="009B2D60"/>
    <w:rsid w:val="009E3034"/>
    <w:rsid w:val="009F0E5C"/>
    <w:rsid w:val="00A10A52"/>
    <w:rsid w:val="00A1464C"/>
    <w:rsid w:val="00A83076"/>
    <w:rsid w:val="00AB3EA6"/>
    <w:rsid w:val="00AD7DB3"/>
    <w:rsid w:val="00AF4313"/>
    <w:rsid w:val="00B02721"/>
    <w:rsid w:val="00B14482"/>
    <w:rsid w:val="00B31CE8"/>
    <w:rsid w:val="00B3735B"/>
    <w:rsid w:val="00B6510D"/>
    <w:rsid w:val="00B95195"/>
    <w:rsid w:val="00B97E28"/>
    <w:rsid w:val="00BC5EE7"/>
    <w:rsid w:val="00BE7D3C"/>
    <w:rsid w:val="00BF1663"/>
    <w:rsid w:val="00C051A6"/>
    <w:rsid w:val="00C226DB"/>
    <w:rsid w:val="00C365BC"/>
    <w:rsid w:val="00C43D4A"/>
    <w:rsid w:val="00C537BE"/>
    <w:rsid w:val="00C60F8F"/>
    <w:rsid w:val="00C6159A"/>
    <w:rsid w:val="00CB74E1"/>
    <w:rsid w:val="00CD4D25"/>
    <w:rsid w:val="00D01B42"/>
    <w:rsid w:val="00D2523F"/>
    <w:rsid w:val="00D55EE2"/>
    <w:rsid w:val="00D65B8D"/>
    <w:rsid w:val="00DF7161"/>
    <w:rsid w:val="00E0208A"/>
    <w:rsid w:val="00E0796F"/>
    <w:rsid w:val="00E2702D"/>
    <w:rsid w:val="00E57DDE"/>
    <w:rsid w:val="00E61529"/>
    <w:rsid w:val="00E74FFD"/>
    <w:rsid w:val="00E92059"/>
    <w:rsid w:val="00EB155B"/>
    <w:rsid w:val="00EC11E0"/>
    <w:rsid w:val="00ED518A"/>
    <w:rsid w:val="00EE1240"/>
    <w:rsid w:val="00EE6B22"/>
    <w:rsid w:val="00EF6755"/>
    <w:rsid w:val="00F5575C"/>
    <w:rsid w:val="00F660C7"/>
    <w:rsid w:val="00FD67E1"/>
    <w:rsid w:val="00FE76AE"/>
    <w:rsid w:val="00FF0B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3CEFB"/>
  <w15:chartTrackingRefBased/>
  <w15:docId w15:val="{B33C0CC4-FA3F-4715-8BC8-41E59B971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A0C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A0C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A0C8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A0C8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A0C8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A0C8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A0C8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A0C8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A0C8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0C8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A0C8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A0C8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A0C8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A0C8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A0C8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0C8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0C8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0C85"/>
    <w:rPr>
      <w:rFonts w:eastAsiaTheme="majorEastAsia" w:cstheme="majorBidi"/>
      <w:color w:val="272727" w:themeColor="text1" w:themeTint="D8"/>
    </w:rPr>
  </w:style>
  <w:style w:type="paragraph" w:styleId="Title">
    <w:name w:val="Title"/>
    <w:basedOn w:val="Normal"/>
    <w:next w:val="Normal"/>
    <w:link w:val="TitleChar"/>
    <w:uiPriority w:val="10"/>
    <w:qFormat/>
    <w:rsid w:val="008A0C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0C8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0C8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A0C8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A0C85"/>
    <w:pPr>
      <w:spacing w:before="160"/>
      <w:jc w:val="center"/>
    </w:pPr>
    <w:rPr>
      <w:i/>
      <w:iCs/>
      <w:color w:val="404040" w:themeColor="text1" w:themeTint="BF"/>
    </w:rPr>
  </w:style>
  <w:style w:type="character" w:customStyle="1" w:styleId="QuoteChar">
    <w:name w:val="Quote Char"/>
    <w:basedOn w:val="DefaultParagraphFont"/>
    <w:link w:val="Quote"/>
    <w:uiPriority w:val="29"/>
    <w:rsid w:val="008A0C85"/>
    <w:rPr>
      <w:i/>
      <w:iCs/>
      <w:color w:val="404040" w:themeColor="text1" w:themeTint="BF"/>
    </w:rPr>
  </w:style>
  <w:style w:type="paragraph" w:styleId="ListParagraph">
    <w:name w:val="List Paragraph"/>
    <w:basedOn w:val="Normal"/>
    <w:uiPriority w:val="34"/>
    <w:qFormat/>
    <w:rsid w:val="008A0C85"/>
    <w:pPr>
      <w:ind w:left="720"/>
      <w:contextualSpacing/>
    </w:pPr>
  </w:style>
  <w:style w:type="character" w:styleId="IntenseEmphasis">
    <w:name w:val="Intense Emphasis"/>
    <w:basedOn w:val="DefaultParagraphFont"/>
    <w:uiPriority w:val="21"/>
    <w:qFormat/>
    <w:rsid w:val="008A0C85"/>
    <w:rPr>
      <w:i/>
      <w:iCs/>
      <w:color w:val="0F4761" w:themeColor="accent1" w:themeShade="BF"/>
    </w:rPr>
  </w:style>
  <w:style w:type="paragraph" w:styleId="IntenseQuote">
    <w:name w:val="Intense Quote"/>
    <w:basedOn w:val="Normal"/>
    <w:next w:val="Normal"/>
    <w:link w:val="IntenseQuoteChar"/>
    <w:uiPriority w:val="30"/>
    <w:qFormat/>
    <w:rsid w:val="008A0C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A0C85"/>
    <w:rPr>
      <w:i/>
      <w:iCs/>
      <w:color w:val="0F4761" w:themeColor="accent1" w:themeShade="BF"/>
    </w:rPr>
  </w:style>
  <w:style w:type="character" w:styleId="IntenseReference">
    <w:name w:val="Intense Reference"/>
    <w:basedOn w:val="DefaultParagraphFont"/>
    <w:uiPriority w:val="32"/>
    <w:qFormat/>
    <w:rsid w:val="008A0C85"/>
    <w:rPr>
      <w:b/>
      <w:bCs/>
      <w:smallCaps/>
      <w:color w:val="0F4761" w:themeColor="accent1" w:themeShade="BF"/>
      <w:spacing w:val="5"/>
    </w:rPr>
  </w:style>
  <w:style w:type="table" w:styleId="TableGrid">
    <w:name w:val="Table Grid"/>
    <w:basedOn w:val="TableNormal"/>
    <w:uiPriority w:val="39"/>
    <w:rsid w:val="00D2523F"/>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038469">
      <w:bodyDiv w:val="1"/>
      <w:marLeft w:val="0"/>
      <w:marRight w:val="0"/>
      <w:marTop w:val="0"/>
      <w:marBottom w:val="0"/>
      <w:divBdr>
        <w:top w:val="none" w:sz="0" w:space="0" w:color="auto"/>
        <w:left w:val="none" w:sz="0" w:space="0" w:color="auto"/>
        <w:bottom w:val="none" w:sz="0" w:space="0" w:color="auto"/>
        <w:right w:val="none" w:sz="0" w:space="0" w:color="auto"/>
      </w:divBdr>
    </w:div>
    <w:div w:id="322469169">
      <w:bodyDiv w:val="1"/>
      <w:marLeft w:val="0"/>
      <w:marRight w:val="0"/>
      <w:marTop w:val="0"/>
      <w:marBottom w:val="0"/>
      <w:divBdr>
        <w:top w:val="none" w:sz="0" w:space="0" w:color="auto"/>
        <w:left w:val="none" w:sz="0" w:space="0" w:color="auto"/>
        <w:bottom w:val="none" w:sz="0" w:space="0" w:color="auto"/>
        <w:right w:val="none" w:sz="0" w:space="0" w:color="auto"/>
      </w:divBdr>
    </w:div>
    <w:div w:id="452020622">
      <w:bodyDiv w:val="1"/>
      <w:marLeft w:val="0"/>
      <w:marRight w:val="0"/>
      <w:marTop w:val="0"/>
      <w:marBottom w:val="0"/>
      <w:divBdr>
        <w:top w:val="none" w:sz="0" w:space="0" w:color="auto"/>
        <w:left w:val="none" w:sz="0" w:space="0" w:color="auto"/>
        <w:bottom w:val="none" w:sz="0" w:space="0" w:color="auto"/>
        <w:right w:val="none" w:sz="0" w:space="0" w:color="auto"/>
      </w:divBdr>
    </w:div>
    <w:div w:id="465322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ec07feb-fdf8-4461-9102-7e3ffb45513f"/>
    <lcf76f155ced4ddcb4097134ff3c332f xmlns="d075b51f-1526-46da-be37-2af136ec72a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2BCC7D5EFC7F41972C352A9E950CFD" ma:contentTypeVersion="15" ma:contentTypeDescription="Create a new document." ma:contentTypeScope="" ma:versionID="36b08323d4a1034e6817773ed792833b">
  <xsd:schema xmlns:xsd="http://www.w3.org/2001/XMLSchema" xmlns:xs="http://www.w3.org/2001/XMLSchema" xmlns:p="http://schemas.microsoft.com/office/2006/metadata/properties" xmlns:ns2="d075b51f-1526-46da-be37-2af136ec72aa" xmlns:ns3="dec07feb-fdf8-4461-9102-7e3ffb45513f" targetNamespace="http://schemas.microsoft.com/office/2006/metadata/properties" ma:root="true" ma:fieldsID="428774cdd234a71fc832ba12ac1b4236" ns2:_="" ns3:_="">
    <xsd:import namespace="d075b51f-1526-46da-be37-2af136ec72aa"/>
    <xsd:import namespace="dec07feb-fdf8-4461-9102-7e3ffb45513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75b51f-1526-46da-be37-2af136ec72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4fbf193-6095-4a10-926f-acd1a21c05e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ec07feb-fdf8-4461-9102-7e3ffb45513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10ccd57-9e69-4a10-819d-3902aacf3bc8}" ma:internalName="TaxCatchAll" ma:showField="CatchAllData" ma:web="dec07feb-fdf8-4461-9102-7e3ffb45513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287C9D-EEDB-4D87-80DF-796AF6FB7545}">
  <ds:schemaRefs>
    <ds:schemaRef ds:uri="http://schemas.microsoft.com/office/2006/metadata/properties"/>
    <ds:schemaRef ds:uri="http://schemas.microsoft.com/office/infopath/2007/PartnerControls"/>
    <ds:schemaRef ds:uri="dec07feb-fdf8-4461-9102-7e3ffb45513f"/>
    <ds:schemaRef ds:uri="d075b51f-1526-46da-be37-2af136ec72aa"/>
  </ds:schemaRefs>
</ds:datastoreItem>
</file>

<file path=customXml/itemProps2.xml><?xml version="1.0" encoding="utf-8"?>
<ds:datastoreItem xmlns:ds="http://schemas.openxmlformats.org/officeDocument/2006/customXml" ds:itemID="{FC012F7F-F678-4683-BE20-51CECC0B05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75b51f-1526-46da-be37-2af136ec72aa"/>
    <ds:schemaRef ds:uri="dec07feb-fdf8-4461-9102-7e3ffb4551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7ABA88-2259-4E6B-ADEB-0D621259E3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1663</Words>
  <Characters>9481</Characters>
  <Application>Microsoft Office Word</Application>
  <DocSecurity>0</DocSecurity>
  <Lines>79</Lines>
  <Paragraphs>22</Paragraphs>
  <ScaleCrop>false</ScaleCrop>
  <Company/>
  <LinksUpToDate>false</LinksUpToDate>
  <CharactersWithSpaces>11122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Keithan</dc:creator>
  <cp:keywords/>
  <dc:description/>
  <cp:lastModifiedBy>Jessica Keithan</cp:lastModifiedBy>
  <cp:revision>39</cp:revision>
  <dcterms:created xsi:type="dcterms:W3CDTF">2025-02-12T18:34:00Z</dcterms:created>
  <dcterms:modified xsi:type="dcterms:W3CDTF">2025-02-14T17:41:00Z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0x0101000C2BCC7D5EFC7F41972C352A9E950CFD</vt:lpwstr>
  </property>
</Properties>
</file>