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3A918" w14:textId="77777777" w:rsidR="004426EF" w:rsidRDefault="004426EF" w:rsidP="000E7992">
      <w:pPr>
        <w:jc w:val="center"/>
      </w:pPr>
      <w:bookmarkStart w:id="0" w:name="_Hlk163722991"/>
      <w:r>
        <w:t>SOAH DOCKET NO. 473-24-07154</w:t>
      </w:r>
    </w:p>
    <w:p w14:paraId="051AC6C7" w14:textId="77777777" w:rsidR="004426EF" w:rsidRDefault="004426EF" w:rsidP="000E7992">
      <w:pPr>
        <w:spacing w:after="240"/>
        <w:jc w:val="center"/>
      </w:pPr>
      <w:r>
        <w:t>PUC DOCKET NO. 55338</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780"/>
        <w:gridCol w:w="3900"/>
      </w:tblGrid>
      <w:tr w:rsidR="004426EF" w14:paraId="7FA9A35D" w14:textId="77777777" w:rsidTr="006B464A">
        <w:trPr>
          <w:jc w:val="center"/>
        </w:trPr>
        <w:tc>
          <w:tcPr>
            <w:tcW w:w="4320" w:type="dxa"/>
          </w:tcPr>
          <w:bookmarkEnd w:id="0"/>
          <w:p w14:paraId="6F487796" w14:textId="7895A3F2" w:rsidR="004426EF" w:rsidRDefault="004426EF" w:rsidP="002E5A31">
            <w:pPr>
              <w:ind w:left="0" w:firstLine="0"/>
            </w:pPr>
            <w:r>
              <w:t>PROCEEDING TO RESOLVE ISSUES IN DOCKET NO. 53719 RELATED TO TRANSPORTATION ELECTRI</w:t>
            </w:r>
            <w:r w:rsidR="00F21304">
              <w:t>FI</w:t>
            </w:r>
            <w:r>
              <w:t>CATION AND CHARGING INFRASTRUCTURE</w:t>
            </w:r>
          </w:p>
        </w:tc>
        <w:tc>
          <w:tcPr>
            <w:tcW w:w="720" w:type="dxa"/>
          </w:tcPr>
          <w:p w14:paraId="6431FC0C" w14:textId="692A4510" w:rsidR="004426EF" w:rsidRDefault="004426EF" w:rsidP="008A73EE">
            <w:pPr>
              <w:ind w:left="0" w:firstLine="0"/>
              <w:jc w:val="center"/>
            </w:pPr>
            <w:r>
              <w:t>)</w:t>
            </w:r>
          </w:p>
          <w:p w14:paraId="5E1D5E91" w14:textId="54ECE915" w:rsidR="003C6E53" w:rsidRDefault="002C72F8" w:rsidP="008A73EE">
            <w:pPr>
              <w:ind w:left="0" w:firstLine="0"/>
              <w:jc w:val="center"/>
            </w:pPr>
            <w:r>
              <w:t>)</w:t>
            </w:r>
          </w:p>
          <w:p w14:paraId="6C9F40A8" w14:textId="77777777" w:rsidR="004426EF" w:rsidRDefault="004426EF" w:rsidP="008A73EE">
            <w:pPr>
              <w:ind w:left="0" w:firstLine="0"/>
              <w:jc w:val="center"/>
            </w:pPr>
            <w:r>
              <w:t>)</w:t>
            </w:r>
          </w:p>
          <w:p w14:paraId="3480673E" w14:textId="77777777" w:rsidR="004426EF" w:rsidRDefault="004426EF" w:rsidP="008A73EE">
            <w:pPr>
              <w:ind w:left="0" w:firstLine="0"/>
              <w:jc w:val="center"/>
            </w:pPr>
            <w:r>
              <w:t>)</w:t>
            </w:r>
          </w:p>
        </w:tc>
        <w:tc>
          <w:tcPr>
            <w:tcW w:w="3600" w:type="dxa"/>
          </w:tcPr>
          <w:p w14:paraId="3D0572E4" w14:textId="77777777" w:rsidR="004426EF" w:rsidRDefault="004426EF" w:rsidP="003C6E53">
            <w:pPr>
              <w:ind w:left="0" w:firstLine="0"/>
              <w:jc w:val="center"/>
            </w:pPr>
            <w:r>
              <w:t>BEFORE THE STATE OFFICE</w:t>
            </w:r>
          </w:p>
          <w:p w14:paraId="1515659B" w14:textId="77777777" w:rsidR="004426EF" w:rsidRDefault="004426EF" w:rsidP="003C6E53">
            <w:pPr>
              <w:ind w:left="0" w:firstLine="0"/>
              <w:jc w:val="center"/>
            </w:pPr>
            <w:r>
              <w:t>OF</w:t>
            </w:r>
          </w:p>
          <w:p w14:paraId="70E79770" w14:textId="77777777" w:rsidR="004426EF" w:rsidRDefault="004426EF" w:rsidP="003C6E53">
            <w:pPr>
              <w:ind w:left="0" w:firstLine="0"/>
              <w:jc w:val="center"/>
            </w:pPr>
            <w:r>
              <w:t>ADMINISTRATIVE HEARINGS</w:t>
            </w:r>
          </w:p>
        </w:tc>
      </w:tr>
    </w:tbl>
    <w:p w14:paraId="03540535" w14:textId="0FE7E578" w:rsidR="00B22C8A" w:rsidRPr="00836518" w:rsidRDefault="00836518" w:rsidP="00B22C8A">
      <w:pPr>
        <w:pStyle w:val="BodyTextIndent2"/>
        <w:spacing w:before="240" w:after="240" w:line="240" w:lineRule="auto"/>
        <w:ind w:firstLine="0"/>
        <w:jc w:val="center"/>
        <w:rPr>
          <w:rFonts w:cs="Arial"/>
          <w:b/>
          <w:bCs/>
          <w:szCs w:val="24"/>
          <w:u w:val="single"/>
        </w:rPr>
      </w:pPr>
      <w:r>
        <w:rPr>
          <w:rFonts w:cs="Arial"/>
          <w:b/>
          <w:bCs/>
          <w:szCs w:val="24"/>
          <w:u w:val="single"/>
        </w:rPr>
        <w:t>POST-HEARING BRIEF OF WALMART INC.</w:t>
      </w:r>
    </w:p>
    <w:p w14:paraId="7A15FFAB" w14:textId="134D195B" w:rsidR="006F5ADD" w:rsidRDefault="002F134C" w:rsidP="00A315E6">
      <w:pPr>
        <w:pStyle w:val="BodyTextIndent2"/>
        <w:jc w:val="left"/>
      </w:pPr>
      <w:r w:rsidRPr="00944A79">
        <w:rPr>
          <w:rFonts w:cs="Arial"/>
          <w:szCs w:val="24"/>
        </w:rPr>
        <w:t>Wal</w:t>
      </w:r>
      <w:r w:rsidR="00B10B5C" w:rsidRPr="00944A79">
        <w:rPr>
          <w:rFonts w:cs="Arial"/>
          <w:szCs w:val="24"/>
        </w:rPr>
        <w:t>m</w:t>
      </w:r>
      <w:r w:rsidRPr="00944A79">
        <w:rPr>
          <w:rFonts w:cs="Arial"/>
          <w:szCs w:val="24"/>
        </w:rPr>
        <w:t xml:space="preserve">art </w:t>
      </w:r>
      <w:r w:rsidR="001B2446" w:rsidRPr="00944A79">
        <w:rPr>
          <w:rFonts w:cs="Arial"/>
          <w:szCs w:val="24"/>
        </w:rPr>
        <w:t xml:space="preserve">Inc. </w:t>
      </w:r>
      <w:r w:rsidRPr="00944A79">
        <w:rPr>
          <w:rFonts w:cs="Arial"/>
          <w:szCs w:val="24"/>
        </w:rPr>
        <w:t>(“Wal</w:t>
      </w:r>
      <w:r w:rsidR="00B261A1" w:rsidRPr="00944A79">
        <w:rPr>
          <w:rFonts w:cs="Arial"/>
          <w:szCs w:val="24"/>
        </w:rPr>
        <w:t>m</w:t>
      </w:r>
      <w:r w:rsidRPr="00944A79">
        <w:rPr>
          <w:rFonts w:cs="Arial"/>
          <w:szCs w:val="24"/>
        </w:rPr>
        <w:t xml:space="preserve">art”) </w:t>
      </w:r>
      <w:r w:rsidRPr="00944A79">
        <w:t xml:space="preserve">respectfully </w:t>
      </w:r>
      <w:r w:rsidR="00B70FF3" w:rsidRPr="00944A79">
        <w:t>submit</w:t>
      </w:r>
      <w:r w:rsidR="00F008FC">
        <w:t>s</w:t>
      </w:r>
      <w:r w:rsidR="00B70FF3" w:rsidRPr="00944A79">
        <w:t xml:space="preserve"> </w:t>
      </w:r>
      <w:r w:rsidR="00E9000D" w:rsidRPr="00944A79">
        <w:t>i</w:t>
      </w:r>
      <w:r w:rsidR="00B70FF3" w:rsidRPr="00944A79">
        <w:t>t</w:t>
      </w:r>
      <w:r w:rsidR="00E9000D" w:rsidRPr="00944A79">
        <w:t>s</w:t>
      </w:r>
      <w:r w:rsidR="00207599" w:rsidRPr="00944A79">
        <w:t xml:space="preserve"> </w:t>
      </w:r>
      <w:r w:rsidR="00D91E82">
        <w:t>P</w:t>
      </w:r>
      <w:r w:rsidR="00B70FF3" w:rsidRPr="00944A79">
        <w:t>ost-</w:t>
      </w:r>
      <w:r w:rsidR="00D91E82">
        <w:t>H</w:t>
      </w:r>
      <w:r w:rsidR="00B70FF3" w:rsidRPr="00944A79">
        <w:t xml:space="preserve">earing </w:t>
      </w:r>
      <w:r w:rsidR="00D91E82">
        <w:t>B</w:t>
      </w:r>
      <w:r w:rsidR="00B70FF3" w:rsidRPr="00944A79">
        <w:t>rie</w:t>
      </w:r>
      <w:r w:rsidR="00062F96">
        <w:t>f</w:t>
      </w:r>
      <w:r w:rsidR="00164E4B">
        <w:t xml:space="preserve"> </w:t>
      </w:r>
      <w:r w:rsidR="0065008C" w:rsidRPr="00944A79">
        <w:t>address</w:t>
      </w:r>
      <w:r w:rsidR="00164E4B">
        <w:t>ing</w:t>
      </w:r>
      <w:r w:rsidR="0065008C" w:rsidRPr="00944A79">
        <w:t xml:space="preserve"> </w:t>
      </w:r>
      <w:r w:rsidR="00CE5EE7">
        <w:t xml:space="preserve">only </w:t>
      </w:r>
      <w:r w:rsidR="00AF2E31" w:rsidRPr="00944A79">
        <w:t xml:space="preserve">the </w:t>
      </w:r>
      <w:r w:rsidR="002E0B97" w:rsidRPr="00944A79">
        <w:t xml:space="preserve">briefing outline </w:t>
      </w:r>
      <w:r w:rsidR="00AF2E31" w:rsidRPr="00944A79">
        <w:t>issues</w:t>
      </w:r>
      <w:r w:rsidR="0065008C" w:rsidRPr="00944A79">
        <w:t xml:space="preserve"> specifically </w:t>
      </w:r>
      <w:r w:rsidR="002E0B97" w:rsidRPr="00944A79">
        <w:t>addressed by Walmart</w:t>
      </w:r>
      <w:r w:rsidR="00471EEF">
        <w:t>’s witness</w:t>
      </w:r>
      <w:r w:rsidR="00A75A34" w:rsidRPr="00944A79">
        <w:t>.</w:t>
      </w:r>
    </w:p>
    <w:p w14:paraId="3DFA46D6" w14:textId="77777777" w:rsidR="00A57861" w:rsidRPr="00CE5EE7" w:rsidRDefault="00A57861" w:rsidP="00E1496A">
      <w:pPr>
        <w:numPr>
          <w:ilvl w:val="0"/>
          <w:numId w:val="36"/>
        </w:numPr>
        <w:pBdr>
          <w:bottom w:val="single" w:sz="4" w:space="1" w:color="auto"/>
        </w:pBdr>
        <w:tabs>
          <w:tab w:val="left" w:pos="1199"/>
        </w:tabs>
        <w:autoSpaceDE w:val="0"/>
        <w:autoSpaceDN w:val="0"/>
        <w:spacing w:after="240"/>
        <w:ind w:left="720"/>
        <w:rPr>
          <w:rFonts w:cs="Arial"/>
          <w:b/>
          <w:szCs w:val="22"/>
        </w:rPr>
      </w:pPr>
      <w:r w:rsidRPr="00A57861">
        <w:rPr>
          <w:rFonts w:cs="Arial"/>
          <w:b/>
          <w:spacing w:val="-2"/>
          <w:szCs w:val="22"/>
        </w:rPr>
        <w:t>Introduction/Summary</w:t>
      </w:r>
    </w:p>
    <w:p w14:paraId="77019C57" w14:textId="391658B1" w:rsidR="007A2D76" w:rsidRPr="007A2D76" w:rsidRDefault="007A2D76" w:rsidP="009511A2">
      <w:pPr>
        <w:spacing w:line="480" w:lineRule="auto"/>
        <w:ind w:firstLine="720"/>
        <w:rPr>
          <w:rFonts w:cs="Arial"/>
          <w:i/>
          <w:iCs/>
          <w:szCs w:val="24"/>
          <w:u w:val="single"/>
        </w:rPr>
      </w:pPr>
      <w:r>
        <w:rPr>
          <w:rFonts w:cs="Arial"/>
          <w:i/>
          <w:iCs/>
          <w:szCs w:val="24"/>
          <w:u w:val="single"/>
        </w:rPr>
        <w:t>Introduction</w:t>
      </w:r>
    </w:p>
    <w:p w14:paraId="6F5540FB" w14:textId="69048191" w:rsidR="009511A2" w:rsidRPr="00944A79" w:rsidRDefault="00A437BE" w:rsidP="009511A2">
      <w:pPr>
        <w:spacing w:line="480" w:lineRule="auto"/>
        <w:ind w:firstLine="720"/>
        <w:rPr>
          <w:rFonts w:cstheme="minorHAnsi"/>
          <w:szCs w:val="24"/>
        </w:rPr>
      </w:pPr>
      <w:r>
        <w:rPr>
          <w:rFonts w:cs="Arial"/>
          <w:szCs w:val="24"/>
        </w:rPr>
        <w:t>Walmart is an international retailer</w:t>
      </w:r>
      <w:r w:rsidR="00562278">
        <w:rPr>
          <w:rFonts w:cs="Arial"/>
          <w:szCs w:val="24"/>
        </w:rPr>
        <w:t xml:space="preserve"> with </w:t>
      </w:r>
      <w:r w:rsidR="00562278" w:rsidRPr="0043199E">
        <w:rPr>
          <w:rFonts w:cs="Arial"/>
          <w:szCs w:val="24"/>
        </w:rPr>
        <w:t>590 retail units, four fulfillment centers and 22 distribution centers in Texas, employ</w:t>
      </w:r>
      <w:r w:rsidR="00562278">
        <w:rPr>
          <w:rFonts w:cs="Arial"/>
          <w:szCs w:val="24"/>
        </w:rPr>
        <w:t>ing</w:t>
      </w:r>
      <w:r w:rsidR="00562278" w:rsidRPr="0043199E">
        <w:rPr>
          <w:rFonts w:cs="Arial"/>
          <w:szCs w:val="24"/>
        </w:rPr>
        <w:t xml:space="preserve"> over 177,700 associates.</w:t>
      </w:r>
      <w:r w:rsidR="00BE2E4F">
        <w:rPr>
          <w:rStyle w:val="FootnoteReference"/>
          <w:rFonts w:cs="Arial"/>
          <w:szCs w:val="24"/>
        </w:rPr>
        <w:footnoteReference w:id="1"/>
      </w:r>
      <w:r w:rsidR="009511A2" w:rsidRPr="009511A2">
        <w:rPr>
          <w:rFonts w:cstheme="minorHAnsi"/>
          <w:szCs w:val="24"/>
        </w:rPr>
        <w:t xml:space="preserve"> </w:t>
      </w:r>
      <w:r w:rsidR="009511A2" w:rsidRPr="00944A79">
        <w:rPr>
          <w:rFonts w:cstheme="minorHAnsi"/>
          <w:szCs w:val="24"/>
        </w:rPr>
        <w:t>Approximately 2</w:t>
      </w:r>
      <w:r w:rsidR="009511A2">
        <w:rPr>
          <w:rFonts w:cstheme="minorHAnsi"/>
          <w:szCs w:val="24"/>
        </w:rPr>
        <w:t>1</w:t>
      </w:r>
      <w:r w:rsidR="009511A2" w:rsidRPr="00944A79">
        <w:rPr>
          <w:rFonts w:cstheme="minorHAnsi"/>
          <w:szCs w:val="24"/>
        </w:rPr>
        <w:t xml:space="preserve"> of</w:t>
      </w:r>
      <w:r w:rsidR="009511A2">
        <w:rPr>
          <w:rFonts w:cstheme="minorHAnsi"/>
          <w:szCs w:val="24"/>
        </w:rPr>
        <w:t xml:space="preserve"> Walmart’s Texas</w:t>
      </w:r>
      <w:r w:rsidR="009511A2" w:rsidRPr="00944A79">
        <w:rPr>
          <w:rFonts w:cstheme="minorHAnsi"/>
          <w:szCs w:val="24"/>
        </w:rPr>
        <w:t xml:space="preserve"> stores, </w:t>
      </w:r>
      <w:r w:rsidR="009511A2">
        <w:rPr>
          <w:rFonts w:cstheme="minorHAnsi"/>
          <w:szCs w:val="24"/>
        </w:rPr>
        <w:t xml:space="preserve">one </w:t>
      </w:r>
      <w:r w:rsidR="009511A2" w:rsidRPr="00944A79">
        <w:rPr>
          <w:rFonts w:cstheme="minorHAnsi"/>
          <w:szCs w:val="24"/>
        </w:rPr>
        <w:t xml:space="preserve">distribution centers and related facilities take electric service </w:t>
      </w:r>
      <w:r w:rsidR="009511A2" w:rsidRPr="00306019">
        <w:rPr>
          <w:rFonts w:cstheme="minorHAnsi"/>
          <w:szCs w:val="24"/>
        </w:rPr>
        <w:t xml:space="preserve">from </w:t>
      </w:r>
      <w:r w:rsidR="009A6AEB">
        <w:rPr>
          <w:rFonts w:cstheme="minorHAnsi"/>
          <w:szCs w:val="24"/>
        </w:rPr>
        <w:t xml:space="preserve">Entergy Texas, Inc. </w:t>
      </w:r>
      <w:r w:rsidR="009511A2">
        <w:rPr>
          <w:rFonts w:cstheme="minorHAnsi"/>
          <w:szCs w:val="24"/>
        </w:rPr>
        <w:t>u</w:t>
      </w:r>
      <w:r w:rsidR="009511A2" w:rsidRPr="00306019">
        <w:rPr>
          <w:rFonts w:cstheme="minorHAnsi"/>
          <w:szCs w:val="24"/>
        </w:rPr>
        <w:t>n</w:t>
      </w:r>
      <w:r w:rsidR="009511A2">
        <w:rPr>
          <w:rFonts w:cstheme="minorHAnsi"/>
          <w:szCs w:val="24"/>
        </w:rPr>
        <w:t>der its</w:t>
      </w:r>
      <w:r w:rsidR="009511A2" w:rsidRPr="00306019">
        <w:rPr>
          <w:rFonts w:cstheme="minorHAnsi"/>
          <w:szCs w:val="24"/>
        </w:rPr>
        <w:t xml:space="preserve"> Large General Service, General Service or Small General Service </w:t>
      </w:r>
      <w:r w:rsidR="009511A2">
        <w:rPr>
          <w:rFonts w:cstheme="minorHAnsi"/>
          <w:szCs w:val="24"/>
        </w:rPr>
        <w:t>tariff</w:t>
      </w:r>
      <w:r w:rsidR="00E02A3C">
        <w:rPr>
          <w:rFonts w:cstheme="minorHAnsi"/>
          <w:szCs w:val="24"/>
        </w:rPr>
        <w:t>s</w:t>
      </w:r>
      <w:r w:rsidR="009511A2" w:rsidRPr="00306019">
        <w:rPr>
          <w:rFonts w:cstheme="minorHAnsi"/>
          <w:szCs w:val="24"/>
        </w:rPr>
        <w:t>.</w:t>
      </w:r>
      <w:r w:rsidR="00DC4682">
        <w:rPr>
          <w:rStyle w:val="FootnoteReference"/>
          <w:rFonts w:cstheme="minorHAnsi"/>
          <w:szCs w:val="24"/>
        </w:rPr>
        <w:footnoteReference w:id="2"/>
      </w:r>
    </w:p>
    <w:p w14:paraId="117A5A3B" w14:textId="33C3CF3A" w:rsidR="00905681" w:rsidRDefault="00905681" w:rsidP="00905681">
      <w:pPr>
        <w:spacing w:line="480" w:lineRule="auto"/>
        <w:ind w:firstLine="720"/>
        <w:rPr>
          <w:rFonts w:cs="Arial"/>
          <w:szCs w:val="24"/>
        </w:rPr>
      </w:pPr>
      <w:r w:rsidRPr="002524DE">
        <w:rPr>
          <w:rFonts w:cs="Arial"/>
          <w:szCs w:val="24"/>
        </w:rPr>
        <w:t xml:space="preserve">Walmart </w:t>
      </w:r>
      <w:r w:rsidR="00EB08AC">
        <w:rPr>
          <w:rFonts w:cs="Arial"/>
          <w:szCs w:val="24"/>
        </w:rPr>
        <w:t xml:space="preserve">also </w:t>
      </w:r>
      <w:r w:rsidRPr="002524DE">
        <w:rPr>
          <w:rFonts w:cs="Arial"/>
          <w:szCs w:val="24"/>
        </w:rPr>
        <w:t xml:space="preserve">has substantial experience offering </w:t>
      </w:r>
      <w:r w:rsidR="00F67264">
        <w:rPr>
          <w:rFonts w:cs="Arial"/>
          <w:szCs w:val="24"/>
        </w:rPr>
        <w:t>electric vehicle (“</w:t>
      </w:r>
      <w:r w:rsidRPr="002524DE">
        <w:rPr>
          <w:rFonts w:cs="Arial"/>
          <w:szCs w:val="24"/>
        </w:rPr>
        <w:t>EV</w:t>
      </w:r>
      <w:r w:rsidR="00F67264">
        <w:rPr>
          <w:rFonts w:cs="Arial"/>
          <w:szCs w:val="24"/>
        </w:rPr>
        <w:t>”)</w:t>
      </w:r>
      <w:r w:rsidRPr="002524DE">
        <w:rPr>
          <w:rFonts w:cs="Arial"/>
          <w:szCs w:val="24"/>
        </w:rPr>
        <w:t xml:space="preserve"> charging to its customers </w:t>
      </w:r>
      <w:r w:rsidR="00B53248">
        <w:rPr>
          <w:rFonts w:cs="Arial"/>
          <w:szCs w:val="24"/>
        </w:rPr>
        <w:t xml:space="preserve">in other </w:t>
      </w:r>
      <w:r w:rsidR="00E02A3C">
        <w:rPr>
          <w:rFonts w:cs="Arial"/>
          <w:szCs w:val="24"/>
        </w:rPr>
        <w:t>jurisdictions and</w:t>
      </w:r>
      <w:r w:rsidRPr="002524DE">
        <w:rPr>
          <w:rFonts w:cs="Arial"/>
          <w:szCs w:val="24"/>
        </w:rPr>
        <w:t xml:space="preserve"> is actively growing its presence in the EV charging space. Walmart currently hosts more than 1,200 public Direct Current Fast Chargers at 285 different locations and across 43 states</w:t>
      </w:r>
      <w:r w:rsidR="00374E6D">
        <w:rPr>
          <w:rFonts w:cs="Arial"/>
          <w:szCs w:val="24"/>
        </w:rPr>
        <w:t xml:space="preserve"> and</w:t>
      </w:r>
      <w:r w:rsidRPr="002524DE">
        <w:rPr>
          <w:rFonts w:cs="Arial"/>
          <w:szCs w:val="24"/>
        </w:rPr>
        <w:t xml:space="preserve"> </w:t>
      </w:r>
      <w:r w:rsidR="000D34AD">
        <w:rPr>
          <w:rFonts w:cs="Arial"/>
          <w:szCs w:val="24"/>
        </w:rPr>
        <w:t>plans</w:t>
      </w:r>
      <w:r w:rsidRPr="002524DE">
        <w:rPr>
          <w:rFonts w:cs="Arial"/>
          <w:szCs w:val="24"/>
        </w:rPr>
        <w:t xml:space="preserve"> to build its own EV fast-charging ne</w:t>
      </w:r>
      <w:r>
        <w:rPr>
          <w:rFonts w:cs="Arial"/>
          <w:szCs w:val="24"/>
        </w:rPr>
        <w:t>tw</w:t>
      </w:r>
      <w:r w:rsidRPr="002524DE">
        <w:rPr>
          <w:rFonts w:cs="Arial"/>
          <w:szCs w:val="24"/>
        </w:rPr>
        <w:t>ork at thousands of Walmart and Sam's Club locations across the U.S. over the next fe</w:t>
      </w:r>
      <w:r>
        <w:rPr>
          <w:rFonts w:cs="Arial"/>
          <w:szCs w:val="24"/>
        </w:rPr>
        <w:t>w years.</w:t>
      </w:r>
      <w:r w:rsidRPr="00306304">
        <w:t xml:space="preserve"> </w:t>
      </w:r>
      <w:r w:rsidRPr="00306304">
        <w:rPr>
          <w:rFonts w:cs="Arial"/>
          <w:szCs w:val="24"/>
        </w:rPr>
        <w:t>Walmart</w:t>
      </w:r>
      <w:r w:rsidR="00140258">
        <w:rPr>
          <w:rFonts w:cs="Arial"/>
          <w:szCs w:val="24"/>
        </w:rPr>
        <w:t>’s</w:t>
      </w:r>
      <w:r w:rsidRPr="00306304">
        <w:rPr>
          <w:rFonts w:cs="Arial"/>
          <w:szCs w:val="24"/>
        </w:rPr>
        <w:t xml:space="preserve"> retail sites are ideally situated for EV charging stations</w:t>
      </w:r>
      <w:r w:rsidR="000D34AD">
        <w:rPr>
          <w:rFonts w:cs="Arial"/>
          <w:szCs w:val="24"/>
        </w:rPr>
        <w:t xml:space="preserve"> </w:t>
      </w:r>
      <w:r w:rsidRPr="00306304">
        <w:rPr>
          <w:rFonts w:cs="Arial"/>
          <w:szCs w:val="24"/>
        </w:rPr>
        <w:t xml:space="preserve">because of their large parking lots, easy public </w:t>
      </w:r>
      <w:proofErr w:type="gramStart"/>
      <w:r w:rsidRPr="00306304">
        <w:rPr>
          <w:rFonts w:cs="Arial"/>
          <w:szCs w:val="24"/>
        </w:rPr>
        <w:t>access</w:t>
      </w:r>
      <w:proofErr w:type="gramEnd"/>
      <w:r w:rsidRPr="00306304">
        <w:rPr>
          <w:rFonts w:cs="Arial"/>
          <w:szCs w:val="24"/>
        </w:rPr>
        <w:t xml:space="preserve"> and multi-site locations.</w:t>
      </w:r>
      <w:r w:rsidR="004E2B5B">
        <w:rPr>
          <w:rStyle w:val="FootnoteReference"/>
          <w:rFonts w:cs="Arial"/>
          <w:szCs w:val="24"/>
        </w:rPr>
        <w:footnoteReference w:id="3"/>
      </w:r>
    </w:p>
    <w:p w14:paraId="1DE4363E" w14:textId="0FD5F717" w:rsidR="00905681" w:rsidRDefault="00905681" w:rsidP="00905681">
      <w:pPr>
        <w:spacing w:line="480" w:lineRule="auto"/>
        <w:ind w:firstLine="720"/>
        <w:rPr>
          <w:rFonts w:cs="Arial"/>
          <w:szCs w:val="24"/>
        </w:rPr>
      </w:pPr>
      <w:r w:rsidRPr="000F37AC">
        <w:rPr>
          <w:rFonts w:cs="Arial"/>
          <w:szCs w:val="24"/>
        </w:rPr>
        <w:lastRenderedPageBreak/>
        <w:t xml:space="preserve">As part of its </w:t>
      </w:r>
      <w:r w:rsidR="007877F1">
        <w:rPr>
          <w:rFonts w:cs="Arial"/>
          <w:szCs w:val="24"/>
        </w:rPr>
        <w:t xml:space="preserve">own </w:t>
      </w:r>
      <w:r w:rsidRPr="000F37AC">
        <w:rPr>
          <w:rFonts w:cs="Arial"/>
          <w:szCs w:val="24"/>
        </w:rPr>
        <w:t>renewable energy and carbon reduction efforts, Walmart is committed to supporting EV adoption by providing EV charging stations in thousands of locations serving EV customers residing and/or working nearby, but also to advancing the nationwide EV infrastructure as a whole.</w:t>
      </w:r>
      <w:r w:rsidR="002B5DD2">
        <w:rPr>
          <w:rStyle w:val="FootnoteReference"/>
          <w:rFonts w:cs="Arial"/>
          <w:szCs w:val="24"/>
        </w:rPr>
        <w:footnoteReference w:id="4"/>
      </w:r>
      <w:r w:rsidR="00897991">
        <w:rPr>
          <w:rFonts w:cs="Arial"/>
          <w:szCs w:val="24"/>
        </w:rPr>
        <w:t xml:space="preserve"> </w:t>
      </w:r>
      <w:r w:rsidRPr="000F37AC">
        <w:rPr>
          <w:rFonts w:cs="Arial"/>
          <w:szCs w:val="24"/>
        </w:rPr>
        <w:t>Walmart offer</w:t>
      </w:r>
      <w:r w:rsidR="00F20391">
        <w:rPr>
          <w:rFonts w:cs="Arial"/>
          <w:szCs w:val="24"/>
        </w:rPr>
        <w:t>s</w:t>
      </w:r>
      <w:r w:rsidRPr="000F37AC">
        <w:rPr>
          <w:rFonts w:cs="Arial"/>
          <w:szCs w:val="24"/>
        </w:rPr>
        <w:t xml:space="preserve"> EV charging as a convenience to its customers who currently own EVs and for future EV owners</w:t>
      </w:r>
      <w:r w:rsidR="009A05E7">
        <w:rPr>
          <w:rFonts w:cs="Arial"/>
          <w:szCs w:val="24"/>
        </w:rPr>
        <w:t xml:space="preserve"> as well</w:t>
      </w:r>
      <w:r w:rsidRPr="000F37AC">
        <w:rPr>
          <w:rFonts w:cs="Arial"/>
          <w:szCs w:val="24"/>
        </w:rPr>
        <w:t>. Building an EV charging infrastructure that serves local communities, as well as corridors located within states and throughout the country, is critical as vehicle owners consider their options when purchasing a new vehicle.</w:t>
      </w:r>
      <w:r w:rsidR="00DB38D8">
        <w:rPr>
          <w:rStyle w:val="FootnoteReference"/>
          <w:rFonts w:cs="Arial"/>
          <w:szCs w:val="24"/>
        </w:rPr>
        <w:footnoteReference w:id="5"/>
      </w:r>
    </w:p>
    <w:p w14:paraId="583CD7CF" w14:textId="5D82467A" w:rsidR="00C27116" w:rsidRPr="00C27116" w:rsidRDefault="00C27116" w:rsidP="00C27116">
      <w:pPr>
        <w:spacing w:line="480" w:lineRule="auto"/>
        <w:ind w:firstLine="720"/>
        <w:rPr>
          <w:rFonts w:cs="Arial"/>
          <w:i/>
          <w:iCs/>
          <w:szCs w:val="24"/>
          <w:u w:val="single"/>
        </w:rPr>
      </w:pPr>
      <w:r>
        <w:rPr>
          <w:rFonts w:cs="Arial"/>
          <w:i/>
          <w:iCs/>
          <w:szCs w:val="24"/>
          <w:u w:val="single"/>
        </w:rPr>
        <w:t>Summary</w:t>
      </w:r>
    </w:p>
    <w:p w14:paraId="113E35DE" w14:textId="28CCEA14" w:rsidR="00315884" w:rsidRDefault="00315884" w:rsidP="00315884">
      <w:pPr>
        <w:spacing w:line="480" w:lineRule="auto"/>
        <w:ind w:firstLine="720"/>
        <w:rPr>
          <w:rFonts w:cs="Arial"/>
          <w:szCs w:val="24"/>
        </w:rPr>
      </w:pPr>
      <w:r w:rsidRPr="00944A79">
        <w:rPr>
          <w:rFonts w:cs="Arial"/>
          <w:szCs w:val="24"/>
        </w:rPr>
        <w:t xml:space="preserve">Walmart sponsored the testimony of </w:t>
      </w:r>
      <w:r w:rsidRPr="009654E2">
        <w:rPr>
          <w:rFonts w:cs="Arial"/>
          <w:szCs w:val="24"/>
        </w:rPr>
        <w:t>Eric S. Austin</w:t>
      </w:r>
      <w:r>
        <w:rPr>
          <w:rFonts w:cs="Arial"/>
          <w:szCs w:val="24"/>
        </w:rPr>
        <w:t xml:space="preserve">, </w:t>
      </w:r>
      <w:r w:rsidRPr="009654E2">
        <w:rPr>
          <w:rFonts w:cs="Arial"/>
          <w:szCs w:val="24"/>
        </w:rPr>
        <w:t>Senior Manager, Utility Partnerships.</w:t>
      </w:r>
      <w:r w:rsidR="008077CB">
        <w:rPr>
          <w:rFonts w:cs="Arial"/>
          <w:szCs w:val="24"/>
        </w:rPr>
        <w:t xml:space="preserve"> Mr. Austin’s testimony</w:t>
      </w:r>
      <w:r w:rsidR="0016316D">
        <w:rPr>
          <w:rFonts w:cs="Arial"/>
          <w:szCs w:val="24"/>
        </w:rPr>
        <w:t xml:space="preserve"> focused on </w:t>
      </w:r>
      <w:r w:rsidR="003D3FEA">
        <w:rPr>
          <w:rFonts w:cs="Arial"/>
          <w:szCs w:val="24"/>
        </w:rPr>
        <w:t>the economic</w:t>
      </w:r>
      <w:r w:rsidR="00D1492D">
        <w:rPr>
          <w:rFonts w:cs="Arial"/>
          <w:szCs w:val="24"/>
        </w:rPr>
        <w:t xml:space="preserve"> proposition</w:t>
      </w:r>
      <w:r w:rsidR="00263F32">
        <w:rPr>
          <w:rFonts w:cs="Arial"/>
          <w:szCs w:val="24"/>
        </w:rPr>
        <w:t xml:space="preserve"> presented by</w:t>
      </w:r>
      <w:r w:rsidR="00264764">
        <w:rPr>
          <w:rFonts w:cs="Arial"/>
          <w:szCs w:val="24"/>
        </w:rPr>
        <w:t xml:space="preserve"> EV charg</w:t>
      </w:r>
      <w:r w:rsidR="00263F32">
        <w:rPr>
          <w:rFonts w:cs="Arial"/>
          <w:szCs w:val="24"/>
        </w:rPr>
        <w:t xml:space="preserve">ing from </w:t>
      </w:r>
      <w:r w:rsidR="00A15141">
        <w:rPr>
          <w:rFonts w:cs="Arial"/>
          <w:szCs w:val="24"/>
        </w:rPr>
        <w:t xml:space="preserve">the </w:t>
      </w:r>
      <w:r w:rsidR="00263F32">
        <w:rPr>
          <w:rFonts w:cs="Arial"/>
          <w:szCs w:val="24"/>
        </w:rPr>
        <w:t>perspective</w:t>
      </w:r>
      <w:r w:rsidR="00A15141">
        <w:rPr>
          <w:rFonts w:cs="Arial"/>
          <w:szCs w:val="24"/>
        </w:rPr>
        <w:t xml:space="preserve"> of</w:t>
      </w:r>
      <w:r w:rsidR="00616245">
        <w:rPr>
          <w:rFonts w:cs="Arial"/>
          <w:szCs w:val="24"/>
        </w:rPr>
        <w:t xml:space="preserve"> a potential host and/or provider</w:t>
      </w:r>
      <w:r w:rsidR="009F4F03">
        <w:rPr>
          <w:rFonts w:cs="Arial"/>
          <w:szCs w:val="24"/>
        </w:rPr>
        <w:t xml:space="preserve">, and the </w:t>
      </w:r>
      <w:r w:rsidR="001549C9">
        <w:rPr>
          <w:rFonts w:cs="Arial"/>
          <w:szCs w:val="24"/>
        </w:rPr>
        <w:t xml:space="preserve">ratemaking </w:t>
      </w:r>
      <w:r w:rsidR="00536E00">
        <w:rPr>
          <w:rFonts w:cs="Arial"/>
          <w:szCs w:val="24"/>
        </w:rPr>
        <w:t xml:space="preserve">treatments needed to </w:t>
      </w:r>
      <w:r w:rsidR="00AC430A">
        <w:rPr>
          <w:rFonts w:cs="Arial"/>
          <w:szCs w:val="24"/>
        </w:rPr>
        <w:t>encourag</w:t>
      </w:r>
      <w:r w:rsidR="00EE25D1">
        <w:rPr>
          <w:rFonts w:cs="Arial"/>
          <w:szCs w:val="24"/>
        </w:rPr>
        <w:t xml:space="preserve">e </w:t>
      </w:r>
      <w:r w:rsidR="00696AAF">
        <w:rPr>
          <w:rFonts w:cs="Arial"/>
          <w:szCs w:val="24"/>
        </w:rPr>
        <w:t>development of EV</w:t>
      </w:r>
      <w:r w:rsidR="00F17481">
        <w:rPr>
          <w:rFonts w:cs="Arial"/>
          <w:szCs w:val="24"/>
        </w:rPr>
        <w:t xml:space="preserve"> charging infrastructure</w:t>
      </w:r>
      <w:r w:rsidR="0021688B">
        <w:rPr>
          <w:rFonts w:cs="Arial"/>
          <w:szCs w:val="24"/>
        </w:rPr>
        <w:t>.</w:t>
      </w:r>
    </w:p>
    <w:p w14:paraId="17AA1418" w14:textId="33BE58A1" w:rsidR="008040A7" w:rsidRDefault="001F3FE6" w:rsidP="00905681">
      <w:pPr>
        <w:spacing w:line="480" w:lineRule="auto"/>
        <w:ind w:firstLine="720"/>
        <w:rPr>
          <w:rFonts w:cs="Arial"/>
          <w:szCs w:val="24"/>
        </w:rPr>
      </w:pPr>
      <w:r>
        <w:rPr>
          <w:rFonts w:cs="Arial"/>
          <w:szCs w:val="24"/>
        </w:rPr>
        <w:t xml:space="preserve">Mr. </w:t>
      </w:r>
      <w:r w:rsidR="008040A7" w:rsidRPr="008040A7">
        <w:rPr>
          <w:rFonts w:cs="Arial"/>
          <w:szCs w:val="24"/>
        </w:rPr>
        <w:t>A</w:t>
      </w:r>
      <w:r>
        <w:rPr>
          <w:rFonts w:cs="Arial"/>
          <w:szCs w:val="24"/>
        </w:rPr>
        <w:t>ustin testified that, a</w:t>
      </w:r>
      <w:r w:rsidR="008040A7" w:rsidRPr="008040A7">
        <w:rPr>
          <w:rFonts w:cs="Arial"/>
          <w:szCs w:val="24"/>
        </w:rPr>
        <w:t xml:space="preserve">s a general rule, Walmart seeks to site EV charger locations to provide value to </w:t>
      </w:r>
      <w:r w:rsidR="00084E82">
        <w:rPr>
          <w:rFonts w:cs="Arial"/>
          <w:szCs w:val="24"/>
        </w:rPr>
        <w:t xml:space="preserve">both </w:t>
      </w:r>
      <w:r w:rsidR="008040A7" w:rsidRPr="008040A7">
        <w:rPr>
          <w:rFonts w:cs="Arial"/>
          <w:szCs w:val="24"/>
        </w:rPr>
        <w:t xml:space="preserve">Walmart and its customers. Walmart seeks to balance the risks and costs of installing and maintaining EV charging infrastructure by participating in various EV-specific programs offered through states or utility companies, such as rebate programs and make ready programs. Additionally, as discussed in more detail later, the economics of a particular EV charging station are informed, in </w:t>
      </w:r>
      <w:r w:rsidR="00A1343B">
        <w:rPr>
          <w:rFonts w:cs="Arial"/>
          <w:szCs w:val="24"/>
        </w:rPr>
        <w:t xml:space="preserve">large </w:t>
      </w:r>
      <w:r w:rsidR="008040A7" w:rsidRPr="008040A7">
        <w:rPr>
          <w:rFonts w:cs="Arial"/>
          <w:szCs w:val="24"/>
        </w:rPr>
        <w:t>part, by the tariff under which electricity is provided by the utility to the o</w:t>
      </w:r>
      <w:r w:rsidR="00084E82">
        <w:rPr>
          <w:rFonts w:cs="Arial"/>
          <w:szCs w:val="24"/>
        </w:rPr>
        <w:t>wn</w:t>
      </w:r>
      <w:r w:rsidR="008040A7" w:rsidRPr="008040A7">
        <w:rPr>
          <w:rFonts w:cs="Arial"/>
          <w:szCs w:val="24"/>
        </w:rPr>
        <w:t xml:space="preserve">er of the EV </w:t>
      </w:r>
      <w:r w:rsidR="008040A7" w:rsidRPr="008040A7">
        <w:rPr>
          <w:rFonts w:cs="Arial"/>
          <w:szCs w:val="24"/>
        </w:rPr>
        <w:lastRenderedPageBreak/>
        <w:t>charger.</w:t>
      </w:r>
      <w:r w:rsidR="008D6A4F">
        <w:rPr>
          <w:rStyle w:val="FootnoteReference"/>
          <w:rFonts w:cs="Arial"/>
          <w:szCs w:val="24"/>
        </w:rPr>
        <w:footnoteReference w:id="6"/>
      </w:r>
    </w:p>
    <w:p w14:paraId="22CE049D" w14:textId="77777777" w:rsidR="00A57861" w:rsidRPr="00A57861" w:rsidRDefault="00A57861" w:rsidP="007460F5">
      <w:pPr>
        <w:numPr>
          <w:ilvl w:val="0"/>
          <w:numId w:val="38"/>
        </w:numPr>
        <w:pBdr>
          <w:bottom w:val="single" w:sz="4" w:space="1" w:color="auto"/>
        </w:pBdr>
        <w:tabs>
          <w:tab w:val="left" w:pos="1199"/>
        </w:tabs>
        <w:autoSpaceDE w:val="0"/>
        <w:autoSpaceDN w:val="0"/>
        <w:spacing w:after="240"/>
        <w:ind w:left="720"/>
        <w:rPr>
          <w:rFonts w:cs="Arial"/>
          <w:b/>
          <w:szCs w:val="22"/>
        </w:rPr>
      </w:pPr>
      <w:r w:rsidRPr="00A57861">
        <w:rPr>
          <w:rFonts w:cs="Arial"/>
          <w:b/>
          <w:szCs w:val="22"/>
        </w:rPr>
        <w:t>Contested</w:t>
      </w:r>
      <w:r w:rsidRPr="00A57861">
        <w:rPr>
          <w:rFonts w:cs="Arial"/>
          <w:b/>
          <w:spacing w:val="-10"/>
          <w:szCs w:val="22"/>
        </w:rPr>
        <w:t xml:space="preserve"> </w:t>
      </w:r>
      <w:r w:rsidRPr="00A57861">
        <w:rPr>
          <w:rFonts w:cs="Arial"/>
          <w:b/>
          <w:spacing w:val="-2"/>
          <w:szCs w:val="22"/>
        </w:rPr>
        <w:t>Issues</w:t>
      </w:r>
    </w:p>
    <w:p w14:paraId="5FB93B92" w14:textId="77777777" w:rsidR="00A57861" w:rsidRPr="00A57861" w:rsidRDefault="00A57861" w:rsidP="007460F5">
      <w:pPr>
        <w:autoSpaceDE w:val="0"/>
        <w:autoSpaceDN w:val="0"/>
        <w:spacing w:after="240"/>
        <w:ind w:left="1440" w:hanging="720"/>
        <w:rPr>
          <w:rFonts w:cs="Arial"/>
          <w:szCs w:val="24"/>
        </w:rPr>
      </w:pPr>
      <w:r w:rsidRPr="00A57861">
        <w:rPr>
          <w:rFonts w:cs="Arial"/>
          <w:szCs w:val="24"/>
          <w:u w:val="single"/>
        </w:rPr>
        <w:t>TECDA</w:t>
      </w:r>
      <w:r w:rsidRPr="00A57861">
        <w:rPr>
          <w:rFonts w:cs="Arial"/>
          <w:spacing w:val="-10"/>
          <w:szCs w:val="24"/>
          <w:u w:val="single"/>
        </w:rPr>
        <w:t xml:space="preserve"> </w:t>
      </w:r>
      <w:r w:rsidRPr="00A57861">
        <w:rPr>
          <w:rFonts w:cs="Arial"/>
          <w:spacing w:val="-2"/>
          <w:szCs w:val="24"/>
          <w:u w:val="single"/>
        </w:rPr>
        <w:t>Rider</w:t>
      </w:r>
    </w:p>
    <w:p w14:paraId="3B001031" w14:textId="77777777" w:rsidR="00A57861" w:rsidRPr="00A57861" w:rsidRDefault="00A57861" w:rsidP="00D103FD">
      <w:pPr>
        <w:numPr>
          <w:ilvl w:val="0"/>
          <w:numId w:val="39"/>
        </w:numPr>
        <w:tabs>
          <w:tab w:val="left" w:pos="1558"/>
          <w:tab w:val="left" w:pos="1560"/>
        </w:tabs>
        <w:autoSpaceDE w:val="0"/>
        <w:autoSpaceDN w:val="0"/>
        <w:spacing w:after="240"/>
        <w:ind w:left="1440" w:hanging="720"/>
        <w:rPr>
          <w:rFonts w:cs="Arial"/>
          <w:szCs w:val="22"/>
        </w:rPr>
      </w:pPr>
      <w:r w:rsidRPr="00A57861">
        <w:rPr>
          <w:rFonts w:cs="Arial"/>
          <w:szCs w:val="22"/>
        </w:rPr>
        <w:t>Do</w:t>
      </w:r>
      <w:r w:rsidRPr="00A57861">
        <w:rPr>
          <w:rFonts w:cs="Arial"/>
          <w:spacing w:val="39"/>
          <w:szCs w:val="22"/>
        </w:rPr>
        <w:t xml:space="preserve"> </w:t>
      </w:r>
      <w:r w:rsidRPr="00A57861">
        <w:rPr>
          <w:rFonts w:cs="Arial"/>
          <w:szCs w:val="22"/>
        </w:rPr>
        <w:t>the</w:t>
      </w:r>
      <w:r w:rsidRPr="00A57861">
        <w:rPr>
          <w:rFonts w:cs="Arial"/>
          <w:spacing w:val="38"/>
          <w:szCs w:val="22"/>
        </w:rPr>
        <w:t xml:space="preserve"> </w:t>
      </w:r>
      <w:r w:rsidRPr="00A57861">
        <w:rPr>
          <w:rFonts w:cs="Arial"/>
          <w:szCs w:val="22"/>
        </w:rPr>
        <w:t>proposed</w:t>
      </w:r>
      <w:r w:rsidRPr="00A57861">
        <w:rPr>
          <w:rFonts w:cs="Arial"/>
          <w:spacing w:val="39"/>
          <w:szCs w:val="22"/>
        </w:rPr>
        <w:t xml:space="preserve"> </w:t>
      </w:r>
      <w:r w:rsidRPr="00A57861">
        <w:rPr>
          <w:rFonts w:cs="Arial"/>
          <w:szCs w:val="22"/>
        </w:rPr>
        <w:t>rates</w:t>
      </w:r>
      <w:r w:rsidRPr="00A57861">
        <w:rPr>
          <w:rFonts w:cs="Arial"/>
          <w:spacing w:val="36"/>
          <w:szCs w:val="22"/>
        </w:rPr>
        <w:t xml:space="preserve"> </w:t>
      </w:r>
      <w:r w:rsidRPr="00A57861">
        <w:rPr>
          <w:rFonts w:cs="Arial"/>
          <w:szCs w:val="22"/>
        </w:rPr>
        <w:t>for</w:t>
      </w:r>
      <w:r w:rsidRPr="00A57861">
        <w:rPr>
          <w:rFonts w:cs="Arial"/>
          <w:spacing w:val="35"/>
          <w:szCs w:val="22"/>
        </w:rPr>
        <w:t xml:space="preserve"> </w:t>
      </w:r>
      <w:r w:rsidRPr="00A57861">
        <w:rPr>
          <w:rFonts w:cs="Arial"/>
          <w:szCs w:val="22"/>
        </w:rPr>
        <w:t>the</w:t>
      </w:r>
      <w:r w:rsidRPr="00A57861">
        <w:rPr>
          <w:rFonts w:cs="Arial"/>
          <w:spacing w:val="38"/>
          <w:szCs w:val="22"/>
        </w:rPr>
        <w:t xml:space="preserve"> </w:t>
      </w:r>
      <w:r w:rsidRPr="00A57861">
        <w:rPr>
          <w:rFonts w:cs="Arial"/>
          <w:szCs w:val="22"/>
        </w:rPr>
        <w:t>TECDA</w:t>
      </w:r>
      <w:r w:rsidRPr="00A57861">
        <w:rPr>
          <w:rFonts w:cs="Arial"/>
          <w:spacing w:val="33"/>
          <w:szCs w:val="22"/>
        </w:rPr>
        <w:t xml:space="preserve"> </w:t>
      </w:r>
      <w:r w:rsidRPr="00A57861">
        <w:rPr>
          <w:rFonts w:cs="Arial"/>
          <w:szCs w:val="22"/>
        </w:rPr>
        <w:t>Rider</w:t>
      </w:r>
      <w:r w:rsidRPr="00A57861">
        <w:rPr>
          <w:rFonts w:cs="Arial"/>
          <w:spacing w:val="40"/>
          <w:szCs w:val="22"/>
        </w:rPr>
        <w:t xml:space="preserve"> </w:t>
      </w:r>
      <w:r w:rsidRPr="00A57861">
        <w:rPr>
          <w:rFonts w:cs="Arial"/>
          <w:szCs w:val="22"/>
        </w:rPr>
        <w:t>comply</w:t>
      </w:r>
      <w:r w:rsidRPr="00A57861">
        <w:rPr>
          <w:rFonts w:cs="Arial"/>
          <w:spacing w:val="34"/>
          <w:szCs w:val="22"/>
        </w:rPr>
        <w:t xml:space="preserve"> </w:t>
      </w:r>
      <w:r w:rsidRPr="00A57861">
        <w:rPr>
          <w:rFonts w:cs="Arial"/>
          <w:szCs w:val="22"/>
        </w:rPr>
        <w:t>with</w:t>
      </w:r>
      <w:r w:rsidRPr="00A57861">
        <w:rPr>
          <w:rFonts w:cs="Arial"/>
          <w:spacing w:val="34"/>
          <w:szCs w:val="22"/>
        </w:rPr>
        <w:t xml:space="preserve"> </w:t>
      </w:r>
      <w:r w:rsidRPr="00A57861">
        <w:rPr>
          <w:rFonts w:cs="Arial"/>
          <w:szCs w:val="22"/>
        </w:rPr>
        <w:t>the</w:t>
      </w:r>
      <w:r w:rsidRPr="00A57861">
        <w:rPr>
          <w:rFonts w:cs="Arial"/>
          <w:spacing w:val="38"/>
          <w:szCs w:val="22"/>
        </w:rPr>
        <w:t xml:space="preserve"> </w:t>
      </w:r>
      <w:r w:rsidRPr="00A57861">
        <w:rPr>
          <w:rFonts w:cs="Arial"/>
          <w:szCs w:val="22"/>
        </w:rPr>
        <w:t>requirements</w:t>
      </w:r>
      <w:r w:rsidRPr="00A57861">
        <w:rPr>
          <w:rFonts w:cs="Arial"/>
          <w:spacing w:val="36"/>
          <w:szCs w:val="22"/>
        </w:rPr>
        <w:t xml:space="preserve"> </w:t>
      </w:r>
      <w:r w:rsidRPr="00A57861">
        <w:rPr>
          <w:rFonts w:cs="Arial"/>
          <w:szCs w:val="22"/>
        </w:rPr>
        <w:t>of PURA § 36.003?</w:t>
      </w:r>
      <w:r w:rsidRPr="00A57861">
        <w:rPr>
          <w:rFonts w:cs="Arial"/>
          <w:spacing w:val="40"/>
          <w:szCs w:val="22"/>
        </w:rPr>
        <w:t xml:space="preserve"> </w:t>
      </w:r>
      <w:r w:rsidRPr="00A57861">
        <w:rPr>
          <w:rFonts w:cs="Arial"/>
          <w:szCs w:val="22"/>
        </w:rPr>
        <w:t>(PO Issue No. 7)</w:t>
      </w:r>
    </w:p>
    <w:p w14:paraId="0C79F3C8" w14:textId="77777777" w:rsidR="00A57861" w:rsidRPr="00A57861" w:rsidRDefault="00A57861" w:rsidP="00D103FD">
      <w:pPr>
        <w:numPr>
          <w:ilvl w:val="1"/>
          <w:numId w:val="39"/>
        </w:numPr>
        <w:tabs>
          <w:tab w:val="left" w:pos="2278"/>
        </w:tabs>
        <w:autoSpaceDE w:val="0"/>
        <w:autoSpaceDN w:val="0"/>
        <w:spacing w:after="240"/>
        <w:ind w:left="2160" w:hanging="720"/>
        <w:rPr>
          <w:rFonts w:cs="Arial"/>
          <w:szCs w:val="22"/>
        </w:rPr>
      </w:pPr>
      <w:r w:rsidRPr="00A57861">
        <w:rPr>
          <w:rFonts w:cs="Arial"/>
          <w:szCs w:val="22"/>
        </w:rPr>
        <w:t>Is</w:t>
      </w:r>
      <w:r w:rsidRPr="00A57861">
        <w:rPr>
          <w:rFonts w:cs="Arial"/>
          <w:spacing w:val="-10"/>
          <w:szCs w:val="22"/>
        </w:rPr>
        <w:t xml:space="preserve"> </w:t>
      </w:r>
      <w:r w:rsidRPr="00A57861">
        <w:rPr>
          <w:rFonts w:cs="Arial"/>
          <w:szCs w:val="22"/>
        </w:rPr>
        <w:t>the</w:t>
      </w:r>
      <w:r w:rsidRPr="00A57861">
        <w:rPr>
          <w:rFonts w:cs="Arial"/>
          <w:spacing w:val="-4"/>
          <w:szCs w:val="22"/>
        </w:rPr>
        <w:t xml:space="preserve"> </w:t>
      </w:r>
      <w:r w:rsidRPr="00A57861">
        <w:rPr>
          <w:rFonts w:cs="Arial"/>
          <w:szCs w:val="22"/>
        </w:rPr>
        <w:t>rate</w:t>
      </w:r>
      <w:r w:rsidRPr="00A57861">
        <w:rPr>
          <w:rFonts w:cs="Arial"/>
          <w:spacing w:val="-5"/>
          <w:szCs w:val="22"/>
        </w:rPr>
        <w:t xml:space="preserve"> </w:t>
      </w:r>
      <w:r w:rsidRPr="00A57861">
        <w:rPr>
          <w:rFonts w:cs="Arial"/>
          <w:szCs w:val="22"/>
        </w:rPr>
        <w:t>just</w:t>
      </w:r>
      <w:r w:rsidRPr="00A57861">
        <w:rPr>
          <w:rFonts w:cs="Arial"/>
          <w:spacing w:val="2"/>
          <w:szCs w:val="22"/>
        </w:rPr>
        <w:t xml:space="preserve"> </w:t>
      </w:r>
      <w:r w:rsidRPr="00A57861">
        <w:rPr>
          <w:rFonts w:cs="Arial"/>
          <w:szCs w:val="22"/>
        </w:rPr>
        <w:t>and</w:t>
      </w:r>
      <w:r w:rsidRPr="00A57861">
        <w:rPr>
          <w:rFonts w:cs="Arial"/>
          <w:spacing w:val="-4"/>
          <w:szCs w:val="22"/>
        </w:rPr>
        <w:t xml:space="preserve"> </w:t>
      </w:r>
      <w:r w:rsidRPr="00A57861">
        <w:rPr>
          <w:rFonts w:cs="Arial"/>
          <w:spacing w:val="-2"/>
          <w:szCs w:val="22"/>
        </w:rPr>
        <w:t>reasonable?</w:t>
      </w:r>
    </w:p>
    <w:p w14:paraId="3D89FA2D" w14:textId="77777777" w:rsidR="00A57861" w:rsidRPr="00A57861" w:rsidRDefault="00A57861" w:rsidP="00D103FD">
      <w:pPr>
        <w:numPr>
          <w:ilvl w:val="1"/>
          <w:numId w:val="39"/>
        </w:numPr>
        <w:tabs>
          <w:tab w:val="left" w:pos="2278"/>
        </w:tabs>
        <w:autoSpaceDE w:val="0"/>
        <w:autoSpaceDN w:val="0"/>
        <w:spacing w:after="240"/>
        <w:ind w:left="2160" w:hanging="720"/>
        <w:rPr>
          <w:rFonts w:cs="Arial"/>
          <w:szCs w:val="22"/>
        </w:rPr>
      </w:pPr>
      <w:r w:rsidRPr="00A57861">
        <w:rPr>
          <w:rFonts w:cs="Arial"/>
          <w:szCs w:val="22"/>
        </w:rPr>
        <w:t>Is</w:t>
      </w:r>
      <w:r w:rsidRPr="00A57861">
        <w:rPr>
          <w:rFonts w:cs="Arial"/>
          <w:spacing w:val="-12"/>
          <w:szCs w:val="22"/>
        </w:rPr>
        <w:t xml:space="preserve"> </w:t>
      </w:r>
      <w:r w:rsidRPr="00A57861">
        <w:rPr>
          <w:rFonts w:cs="Arial"/>
          <w:szCs w:val="22"/>
        </w:rPr>
        <w:t>the</w:t>
      </w:r>
      <w:r w:rsidRPr="00A57861">
        <w:rPr>
          <w:rFonts w:cs="Arial"/>
          <w:spacing w:val="-7"/>
          <w:szCs w:val="22"/>
        </w:rPr>
        <w:t xml:space="preserve"> </w:t>
      </w:r>
      <w:r w:rsidRPr="00A57861">
        <w:rPr>
          <w:rFonts w:cs="Arial"/>
          <w:szCs w:val="22"/>
        </w:rPr>
        <w:t>rate</w:t>
      </w:r>
      <w:r w:rsidRPr="00A57861">
        <w:rPr>
          <w:rFonts w:cs="Arial"/>
          <w:spacing w:val="-7"/>
          <w:szCs w:val="22"/>
        </w:rPr>
        <w:t xml:space="preserve"> </w:t>
      </w:r>
      <w:r w:rsidRPr="00A57861">
        <w:rPr>
          <w:rFonts w:cs="Arial"/>
          <w:szCs w:val="22"/>
        </w:rPr>
        <w:t>not</w:t>
      </w:r>
      <w:r w:rsidRPr="00A57861">
        <w:rPr>
          <w:rFonts w:cs="Arial"/>
          <w:spacing w:val="-4"/>
          <w:szCs w:val="22"/>
        </w:rPr>
        <w:t xml:space="preserve"> </w:t>
      </w:r>
      <w:r w:rsidRPr="00A57861">
        <w:rPr>
          <w:rFonts w:cs="Arial"/>
          <w:szCs w:val="22"/>
        </w:rPr>
        <w:t>unreasonably</w:t>
      </w:r>
      <w:r w:rsidRPr="00A57861">
        <w:rPr>
          <w:rFonts w:cs="Arial"/>
          <w:spacing w:val="-14"/>
          <w:szCs w:val="22"/>
        </w:rPr>
        <w:t xml:space="preserve"> </w:t>
      </w:r>
      <w:r w:rsidRPr="00A57861">
        <w:rPr>
          <w:rFonts w:cs="Arial"/>
          <w:szCs w:val="22"/>
        </w:rPr>
        <w:t>preferential,</w:t>
      </w:r>
      <w:r w:rsidRPr="00A57861">
        <w:rPr>
          <w:rFonts w:cs="Arial"/>
          <w:spacing w:val="-4"/>
          <w:szCs w:val="22"/>
        </w:rPr>
        <w:t xml:space="preserve"> </w:t>
      </w:r>
      <w:r w:rsidRPr="00A57861">
        <w:rPr>
          <w:rFonts w:cs="Arial"/>
          <w:szCs w:val="22"/>
        </w:rPr>
        <w:t>prejudicial,</w:t>
      </w:r>
      <w:r w:rsidRPr="00A57861">
        <w:rPr>
          <w:rFonts w:cs="Arial"/>
          <w:spacing w:val="-4"/>
          <w:szCs w:val="22"/>
        </w:rPr>
        <w:t xml:space="preserve"> </w:t>
      </w:r>
      <w:r w:rsidRPr="00A57861">
        <w:rPr>
          <w:rFonts w:cs="Arial"/>
          <w:szCs w:val="22"/>
        </w:rPr>
        <w:t>or</w:t>
      </w:r>
      <w:r w:rsidRPr="00A57861">
        <w:rPr>
          <w:rFonts w:cs="Arial"/>
          <w:spacing w:val="-4"/>
          <w:szCs w:val="22"/>
        </w:rPr>
        <w:t xml:space="preserve"> </w:t>
      </w:r>
      <w:r w:rsidRPr="00A57861">
        <w:rPr>
          <w:rFonts w:cs="Arial"/>
          <w:spacing w:val="-2"/>
          <w:szCs w:val="22"/>
        </w:rPr>
        <w:t>discriminatory?</w:t>
      </w:r>
    </w:p>
    <w:p w14:paraId="714F64DD" w14:textId="77777777" w:rsidR="00A57861" w:rsidRDefault="00A57861" w:rsidP="00D103FD">
      <w:pPr>
        <w:numPr>
          <w:ilvl w:val="1"/>
          <w:numId w:val="39"/>
        </w:numPr>
        <w:pBdr>
          <w:bottom w:val="single" w:sz="4" w:space="1" w:color="auto"/>
        </w:pBdr>
        <w:tabs>
          <w:tab w:val="left" w:pos="2277"/>
          <w:tab w:val="left" w:pos="2280"/>
        </w:tabs>
        <w:autoSpaceDE w:val="0"/>
        <w:autoSpaceDN w:val="0"/>
        <w:spacing w:after="240"/>
        <w:ind w:left="2160" w:hanging="720"/>
        <w:rPr>
          <w:rFonts w:cs="Arial"/>
          <w:szCs w:val="22"/>
        </w:rPr>
      </w:pPr>
      <w:r w:rsidRPr="00A57861">
        <w:rPr>
          <w:rFonts w:cs="Arial"/>
          <w:szCs w:val="22"/>
        </w:rPr>
        <w:t>Is the rate sufficient, equitable, and consistent in application to each class of consumer?</w:t>
      </w:r>
    </w:p>
    <w:p w14:paraId="73DB2F8E" w14:textId="6CE92AE0" w:rsidR="00F36A7D" w:rsidRDefault="00FF7BF3" w:rsidP="00555305">
      <w:pPr>
        <w:tabs>
          <w:tab w:val="left" w:pos="2277"/>
          <w:tab w:val="left" w:pos="2280"/>
        </w:tabs>
        <w:autoSpaceDE w:val="0"/>
        <w:autoSpaceDN w:val="0"/>
        <w:spacing w:line="480" w:lineRule="auto"/>
        <w:ind w:firstLine="720"/>
        <w:rPr>
          <w:rFonts w:cs="Arial"/>
          <w:szCs w:val="22"/>
        </w:rPr>
      </w:pPr>
      <w:r>
        <w:rPr>
          <w:rFonts w:cs="Arial"/>
          <w:szCs w:val="22"/>
        </w:rPr>
        <w:t xml:space="preserve">Walmart believes </w:t>
      </w:r>
      <w:r w:rsidR="00B22C92">
        <w:rPr>
          <w:rFonts w:cs="Arial"/>
          <w:szCs w:val="22"/>
        </w:rPr>
        <w:t xml:space="preserve">the proposed rates for the TECDA Rider </w:t>
      </w:r>
      <w:r w:rsidR="00727928">
        <w:rPr>
          <w:rFonts w:cs="Arial"/>
          <w:szCs w:val="22"/>
        </w:rPr>
        <w:t xml:space="preserve">comply with </w:t>
      </w:r>
      <w:r w:rsidR="00D54A76">
        <w:rPr>
          <w:rFonts w:cs="Arial"/>
          <w:szCs w:val="22"/>
        </w:rPr>
        <w:t>require</w:t>
      </w:r>
      <w:r w:rsidR="00900060">
        <w:rPr>
          <w:rFonts w:cs="Arial"/>
          <w:szCs w:val="22"/>
        </w:rPr>
        <w:t>ments of</w:t>
      </w:r>
      <w:r w:rsidR="00D54A76">
        <w:rPr>
          <w:rFonts w:cs="Arial"/>
          <w:szCs w:val="22"/>
        </w:rPr>
        <w:t xml:space="preserve"> </w:t>
      </w:r>
      <w:r w:rsidR="00D22ED7">
        <w:rPr>
          <w:rFonts w:cs="Arial"/>
          <w:szCs w:val="22"/>
        </w:rPr>
        <w:t>PURA § 36.003</w:t>
      </w:r>
      <w:r w:rsidR="00D54A76">
        <w:rPr>
          <w:rFonts w:cs="Arial"/>
          <w:szCs w:val="22"/>
        </w:rPr>
        <w:t>.</w:t>
      </w:r>
      <w:r w:rsidR="009608BB">
        <w:rPr>
          <w:rFonts w:cs="Arial"/>
          <w:szCs w:val="22"/>
        </w:rPr>
        <w:t xml:space="preserve"> As Mr. Austin testified, </w:t>
      </w:r>
      <w:r w:rsidR="00FF0E91">
        <w:rPr>
          <w:rFonts w:cs="Arial"/>
          <w:szCs w:val="22"/>
        </w:rPr>
        <w:t>there is</w:t>
      </w:r>
      <w:r w:rsidR="00555305" w:rsidRPr="00555305">
        <w:rPr>
          <w:rFonts w:cs="Arial"/>
          <w:szCs w:val="22"/>
        </w:rPr>
        <w:t xml:space="preserve"> value and economic importance </w:t>
      </w:r>
      <w:r w:rsidR="00DC15B0">
        <w:rPr>
          <w:rFonts w:cs="Arial"/>
          <w:szCs w:val="22"/>
        </w:rPr>
        <w:t>t</w:t>
      </w:r>
      <w:r w:rsidR="00555305" w:rsidRPr="00555305">
        <w:rPr>
          <w:rFonts w:cs="Arial"/>
          <w:szCs w:val="22"/>
        </w:rPr>
        <w:t>o limiting the potentially high monthly operating costs of public EV charging stations in low utilization times. EV charging infrastructure placement is heavily dependent on many factors, and favorable electric rates are a top contributor to the equation. The expectation of public stations is a multi-year ramp</w:t>
      </w:r>
      <w:r w:rsidR="006F497E">
        <w:rPr>
          <w:rFonts w:cs="Arial"/>
          <w:szCs w:val="22"/>
        </w:rPr>
        <w:t>-</w:t>
      </w:r>
      <w:r w:rsidR="00555305" w:rsidRPr="00555305">
        <w:rPr>
          <w:rFonts w:cs="Arial"/>
          <w:szCs w:val="22"/>
        </w:rPr>
        <w:t xml:space="preserve">up in utilization. The </w:t>
      </w:r>
      <w:r w:rsidR="009F404E">
        <w:rPr>
          <w:rFonts w:cs="Arial"/>
          <w:szCs w:val="22"/>
        </w:rPr>
        <w:t xml:space="preserve">proposed </w:t>
      </w:r>
      <w:r w:rsidR="00555305" w:rsidRPr="00555305">
        <w:rPr>
          <w:rFonts w:cs="Arial"/>
          <w:szCs w:val="22"/>
        </w:rPr>
        <w:t>TECDA rider allows for the economic bridge to get to high utilization on new sites and allows for better quantifications in future site selections.</w:t>
      </w:r>
      <w:r w:rsidR="00FD4B2B">
        <w:rPr>
          <w:rStyle w:val="FootnoteReference"/>
          <w:rFonts w:cs="Arial"/>
          <w:szCs w:val="22"/>
        </w:rPr>
        <w:footnoteReference w:id="7"/>
      </w:r>
    </w:p>
    <w:p w14:paraId="24DA7357" w14:textId="49F6DEE3" w:rsidR="0094771E" w:rsidRDefault="006F0C57" w:rsidP="00555305">
      <w:pPr>
        <w:tabs>
          <w:tab w:val="left" w:pos="2277"/>
          <w:tab w:val="left" w:pos="2280"/>
        </w:tabs>
        <w:autoSpaceDE w:val="0"/>
        <w:autoSpaceDN w:val="0"/>
        <w:spacing w:line="480" w:lineRule="auto"/>
        <w:ind w:firstLine="720"/>
        <w:rPr>
          <w:rFonts w:cs="Arial"/>
          <w:szCs w:val="22"/>
        </w:rPr>
      </w:pPr>
      <w:r w:rsidRPr="006F0C57">
        <w:rPr>
          <w:rFonts w:cs="Arial"/>
          <w:szCs w:val="22"/>
        </w:rPr>
        <w:t>In the short term, specific rate designs for customers that diverge from traditional cost-based rates are needed to support third-party investment in EV charging equipment. As an investor in EV charging equipment for both the public and its own private fleet, Walmart understands how EV charging rates can either</w:t>
      </w:r>
      <w:r w:rsidR="009254DD">
        <w:rPr>
          <w:rFonts w:cs="Arial"/>
          <w:szCs w:val="22"/>
        </w:rPr>
        <w:t xml:space="preserve"> </w:t>
      </w:r>
      <w:r w:rsidR="009254DD" w:rsidRPr="009254DD">
        <w:rPr>
          <w:rFonts w:cs="Arial"/>
          <w:szCs w:val="22"/>
        </w:rPr>
        <w:t xml:space="preserve">promote or impede </w:t>
      </w:r>
      <w:r w:rsidR="009254DD" w:rsidRPr="009254DD">
        <w:rPr>
          <w:rFonts w:cs="Arial"/>
          <w:szCs w:val="22"/>
        </w:rPr>
        <w:lastRenderedPageBreak/>
        <w:t xml:space="preserve">EV charging investment and </w:t>
      </w:r>
      <w:r w:rsidR="00956E68" w:rsidRPr="009254DD">
        <w:rPr>
          <w:rFonts w:cs="Arial"/>
          <w:szCs w:val="22"/>
        </w:rPr>
        <w:t>experience</w:t>
      </w:r>
      <w:r w:rsidR="009254DD" w:rsidRPr="009254DD">
        <w:rPr>
          <w:rFonts w:cs="Arial"/>
          <w:szCs w:val="22"/>
        </w:rPr>
        <w:t>.</w:t>
      </w:r>
      <w:r w:rsidR="0094771E">
        <w:rPr>
          <w:rStyle w:val="FootnoteReference"/>
          <w:rFonts w:cs="Arial"/>
          <w:szCs w:val="22"/>
        </w:rPr>
        <w:footnoteReference w:id="8"/>
      </w:r>
    </w:p>
    <w:p w14:paraId="77D15E8D" w14:textId="216FCE34" w:rsidR="00A55DFC" w:rsidRDefault="009254DD" w:rsidP="00555305">
      <w:pPr>
        <w:tabs>
          <w:tab w:val="left" w:pos="2277"/>
          <w:tab w:val="left" w:pos="2280"/>
        </w:tabs>
        <w:autoSpaceDE w:val="0"/>
        <w:autoSpaceDN w:val="0"/>
        <w:spacing w:line="480" w:lineRule="auto"/>
        <w:ind w:firstLine="720"/>
        <w:rPr>
          <w:rFonts w:cs="Arial"/>
          <w:szCs w:val="22"/>
        </w:rPr>
      </w:pPr>
      <w:r w:rsidRPr="009254DD">
        <w:rPr>
          <w:rFonts w:cs="Arial"/>
          <w:szCs w:val="22"/>
        </w:rPr>
        <w:t>While the EV industry continues to grow, there will still be a ramp</w:t>
      </w:r>
      <w:r w:rsidR="003F22B4">
        <w:rPr>
          <w:rFonts w:cs="Arial"/>
          <w:szCs w:val="22"/>
        </w:rPr>
        <w:t>-</w:t>
      </w:r>
      <w:r w:rsidRPr="009254DD">
        <w:rPr>
          <w:rFonts w:cs="Arial"/>
          <w:szCs w:val="22"/>
        </w:rPr>
        <w:t>up to sufficient EV adoption to support an extensive public EV charging network</w:t>
      </w:r>
      <w:r w:rsidR="00235D43">
        <w:rPr>
          <w:rFonts w:cs="Arial"/>
          <w:szCs w:val="22"/>
        </w:rPr>
        <w:t>.</w:t>
      </w:r>
      <w:r w:rsidRPr="009254DD">
        <w:rPr>
          <w:rFonts w:cs="Arial"/>
          <w:szCs w:val="22"/>
        </w:rPr>
        <w:t xml:space="preserve"> This will create geographical locations where public EV chargers are either not being used or are used infrequently. For these underutilized chargers being billed by the utility under a rate tariff</w:t>
      </w:r>
      <w:r w:rsidR="00D41C99">
        <w:rPr>
          <w:rFonts w:cs="Arial"/>
          <w:szCs w:val="22"/>
        </w:rPr>
        <w:t xml:space="preserve"> w</w:t>
      </w:r>
      <w:r w:rsidRPr="009254DD">
        <w:rPr>
          <w:rFonts w:cs="Arial"/>
          <w:szCs w:val="22"/>
        </w:rPr>
        <w:t>ith a demand charge, the charger operator may be assessed the demand charge after only a single use of that charging unit regardless of whether there is any additional charging during that month.</w:t>
      </w:r>
      <w:r w:rsidR="00A62556">
        <w:rPr>
          <w:rStyle w:val="FootnoteReference"/>
          <w:rFonts w:cs="Arial"/>
          <w:szCs w:val="22"/>
        </w:rPr>
        <w:footnoteReference w:id="9"/>
      </w:r>
    </w:p>
    <w:p w14:paraId="58BDA333" w14:textId="4033AAD7" w:rsidR="006F0C57" w:rsidRDefault="009254DD" w:rsidP="00555305">
      <w:pPr>
        <w:tabs>
          <w:tab w:val="left" w:pos="2277"/>
          <w:tab w:val="left" w:pos="2280"/>
        </w:tabs>
        <w:autoSpaceDE w:val="0"/>
        <w:autoSpaceDN w:val="0"/>
        <w:spacing w:line="480" w:lineRule="auto"/>
        <w:ind w:firstLine="720"/>
        <w:rPr>
          <w:rFonts w:cs="Arial"/>
          <w:szCs w:val="22"/>
        </w:rPr>
      </w:pPr>
      <w:r w:rsidRPr="009254DD">
        <w:rPr>
          <w:rFonts w:cs="Arial"/>
          <w:szCs w:val="22"/>
        </w:rPr>
        <w:t xml:space="preserve">This outcome negatively impacts the economics for that unit and may lead to little or no </w:t>
      </w:r>
      <w:r w:rsidR="00073E8F" w:rsidRPr="009254DD">
        <w:rPr>
          <w:rFonts w:cs="Arial"/>
          <w:szCs w:val="22"/>
        </w:rPr>
        <w:t>third-party</w:t>
      </w:r>
      <w:r w:rsidRPr="009254DD">
        <w:rPr>
          <w:rFonts w:cs="Arial"/>
          <w:szCs w:val="22"/>
        </w:rPr>
        <w:t xml:space="preserve"> investment in public EV chargers sited in areas of low usage. Programs such as the TECDA rider help eliminate this risk by providing temporary volumetric solutions to high demand, low usage EV charging services, without subsidization from other rate classes.</w:t>
      </w:r>
      <w:r w:rsidR="00004AFF">
        <w:rPr>
          <w:rStyle w:val="FootnoteReference"/>
          <w:rFonts w:cs="Arial"/>
          <w:szCs w:val="22"/>
        </w:rPr>
        <w:footnoteReference w:id="10"/>
      </w:r>
    </w:p>
    <w:p w14:paraId="52473D89" w14:textId="25864933" w:rsidR="004F23CF" w:rsidRDefault="00B65149" w:rsidP="00555305">
      <w:pPr>
        <w:tabs>
          <w:tab w:val="left" w:pos="2277"/>
          <w:tab w:val="left" w:pos="2280"/>
        </w:tabs>
        <w:autoSpaceDE w:val="0"/>
        <w:autoSpaceDN w:val="0"/>
        <w:spacing w:line="480" w:lineRule="auto"/>
        <w:ind w:firstLine="720"/>
        <w:rPr>
          <w:rFonts w:cs="Arial"/>
          <w:szCs w:val="22"/>
        </w:rPr>
      </w:pPr>
      <w:r>
        <w:rPr>
          <w:rFonts w:cs="Arial"/>
          <w:szCs w:val="22"/>
        </w:rPr>
        <w:t>A</w:t>
      </w:r>
      <w:r w:rsidR="003A69DA" w:rsidRPr="003A69DA">
        <w:rPr>
          <w:rFonts w:cs="Arial"/>
          <w:szCs w:val="22"/>
        </w:rPr>
        <w:t xml:space="preserve">s the transportation industry and the role EVs and EV chargers play in this industry continue to grow and evolve, the challenges </w:t>
      </w:r>
      <w:r w:rsidR="00B24026">
        <w:rPr>
          <w:rFonts w:cs="Arial"/>
          <w:szCs w:val="22"/>
        </w:rPr>
        <w:t>of</w:t>
      </w:r>
      <w:r w:rsidR="003A69DA" w:rsidRPr="003A69DA">
        <w:rPr>
          <w:rFonts w:cs="Arial"/>
          <w:szCs w:val="22"/>
        </w:rPr>
        <w:t xml:space="preserve"> today may not be the challenges of tomorrow. To ensure programs and policies implemented to support electrification of the transportation sector are current and relevant, it is important that they are flexible and adapt over time.</w:t>
      </w:r>
      <w:r w:rsidR="0062572A">
        <w:rPr>
          <w:rStyle w:val="FootnoteReference"/>
          <w:rFonts w:cs="Arial"/>
          <w:szCs w:val="22"/>
        </w:rPr>
        <w:footnoteReference w:id="11"/>
      </w:r>
    </w:p>
    <w:p w14:paraId="49AAB6C7" w14:textId="6DF403C1" w:rsidR="003A69DA" w:rsidRDefault="003A69DA" w:rsidP="00555305">
      <w:pPr>
        <w:tabs>
          <w:tab w:val="left" w:pos="2277"/>
          <w:tab w:val="left" w:pos="2280"/>
        </w:tabs>
        <w:autoSpaceDE w:val="0"/>
        <w:autoSpaceDN w:val="0"/>
        <w:spacing w:line="480" w:lineRule="auto"/>
        <w:ind w:firstLine="720"/>
        <w:rPr>
          <w:rFonts w:cs="Arial"/>
          <w:szCs w:val="22"/>
        </w:rPr>
      </w:pPr>
      <w:r w:rsidRPr="003A69DA">
        <w:rPr>
          <w:rFonts w:cs="Arial"/>
          <w:szCs w:val="22"/>
        </w:rPr>
        <w:t xml:space="preserve">A low- or no-demand charge may improve the economics of underutilized </w:t>
      </w:r>
      <w:r w:rsidRPr="003A69DA">
        <w:rPr>
          <w:rFonts w:cs="Arial"/>
          <w:szCs w:val="22"/>
        </w:rPr>
        <w:lastRenderedPageBreak/>
        <w:t xml:space="preserve">chargers and encourage third-party investment. However, as usage of the charger increases </w:t>
      </w:r>
      <w:r w:rsidR="00D11311">
        <w:rPr>
          <w:rFonts w:cs="Arial"/>
          <w:szCs w:val="22"/>
        </w:rPr>
        <w:t>w</w:t>
      </w:r>
      <w:r w:rsidRPr="003A69DA">
        <w:rPr>
          <w:rFonts w:cs="Arial"/>
          <w:szCs w:val="22"/>
        </w:rPr>
        <w:t>ith EV adoption, the economics for that charger under the low- or no-demand tariff rider option</w:t>
      </w:r>
      <w:r w:rsidR="00C564BF">
        <w:rPr>
          <w:rFonts w:cs="Arial"/>
          <w:szCs w:val="22"/>
        </w:rPr>
        <w:t xml:space="preserve"> w</w:t>
      </w:r>
      <w:r w:rsidRPr="003A69DA">
        <w:rPr>
          <w:rFonts w:cs="Arial"/>
          <w:szCs w:val="22"/>
        </w:rPr>
        <w:t>ill likely decline as more electricity is sold. In this case, it is better to</w:t>
      </w:r>
      <w:r w:rsidR="002C7883">
        <w:rPr>
          <w:rFonts w:cs="Arial"/>
          <w:szCs w:val="22"/>
        </w:rPr>
        <w:t xml:space="preserve"> </w:t>
      </w:r>
      <w:r w:rsidR="002C7883" w:rsidRPr="002C7883">
        <w:rPr>
          <w:rFonts w:cs="Arial"/>
          <w:szCs w:val="22"/>
        </w:rPr>
        <w:t>have the option to return to a more traditional demand-based tariff once utilization exceeds a certain percentage, as the program is designed to offer.</w:t>
      </w:r>
      <w:r w:rsidR="00CE0E26">
        <w:rPr>
          <w:rStyle w:val="FootnoteReference"/>
          <w:rFonts w:cs="Arial"/>
          <w:szCs w:val="22"/>
        </w:rPr>
        <w:footnoteReference w:id="12"/>
      </w:r>
    </w:p>
    <w:p w14:paraId="075C2956" w14:textId="69E25361" w:rsidR="004B0E8B" w:rsidRDefault="00BC7B41" w:rsidP="00555305">
      <w:pPr>
        <w:tabs>
          <w:tab w:val="left" w:pos="2277"/>
          <w:tab w:val="left" w:pos="2280"/>
        </w:tabs>
        <w:autoSpaceDE w:val="0"/>
        <w:autoSpaceDN w:val="0"/>
        <w:spacing w:line="480" w:lineRule="auto"/>
        <w:ind w:firstLine="720"/>
        <w:rPr>
          <w:rFonts w:cs="Arial"/>
          <w:szCs w:val="22"/>
        </w:rPr>
      </w:pPr>
      <w:r w:rsidRPr="00BC7B41">
        <w:rPr>
          <w:rFonts w:cs="Arial"/>
          <w:szCs w:val="22"/>
        </w:rPr>
        <w:t xml:space="preserve">Walmart advocates </w:t>
      </w:r>
      <w:r w:rsidR="004147D9">
        <w:rPr>
          <w:rFonts w:cs="Arial"/>
          <w:szCs w:val="22"/>
        </w:rPr>
        <w:t>setting</w:t>
      </w:r>
      <w:r w:rsidRPr="00BC7B41">
        <w:rPr>
          <w:rFonts w:cs="Arial"/>
          <w:szCs w:val="22"/>
        </w:rPr>
        <w:t xml:space="preserve"> </w:t>
      </w:r>
      <w:r w:rsidR="00A372B5">
        <w:rPr>
          <w:rFonts w:cs="Arial"/>
          <w:szCs w:val="22"/>
        </w:rPr>
        <w:t xml:space="preserve">electric </w:t>
      </w:r>
      <w:r w:rsidRPr="00BC7B41">
        <w:rPr>
          <w:rFonts w:cs="Arial"/>
          <w:szCs w:val="22"/>
        </w:rPr>
        <w:t xml:space="preserve">rates based on the utility's cost to </w:t>
      </w:r>
      <w:r w:rsidR="00FA4BF3" w:rsidRPr="00BC7B41">
        <w:rPr>
          <w:rFonts w:cs="Arial"/>
          <w:szCs w:val="22"/>
        </w:rPr>
        <w:t>serve</w:t>
      </w:r>
      <w:r w:rsidRPr="00BC7B41">
        <w:rPr>
          <w:rFonts w:cs="Arial"/>
          <w:szCs w:val="22"/>
        </w:rPr>
        <w:t xml:space="preserve"> its various customers. This produces equitable rates that reflect cost causation, send proper price signals, and minimize price distortions. </w:t>
      </w:r>
      <w:r w:rsidR="00F42CD8">
        <w:rPr>
          <w:rFonts w:cs="Arial"/>
          <w:szCs w:val="22"/>
        </w:rPr>
        <w:t>P</w:t>
      </w:r>
      <w:r w:rsidRPr="00BC7B41">
        <w:rPr>
          <w:rFonts w:cs="Arial"/>
          <w:szCs w:val="22"/>
        </w:rPr>
        <w:t>roviding special rates for EV charging in the short term to remove barriers to third-party buildout of a robust EV charging infrastructure provides benefits to all Texas residents by enabling EV adoption and reducing tailpipe emissions. However, these modified rates may not be cost-based, and as such, could create inter- or intra-class subsidies.</w:t>
      </w:r>
      <w:r w:rsidR="00195CDE">
        <w:rPr>
          <w:rStyle w:val="FootnoteReference"/>
          <w:rFonts w:cs="Arial"/>
          <w:szCs w:val="22"/>
        </w:rPr>
        <w:footnoteReference w:id="13"/>
      </w:r>
    </w:p>
    <w:p w14:paraId="6768A004" w14:textId="01BB0EA8" w:rsidR="004B0E8B" w:rsidRDefault="00BC7B41" w:rsidP="00555305">
      <w:pPr>
        <w:tabs>
          <w:tab w:val="left" w:pos="2277"/>
          <w:tab w:val="left" w:pos="2280"/>
        </w:tabs>
        <w:autoSpaceDE w:val="0"/>
        <w:autoSpaceDN w:val="0"/>
        <w:spacing w:line="480" w:lineRule="auto"/>
        <w:ind w:firstLine="720"/>
        <w:rPr>
          <w:rFonts w:cs="Arial"/>
          <w:szCs w:val="22"/>
        </w:rPr>
      </w:pPr>
      <w:r w:rsidRPr="00BC7B41">
        <w:rPr>
          <w:rFonts w:cs="Arial"/>
          <w:szCs w:val="22"/>
        </w:rPr>
        <w:t>To avoid this result over the longer term, as EV adoption and charging matures, utilities and the Commission will need to examine the load size, usage characteristics, and unique financial and operational characteristics of the different charging use cases to determine how to create different EV charging rate classes. These classes can then be included in cost­of-se</w:t>
      </w:r>
      <w:r w:rsidR="00B337F3">
        <w:rPr>
          <w:rFonts w:cs="Arial"/>
          <w:szCs w:val="22"/>
        </w:rPr>
        <w:t>r</w:t>
      </w:r>
      <w:r w:rsidRPr="00BC7B41">
        <w:rPr>
          <w:rFonts w:cs="Arial"/>
          <w:szCs w:val="22"/>
        </w:rPr>
        <w:t>vice studies, where all costs and benefits of the class loads can be examined, and class revenue requirements can be set at cost-based levels.</w:t>
      </w:r>
      <w:r w:rsidR="00F67EDF">
        <w:rPr>
          <w:rStyle w:val="FootnoteReference"/>
          <w:rFonts w:cs="Arial"/>
          <w:szCs w:val="22"/>
        </w:rPr>
        <w:footnoteReference w:id="14"/>
      </w:r>
    </w:p>
    <w:p w14:paraId="790BD431" w14:textId="76D4B309" w:rsidR="00BC7B41" w:rsidRPr="00A57861" w:rsidRDefault="00BC7B41" w:rsidP="00555305">
      <w:pPr>
        <w:tabs>
          <w:tab w:val="left" w:pos="2277"/>
          <w:tab w:val="left" w:pos="2280"/>
        </w:tabs>
        <w:autoSpaceDE w:val="0"/>
        <w:autoSpaceDN w:val="0"/>
        <w:spacing w:line="480" w:lineRule="auto"/>
        <w:ind w:firstLine="720"/>
        <w:rPr>
          <w:rFonts w:cs="Arial"/>
          <w:szCs w:val="22"/>
        </w:rPr>
      </w:pPr>
      <w:r w:rsidRPr="00BC7B41">
        <w:rPr>
          <w:rFonts w:cs="Arial"/>
          <w:szCs w:val="22"/>
        </w:rPr>
        <w:t xml:space="preserve">With class revenue requirements set at cost-based levels, together </w:t>
      </w:r>
      <w:r w:rsidR="00905CC0">
        <w:rPr>
          <w:rFonts w:cs="Arial"/>
          <w:szCs w:val="22"/>
        </w:rPr>
        <w:t>w</w:t>
      </w:r>
      <w:r w:rsidRPr="00BC7B41">
        <w:rPr>
          <w:rFonts w:cs="Arial"/>
          <w:szCs w:val="22"/>
        </w:rPr>
        <w:t xml:space="preserve">ith solid load forecasts, rate designs can be tailored to each class to meet the user experience </w:t>
      </w:r>
      <w:r w:rsidRPr="00BC7B41">
        <w:rPr>
          <w:rFonts w:cs="Arial"/>
          <w:szCs w:val="22"/>
        </w:rPr>
        <w:lastRenderedPageBreak/>
        <w:t>requirements for each class while creating the best opportunity for fixed cost recovery.</w:t>
      </w:r>
      <w:r w:rsidR="00C75C62">
        <w:rPr>
          <w:rStyle w:val="FootnoteReference"/>
          <w:rFonts w:cs="Arial"/>
          <w:szCs w:val="22"/>
        </w:rPr>
        <w:footnoteReference w:id="15"/>
      </w:r>
    </w:p>
    <w:p w14:paraId="24B6FD25" w14:textId="77777777" w:rsidR="00A57861" w:rsidRPr="00A57861" w:rsidRDefault="00A57861" w:rsidP="0056432A">
      <w:pPr>
        <w:numPr>
          <w:ilvl w:val="0"/>
          <w:numId w:val="38"/>
        </w:numPr>
        <w:pBdr>
          <w:bottom w:val="single" w:sz="4" w:space="1" w:color="auto"/>
        </w:pBdr>
        <w:tabs>
          <w:tab w:val="left" w:pos="1199"/>
        </w:tabs>
        <w:autoSpaceDE w:val="0"/>
        <w:autoSpaceDN w:val="0"/>
        <w:spacing w:after="240"/>
        <w:ind w:left="720"/>
        <w:jc w:val="both"/>
        <w:rPr>
          <w:rFonts w:cs="Arial"/>
          <w:b/>
          <w:szCs w:val="22"/>
        </w:rPr>
      </w:pPr>
      <w:r w:rsidRPr="00A57861">
        <w:rPr>
          <w:rFonts w:cs="Arial"/>
          <w:b/>
          <w:spacing w:val="-2"/>
          <w:szCs w:val="22"/>
        </w:rPr>
        <w:t>Conclusion</w:t>
      </w:r>
    </w:p>
    <w:p w14:paraId="5A61AE91" w14:textId="45D3B817" w:rsidR="00A57861" w:rsidRPr="009D3F3A" w:rsidRDefault="00261EFD" w:rsidP="00A315E6">
      <w:pPr>
        <w:pStyle w:val="BodyTextIndent2"/>
        <w:jc w:val="left"/>
        <w:rPr>
          <w:rFonts w:cs="Arial"/>
        </w:rPr>
      </w:pPr>
      <w:r w:rsidRPr="00261EFD">
        <w:rPr>
          <w:rFonts w:cs="Arial"/>
        </w:rPr>
        <w:t>Walmart appreciates the Company's development of the TECDA Rider for customers investing in the transition to electric transportation. As such, al</w:t>
      </w:r>
      <w:r w:rsidR="009114AD">
        <w:rPr>
          <w:rFonts w:cs="Arial"/>
        </w:rPr>
        <w:t>low</w:t>
      </w:r>
      <w:r w:rsidRPr="00261EFD">
        <w:rPr>
          <w:rFonts w:cs="Arial"/>
        </w:rPr>
        <w:t>ing a more robust charging network for public and fleet use. Walmart recommends the Commission approve the TECDA Rider.</w:t>
      </w:r>
    </w:p>
    <w:p w14:paraId="2466858D" w14:textId="271A8D00" w:rsidR="00D616F7" w:rsidRPr="00E42BD0" w:rsidRDefault="00D616F7" w:rsidP="00D616F7">
      <w:pPr>
        <w:spacing w:after="480"/>
        <w:ind w:left="4320"/>
        <w:rPr>
          <w:rFonts w:cs="Arial"/>
          <w:szCs w:val="24"/>
        </w:rPr>
      </w:pPr>
      <w:bookmarkStart w:id="1" w:name="_DV_M0"/>
      <w:bookmarkStart w:id="2" w:name="_DV_M1"/>
      <w:bookmarkStart w:id="3" w:name="_DV_M113"/>
      <w:bookmarkStart w:id="4" w:name="_DV_M114"/>
      <w:bookmarkStart w:id="5" w:name="_DV_M115"/>
      <w:bookmarkStart w:id="6" w:name="_DV_M118"/>
      <w:bookmarkEnd w:id="1"/>
      <w:bookmarkEnd w:id="2"/>
      <w:bookmarkEnd w:id="3"/>
      <w:bookmarkEnd w:id="4"/>
      <w:bookmarkEnd w:id="5"/>
      <w:bookmarkEnd w:id="6"/>
      <w:r w:rsidRPr="00E42BD0">
        <w:rPr>
          <w:rFonts w:cs="Arial"/>
          <w:szCs w:val="24"/>
        </w:rPr>
        <w:t>Respectfully submitted,</w:t>
      </w:r>
    </w:p>
    <w:p w14:paraId="0C1E422D" w14:textId="77777777" w:rsidR="00D616F7" w:rsidRPr="00E42BD0" w:rsidRDefault="00D616F7" w:rsidP="00D616F7">
      <w:pPr>
        <w:tabs>
          <w:tab w:val="left" w:pos="-720"/>
        </w:tabs>
        <w:suppressAutoHyphens/>
        <w:spacing w:before="480"/>
        <w:ind w:left="4320"/>
        <w:rPr>
          <w:rFonts w:cs="Arial"/>
          <w:i/>
          <w:iCs/>
          <w:spacing w:val="-3"/>
          <w:szCs w:val="24"/>
          <w:u w:val="single"/>
        </w:rPr>
      </w:pPr>
      <w:r w:rsidRPr="00E42BD0">
        <w:rPr>
          <w:rFonts w:cs="Arial"/>
          <w:i/>
          <w:iCs/>
          <w:spacing w:val="-3"/>
          <w:szCs w:val="24"/>
          <w:u w:val="single"/>
        </w:rPr>
        <w:t>/s/ Rick D. Chamberlain</w:t>
      </w:r>
      <w:r w:rsidRPr="00E42BD0">
        <w:rPr>
          <w:rFonts w:cs="Arial"/>
          <w:i/>
          <w:iCs/>
          <w:spacing w:val="-3"/>
          <w:szCs w:val="24"/>
          <w:u w:val="single"/>
        </w:rPr>
        <w:tab/>
      </w:r>
      <w:r w:rsidRPr="00E42BD0">
        <w:rPr>
          <w:rFonts w:cs="Arial"/>
          <w:i/>
          <w:iCs/>
          <w:spacing w:val="-3"/>
          <w:szCs w:val="24"/>
          <w:u w:val="single"/>
        </w:rPr>
        <w:tab/>
      </w:r>
      <w:r w:rsidRPr="00E42BD0">
        <w:rPr>
          <w:rFonts w:cs="Arial"/>
          <w:i/>
          <w:iCs/>
          <w:spacing w:val="-3"/>
          <w:szCs w:val="24"/>
          <w:u w:val="single"/>
        </w:rPr>
        <w:tab/>
      </w:r>
      <w:r w:rsidRPr="00E42BD0">
        <w:rPr>
          <w:rFonts w:cs="Arial"/>
          <w:i/>
          <w:iCs/>
          <w:spacing w:val="-3"/>
          <w:szCs w:val="24"/>
          <w:u w:val="single"/>
        </w:rPr>
        <w:tab/>
      </w:r>
    </w:p>
    <w:p w14:paraId="7FDD648D" w14:textId="77777777" w:rsidR="00D616F7" w:rsidRPr="00E42BD0" w:rsidRDefault="00D616F7" w:rsidP="00D616F7">
      <w:pPr>
        <w:suppressAutoHyphens/>
        <w:ind w:left="4320"/>
        <w:rPr>
          <w:rFonts w:cs="Arial"/>
          <w:spacing w:val="-3"/>
          <w:szCs w:val="24"/>
        </w:rPr>
      </w:pPr>
      <w:r w:rsidRPr="00E42BD0">
        <w:rPr>
          <w:rFonts w:cs="Arial"/>
          <w:spacing w:val="-3"/>
          <w:szCs w:val="24"/>
        </w:rPr>
        <w:t>Rick D. Chamberlain</w:t>
      </w:r>
    </w:p>
    <w:p w14:paraId="6B677BDE" w14:textId="77777777" w:rsidR="00D616F7" w:rsidRPr="00E42BD0" w:rsidRDefault="00D616F7" w:rsidP="00D616F7">
      <w:pPr>
        <w:suppressAutoHyphens/>
        <w:ind w:left="4320"/>
        <w:rPr>
          <w:rFonts w:cs="Arial"/>
          <w:spacing w:val="-3"/>
          <w:szCs w:val="24"/>
        </w:rPr>
      </w:pPr>
      <w:r w:rsidRPr="00E42BD0">
        <w:rPr>
          <w:rFonts w:cs="Arial"/>
          <w:spacing w:val="-3"/>
          <w:szCs w:val="24"/>
        </w:rPr>
        <w:t>Attorney at Law</w:t>
      </w:r>
    </w:p>
    <w:p w14:paraId="7C07DD38" w14:textId="77777777" w:rsidR="00D616F7" w:rsidRPr="00E42BD0" w:rsidRDefault="00D616F7" w:rsidP="00D616F7">
      <w:pPr>
        <w:suppressAutoHyphens/>
        <w:ind w:left="4320"/>
        <w:rPr>
          <w:rFonts w:cs="Arial"/>
          <w:spacing w:val="-3"/>
          <w:szCs w:val="24"/>
        </w:rPr>
      </w:pPr>
      <w:r w:rsidRPr="00E42BD0">
        <w:rPr>
          <w:rFonts w:cs="Arial"/>
          <w:spacing w:val="-3"/>
          <w:szCs w:val="24"/>
        </w:rPr>
        <w:t>Oklahoma Bar Association No. 11255</w:t>
      </w:r>
    </w:p>
    <w:p w14:paraId="54BEAAFF" w14:textId="77777777" w:rsidR="00D616F7" w:rsidRPr="00E42BD0" w:rsidRDefault="00D616F7" w:rsidP="00D616F7">
      <w:pPr>
        <w:suppressAutoHyphens/>
        <w:ind w:left="4320"/>
        <w:rPr>
          <w:rFonts w:cs="Arial"/>
          <w:spacing w:val="-3"/>
          <w:szCs w:val="24"/>
        </w:rPr>
      </w:pPr>
      <w:r w:rsidRPr="00E42BD0">
        <w:rPr>
          <w:rFonts w:cs="Arial"/>
          <w:spacing w:val="-3"/>
          <w:szCs w:val="24"/>
        </w:rPr>
        <w:t>State Bar of Texas No. 24081827</w:t>
      </w:r>
    </w:p>
    <w:p w14:paraId="31B2EA01" w14:textId="77777777" w:rsidR="00D616F7" w:rsidRPr="00E42BD0" w:rsidRDefault="00D616F7" w:rsidP="00D616F7">
      <w:pPr>
        <w:tabs>
          <w:tab w:val="left" w:pos="-720"/>
        </w:tabs>
        <w:suppressAutoHyphens/>
        <w:ind w:left="4320"/>
        <w:rPr>
          <w:rFonts w:cs="Arial"/>
          <w:spacing w:val="-3"/>
          <w:szCs w:val="24"/>
        </w:rPr>
      </w:pPr>
      <w:r w:rsidRPr="00E42BD0">
        <w:rPr>
          <w:rFonts w:cs="Arial"/>
          <w:spacing w:val="-3"/>
          <w:szCs w:val="24"/>
        </w:rPr>
        <w:t>P.O. Box 21866</w:t>
      </w:r>
    </w:p>
    <w:p w14:paraId="37C7FB62" w14:textId="77777777" w:rsidR="00D616F7" w:rsidRPr="00E42BD0" w:rsidRDefault="00D616F7" w:rsidP="00D616F7">
      <w:pPr>
        <w:tabs>
          <w:tab w:val="left" w:pos="-720"/>
        </w:tabs>
        <w:suppressAutoHyphens/>
        <w:ind w:left="4320"/>
        <w:rPr>
          <w:rFonts w:cs="Arial"/>
          <w:spacing w:val="-3"/>
          <w:szCs w:val="24"/>
        </w:rPr>
      </w:pPr>
      <w:r w:rsidRPr="00E42BD0">
        <w:rPr>
          <w:rFonts w:cs="Arial"/>
          <w:spacing w:val="-3"/>
          <w:szCs w:val="24"/>
        </w:rPr>
        <w:t>Oklahoma City, OK 73156-1866</w:t>
      </w:r>
    </w:p>
    <w:p w14:paraId="0E03C256" w14:textId="77777777" w:rsidR="00D616F7" w:rsidRPr="00E42BD0" w:rsidRDefault="00D616F7" w:rsidP="00D616F7">
      <w:pPr>
        <w:tabs>
          <w:tab w:val="left" w:pos="-720"/>
        </w:tabs>
        <w:suppressAutoHyphens/>
        <w:ind w:left="4320"/>
        <w:rPr>
          <w:rFonts w:cs="Arial"/>
          <w:spacing w:val="-3"/>
          <w:szCs w:val="24"/>
        </w:rPr>
      </w:pPr>
      <w:r w:rsidRPr="00E42BD0">
        <w:rPr>
          <w:rFonts w:cs="Arial"/>
          <w:spacing w:val="-3"/>
          <w:szCs w:val="24"/>
        </w:rPr>
        <w:t>Tel.:</w:t>
      </w:r>
      <w:r w:rsidRPr="00E42BD0">
        <w:rPr>
          <w:rFonts w:cs="Arial"/>
          <w:spacing w:val="-3"/>
          <w:szCs w:val="24"/>
        </w:rPr>
        <w:tab/>
        <w:t xml:space="preserve">      </w:t>
      </w:r>
      <w:proofErr w:type="gramStart"/>
      <w:r w:rsidRPr="00E42BD0">
        <w:rPr>
          <w:rFonts w:cs="Arial"/>
          <w:spacing w:val="-3"/>
          <w:szCs w:val="24"/>
        </w:rPr>
        <w:t xml:space="preserve">   (</w:t>
      </w:r>
      <w:proofErr w:type="gramEnd"/>
      <w:r w:rsidRPr="00E42BD0">
        <w:rPr>
          <w:rFonts w:cs="Arial"/>
          <w:spacing w:val="-3"/>
          <w:szCs w:val="24"/>
        </w:rPr>
        <w:t>405) 229-4154</w:t>
      </w:r>
    </w:p>
    <w:p w14:paraId="414307A7" w14:textId="77777777" w:rsidR="00D616F7" w:rsidRPr="00E42BD0" w:rsidRDefault="00D616F7" w:rsidP="00D616F7">
      <w:pPr>
        <w:tabs>
          <w:tab w:val="left" w:pos="-720"/>
        </w:tabs>
        <w:suppressAutoHyphens/>
        <w:ind w:left="4320"/>
        <w:rPr>
          <w:rFonts w:cs="Arial"/>
          <w:spacing w:val="-3"/>
          <w:szCs w:val="24"/>
        </w:rPr>
      </w:pPr>
      <w:r w:rsidRPr="00E42BD0">
        <w:rPr>
          <w:rFonts w:cs="Arial"/>
          <w:spacing w:val="-3"/>
          <w:szCs w:val="24"/>
        </w:rPr>
        <w:t>Fax:</w:t>
      </w:r>
      <w:r w:rsidRPr="00E42BD0">
        <w:rPr>
          <w:rFonts w:cs="Arial"/>
          <w:spacing w:val="-3"/>
          <w:szCs w:val="24"/>
        </w:rPr>
        <w:tab/>
        <w:t xml:space="preserve">      </w:t>
      </w:r>
      <w:proofErr w:type="gramStart"/>
      <w:r w:rsidRPr="00E42BD0">
        <w:rPr>
          <w:rFonts w:cs="Arial"/>
          <w:spacing w:val="-3"/>
          <w:szCs w:val="24"/>
        </w:rPr>
        <w:t xml:space="preserve">   (</w:t>
      </w:r>
      <w:proofErr w:type="gramEnd"/>
      <w:r w:rsidRPr="00E42BD0">
        <w:rPr>
          <w:rFonts w:cs="Arial"/>
          <w:spacing w:val="-3"/>
          <w:szCs w:val="24"/>
        </w:rPr>
        <w:t>870) 617-1485</w:t>
      </w:r>
    </w:p>
    <w:p w14:paraId="4389642A" w14:textId="77777777" w:rsidR="00D616F7" w:rsidRPr="00E42BD0" w:rsidRDefault="00D616F7" w:rsidP="00D616F7">
      <w:pPr>
        <w:tabs>
          <w:tab w:val="left" w:pos="-720"/>
        </w:tabs>
        <w:suppressAutoHyphens/>
        <w:spacing w:after="240"/>
        <w:ind w:left="4320"/>
        <w:rPr>
          <w:rFonts w:cs="Arial"/>
          <w:spacing w:val="-3"/>
          <w:szCs w:val="24"/>
        </w:rPr>
      </w:pPr>
      <w:r w:rsidRPr="00E42BD0">
        <w:rPr>
          <w:rFonts w:cs="Arial"/>
          <w:spacing w:val="-3"/>
          <w:szCs w:val="24"/>
        </w:rPr>
        <w:t>E-mail:         Rick@ChamberlainLawOffices.com</w:t>
      </w:r>
    </w:p>
    <w:p w14:paraId="08D47893" w14:textId="77777777" w:rsidR="00D616F7" w:rsidRPr="00E42BD0" w:rsidRDefault="00D616F7" w:rsidP="00D616F7">
      <w:pPr>
        <w:suppressAutoHyphens/>
        <w:spacing w:after="240"/>
        <w:ind w:left="4320"/>
        <w:rPr>
          <w:rFonts w:cs="Arial"/>
          <w:szCs w:val="24"/>
        </w:rPr>
      </w:pPr>
      <w:r w:rsidRPr="00E42BD0">
        <w:rPr>
          <w:rFonts w:cs="Arial"/>
          <w:spacing w:val="-3"/>
          <w:szCs w:val="24"/>
        </w:rPr>
        <w:t>ATTORNEY FOR WALMART INC.</w:t>
      </w:r>
    </w:p>
    <w:p w14:paraId="5A2266A8" w14:textId="77777777" w:rsidR="00D616F7" w:rsidRPr="00D04DBB" w:rsidRDefault="00D616F7" w:rsidP="00D616F7">
      <w:pPr>
        <w:pStyle w:val="Heading4"/>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240" w:line="240" w:lineRule="auto"/>
        <w:rPr>
          <w:rFonts w:cs="Arial"/>
          <w:bCs w:val="0"/>
          <w:szCs w:val="24"/>
        </w:rPr>
      </w:pPr>
      <w:r w:rsidRPr="00D04DBB">
        <w:rPr>
          <w:rFonts w:cs="Arial"/>
          <w:bCs w:val="0"/>
          <w:szCs w:val="24"/>
        </w:rPr>
        <w:t>CERTIFICATE OF SERVICE</w:t>
      </w:r>
    </w:p>
    <w:p w14:paraId="74C93144" w14:textId="2F88BD52" w:rsidR="00D616F7" w:rsidRPr="00D04DBB" w:rsidRDefault="00D616F7" w:rsidP="00D616F7">
      <w:pPr>
        <w:spacing w:after="240"/>
        <w:ind w:firstLine="720"/>
        <w:rPr>
          <w:rFonts w:cs="Arial"/>
          <w:szCs w:val="24"/>
        </w:rPr>
      </w:pPr>
      <w:r w:rsidRPr="00D04DBB">
        <w:rPr>
          <w:rFonts w:cs="Arial"/>
          <w:szCs w:val="24"/>
        </w:rPr>
        <w:t xml:space="preserve">I hereby certify that a copy of this document was served on all parties of record in this proceeding on </w:t>
      </w:r>
      <w:r w:rsidR="007D52EF">
        <w:rPr>
          <w:rFonts w:cs="Arial"/>
          <w:szCs w:val="24"/>
        </w:rPr>
        <w:t xml:space="preserve">April </w:t>
      </w:r>
      <w:r>
        <w:rPr>
          <w:rFonts w:cs="Arial"/>
          <w:szCs w:val="24"/>
        </w:rPr>
        <w:t>1</w:t>
      </w:r>
      <w:r w:rsidR="007D52EF">
        <w:rPr>
          <w:rFonts w:cs="Arial"/>
          <w:szCs w:val="24"/>
        </w:rPr>
        <w:t>5</w:t>
      </w:r>
      <w:r w:rsidRPr="00D04DBB">
        <w:rPr>
          <w:rFonts w:cs="Arial"/>
          <w:szCs w:val="24"/>
        </w:rPr>
        <w:t>, 202</w:t>
      </w:r>
      <w:r w:rsidR="007D52EF">
        <w:rPr>
          <w:rFonts w:cs="Arial"/>
          <w:szCs w:val="24"/>
        </w:rPr>
        <w:t>4</w:t>
      </w:r>
      <w:r w:rsidRPr="00D04DBB">
        <w:rPr>
          <w:rFonts w:cs="Arial"/>
          <w:szCs w:val="24"/>
        </w:rPr>
        <w:t>, by electronic mail (e-mail), facsimile, hand delivery or by depositing a copy in the United States mail.</w:t>
      </w:r>
    </w:p>
    <w:p w14:paraId="6573EFAB" w14:textId="77777777" w:rsidR="00D616F7" w:rsidRPr="00D04DBB" w:rsidRDefault="00D616F7" w:rsidP="00D616F7">
      <w:pPr>
        <w:pStyle w:val="BodyText"/>
        <w:widowControl/>
        <w:tabs>
          <w:tab w:val="left" w:pos="0"/>
          <w:tab w:val="left" w:pos="4320"/>
          <w:tab w:val="left" w:pos="9360"/>
        </w:tabs>
        <w:spacing w:line="240" w:lineRule="auto"/>
        <w:ind w:left="4320"/>
        <w:rPr>
          <w:rFonts w:cs="Arial"/>
          <w:i/>
          <w:iCs/>
          <w:szCs w:val="24"/>
          <w:u w:val="single"/>
        </w:rPr>
      </w:pPr>
      <w:r w:rsidRPr="00D04DBB">
        <w:rPr>
          <w:rFonts w:cs="Arial"/>
          <w:i/>
          <w:iCs/>
          <w:szCs w:val="24"/>
          <w:u w:val="single"/>
        </w:rPr>
        <w:t>/s/ Rick D. Chamberlain</w:t>
      </w:r>
      <w:r w:rsidRPr="00D04DBB">
        <w:rPr>
          <w:rFonts w:cs="Arial"/>
          <w:i/>
          <w:iCs/>
          <w:szCs w:val="24"/>
          <w:u w:val="single"/>
        </w:rPr>
        <w:tab/>
      </w:r>
    </w:p>
    <w:p w14:paraId="2BBE579A" w14:textId="77777777" w:rsidR="00D616F7" w:rsidRPr="00D04DBB" w:rsidRDefault="00D616F7" w:rsidP="00D616F7">
      <w:pPr>
        <w:ind w:left="4320"/>
        <w:rPr>
          <w:rFonts w:cs="Arial"/>
          <w:szCs w:val="24"/>
        </w:rPr>
      </w:pPr>
      <w:r w:rsidRPr="00D04DBB">
        <w:rPr>
          <w:rFonts w:cs="Arial"/>
          <w:szCs w:val="24"/>
        </w:rPr>
        <w:t>Rick D. Chamberlain</w:t>
      </w:r>
    </w:p>
    <w:sectPr w:rsidR="00D616F7" w:rsidRPr="00D04DBB" w:rsidSect="001846E6">
      <w:footerReference w:type="default" r:id="rId8"/>
      <w:pgSz w:w="12240" w:h="15840" w:code="1"/>
      <w:pgMar w:top="1440" w:right="1440" w:bottom="1440" w:left="1440" w:header="720" w:footer="720" w:gutter="0"/>
      <w:paperSrc w:first="259" w:other="259"/>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07CA" w14:textId="77777777" w:rsidR="001846E6" w:rsidRDefault="001846E6">
      <w:r>
        <w:separator/>
      </w:r>
    </w:p>
  </w:endnote>
  <w:endnote w:type="continuationSeparator" w:id="0">
    <w:p w14:paraId="59A6418E" w14:textId="77777777" w:rsidR="001846E6" w:rsidRDefault="0018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2BA5" w14:textId="77777777" w:rsidR="002D29AF" w:rsidRDefault="002D29A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0A0CA" w14:textId="77777777" w:rsidR="001846E6" w:rsidRDefault="001846E6">
      <w:r>
        <w:separator/>
      </w:r>
    </w:p>
  </w:footnote>
  <w:footnote w:type="continuationSeparator" w:id="0">
    <w:p w14:paraId="3F640EA4" w14:textId="77777777" w:rsidR="001846E6" w:rsidRDefault="001846E6">
      <w:r>
        <w:continuationSeparator/>
      </w:r>
    </w:p>
  </w:footnote>
  <w:footnote w:id="1">
    <w:p w14:paraId="11CBA12A" w14:textId="4FB9EA95" w:rsidR="00BE2E4F" w:rsidRDefault="00BE2E4F">
      <w:pPr>
        <w:pStyle w:val="FootnoteText"/>
      </w:pPr>
      <w:r>
        <w:rPr>
          <w:rStyle w:val="FootnoteReference"/>
        </w:rPr>
        <w:footnoteRef/>
      </w:r>
      <w:r>
        <w:t xml:space="preserve"> </w:t>
      </w:r>
      <w:r w:rsidR="0000713B">
        <w:t>Walmart Ex. No. 1, Direct Testimony Of Eric S. Austin On Behalf Of Walmart Inc.</w:t>
      </w:r>
      <w:r w:rsidR="00DD0147">
        <w:t xml:space="preserve"> (filed Feb. 27, 2024)</w:t>
      </w:r>
      <w:r w:rsidR="00453C75">
        <w:t xml:space="preserve"> at p. 2, ln. </w:t>
      </w:r>
      <w:r w:rsidR="00996A9D">
        <w:t>10-13</w:t>
      </w:r>
      <w:r w:rsidR="00DC4682">
        <w:t>.</w:t>
      </w:r>
    </w:p>
  </w:footnote>
  <w:footnote w:id="2">
    <w:p w14:paraId="1E74945A" w14:textId="443D7E00" w:rsidR="00DC4682" w:rsidRPr="00DC4682" w:rsidRDefault="00DC4682">
      <w:pPr>
        <w:pStyle w:val="FootnoteText"/>
      </w:pPr>
      <w:r>
        <w:rPr>
          <w:rStyle w:val="FootnoteReference"/>
        </w:rPr>
        <w:footnoteRef/>
      </w:r>
      <w:r>
        <w:t xml:space="preserve"> </w:t>
      </w:r>
      <w:r>
        <w:rPr>
          <w:i/>
          <w:iCs/>
        </w:rPr>
        <w:t xml:space="preserve">Id. </w:t>
      </w:r>
      <w:r w:rsidR="00157945">
        <w:t>p. 3, ln. 4-6.</w:t>
      </w:r>
    </w:p>
  </w:footnote>
  <w:footnote w:id="3">
    <w:p w14:paraId="0D5E96BC" w14:textId="2171E419" w:rsidR="004E2B5B" w:rsidRPr="0054329A" w:rsidRDefault="004E2B5B" w:rsidP="004E2B5B">
      <w:pPr>
        <w:pStyle w:val="FootnoteText"/>
      </w:pPr>
      <w:r>
        <w:rPr>
          <w:rStyle w:val="FootnoteReference"/>
        </w:rPr>
        <w:footnoteRef/>
      </w:r>
      <w:r>
        <w:t xml:space="preserve"> </w:t>
      </w:r>
      <w:r>
        <w:rPr>
          <w:i/>
          <w:iCs/>
        </w:rPr>
        <w:t>Id.</w:t>
      </w:r>
      <w:r>
        <w:t xml:space="preserve"> p. 4, ln. 17</w:t>
      </w:r>
      <w:r w:rsidR="006A2C57">
        <w:t xml:space="preserve"> </w:t>
      </w:r>
      <w:r w:rsidR="000841F9">
        <w:t>–</w:t>
      </w:r>
      <w:r w:rsidR="006A2C57">
        <w:t xml:space="preserve"> </w:t>
      </w:r>
      <w:r w:rsidR="000841F9">
        <w:t>p. 5, ln.2.</w:t>
      </w:r>
    </w:p>
  </w:footnote>
  <w:footnote w:id="4">
    <w:p w14:paraId="57798EC2" w14:textId="20CD16A0" w:rsidR="002B5DD2" w:rsidRPr="002E722D" w:rsidRDefault="002E722D">
      <w:pPr>
        <w:pStyle w:val="FootnoteText"/>
      </w:pPr>
      <w:r>
        <w:rPr>
          <w:rStyle w:val="FootnoteReference"/>
        </w:rPr>
        <w:footnoteRef/>
      </w:r>
      <w:r>
        <w:t xml:space="preserve"> </w:t>
      </w:r>
      <w:r>
        <w:rPr>
          <w:i/>
          <w:iCs/>
        </w:rPr>
        <w:t xml:space="preserve">Id. </w:t>
      </w:r>
      <w:r>
        <w:t>p. 5, ln.5-</w:t>
      </w:r>
      <w:r w:rsidR="00671DBD">
        <w:t>8.</w:t>
      </w:r>
    </w:p>
  </w:footnote>
  <w:footnote w:id="5">
    <w:p w14:paraId="72CF45E5" w14:textId="0575E62D" w:rsidR="00DB38D8" w:rsidRPr="00DB38D8" w:rsidRDefault="00DB38D8">
      <w:pPr>
        <w:pStyle w:val="FootnoteText"/>
      </w:pPr>
      <w:r>
        <w:rPr>
          <w:rStyle w:val="FootnoteReference"/>
        </w:rPr>
        <w:footnoteRef/>
      </w:r>
      <w:r>
        <w:t xml:space="preserve"> </w:t>
      </w:r>
      <w:r>
        <w:rPr>
          <w:i/>
          <w:iCs/>
        </w:rPr>
        <w:t xml:space="preserve">Id. </w:t>
      </w:r>
      <w:r>
        <w:t>ln.</w:t>
      </w:r>
      <w:r w:rsidR="006E19CF">
        <w:t xml:space="preserve"> 9-13.</w:t>
      </w:r>
    </w:p>
  </w:footnote>
  <w:footnote w:id="6">
    <w:p w14:paraId="285AE298" w14:textId="6BFFE97B" w:rsidR="008D6A4F" w:rsidRPr="00B079F9" w:rsidRDefault="008D6A4F">
      <w:pPr>
        <w:pStyle w:val="FootnoteText"/>
      </w:pPr>
      <w:r>
        <w:rPr>
          <w:rStyle w:val="FootnoteReference"/>
        </w:rPr>
        <w:footnoteRef/>
      </w:r>
      <w:r>
        <w:t xml:space="preserve"> </w:t>
      </w:r>
      <w:r w:rsidR="00B079F9">
        <w:rPr>
          <w:i/>
          <w:iCs/>
        </w:rPr>
        <w:t xml:space="preserve">Id. </w:t>
      </w:r>
      <w:r w:rsidR="0019233A">
        <w:t>p. 6, ln. 16-23.</w:t>
      </w:r>
    </w:p>
  </w:footnote>
  <w:footnote w:id="7">
    <w:p w14:paraId="3ECD458A" w14:textId="55BE4445" w:rsidR="00FD4B2B" w:rsidRPr="00832838" w:rsidRDefault="00832838">
      <w:pPr>
        <w:pStyle w:val="FootnoteText"/>
      </w:pPr>
      <w:r>
        <w:rPr>
          <w:rStyle w:val="FootnoteReference"/>
        </w:rPr>
        <w:footnoteRef/>
      </w:r>
      <w:r w:rsidR="00FD4B2B">
        <w:t xml:space="preserve"> </w:t>
      </w:r>
      <w:r>
        <w:rPr>
          <w:i/>
          <w:iCs/>
        </w:rPr>
        <w:t xml:space="preserve">Id. </w:t>
      </w:r>
      <w:r>
        <w:t>p. 7, ln. 6-</w:t>
      </w:r>
      <w:r w:rsidR="00F86718">
        <w:t>13.</w:t>
      </w:r>
    </w:p>
  </w:footnote>
  <w:footnote w:id="8">
    <w:p w14:paraId="1ED17805" w14:textId="73BF6A25" w:rsidR="0094771E" w:rsidRPr="0094771E" w:rsidRDefault="0094771E">
      <w:pPr>
        <w:pStyle w:val="FootnoteText"/>
      </w:pPr>
      <w:r>
        <w:rPr>
          <w:rStyle w:val="FootnoteReference"/>
        </w:rPr>
        <w:footnoteRef/>
      </w:r>
      <w:r>
        <w:t xml:space="preserve"> </w:t>
      </w:r>
      <w:r>
        <w:rPr>
          <w:i/>
          <w:iCs/>
        </w:rPr>
        <w:t xml:space="preserve">Id. </w:t>
      </w:r>
      <w:r w:rsidR="00637135">
        <w:t>p. 7, ln.</w:t>
      </w:r>
      <w:r w:rsidR="007768A0">
        <w:t xml:space="preserve"> </w:t>
      </w:r>
      <w:r w:rsidR="00A55DFC">
        <w:t>19 – p. 8, ln. 1.</w:t>
      </w:r>
    </w:p>
  </w:footnote>
  <w:footnote w:id="9">
    <w:p w14:paraId="7D8122FD" w14:textId="7BE70143" w:rsidR="00A62556" w:rsidRPr="00A62556" w:rsidRDefault="00A62556">
      <w:pPr>
        <w:pStyle w:val="FootnoteText"/>
      </w:pPr>
      <w:r>
        <w:rPr>
          <w:rStyle w:val="FootnoteReference"/>
        </w:rPr>
        <w:footnoteRef/>
      </w:r>
      <w:r>
        <w:t xml:space="preserve"> </w:t>
      </w:r>
      <w:r>
        <w:rPr>
          <w:i/>
          <w:iCs/>
        </w:rPr>
        <w:t xml:space="preserve">Id. </w:t>
      </w:r>
      <w:r>
        <w:t xml:space="preserve">p. </w:t>
      </w:r>
      <w:r w:rsidR="00004AFF">
        <w:t>8, ln. 1-8.</w:t>
      </w:r>
    </w:p>
  </w:footnote>
  <w:footnote w:id="10">
    <w:p w14:paraId="72B6FE9E" w14:textId="30244DE5" w:rsidR="00004AFF" w:rsidRPr="0050226F" w:rsidRDefault="00004AFF">
      <w:pPr>
        <w:pStyle w:val="FootnoteText"/>
      </w:pPr>
      <w:r>
        <w:rPr>
          <w:rStyle w:val="FootnoteReference"/>
        </w:rPr>
        <w:footnoteRef/>
      </w:r>
      <w:r>
        <w:t xml:space="preserve"> </w:t>
      </w:r>
      <w:r w:rsidR="0050226F">
        <w:rPr>
          <w:i/>
          <w:iCs/>
        </w:rPr>
        <w:t xml:space="preserve">Id. </w:t>
      </w:r>
      <w:r w:rsidR="0050226F">
        <w:t xml:space="preserve">ln. </w:t>
      </w:r>
      <w:r w:rsidR="00B65149">
        <w:t>8-13.</w:t>
      </w:r>
    </w:p>
  </w:footnote>
  <w:footnote w:id="11">
    <w:p w14:paraId="2BB2EAB7" w14:textId="69CFA837" w:rsidR="0062572A" w:rsidRPr="000B61D8" w:rsidRDefault="0062572A">
      <w:pPr>
        <w:pStyle w:val="FootnoteText"/>
      </w:pPr>
      <w:r>
        <w:rPr>
          <w:rStyle w:val="FootnoteReference"/>
        </w:rPr>
        <w:footnoteRef/>
      </w:r>
      <w:r>
        <w:t xml:space="preserve"> </w:t>
      </w:r>
      <w:r w:rsidR="000B61D8">
        <w:rPr>
          <w:i/>
          <w:iCs/>
        </w:rPr>
        <w:t xml:space="preserve">Id. </w:t>
      </w:r>
      <w:r w:rsidR="000B61D8">
        <w:t xml:space="preserve">p. 9, ln. </w:t>
      </w:r>
      <w:r w:rsidR="00920617">
        <w:t>14-18.</w:t>
      </w:r>
    </w:p>
  </w:footnote>
  <w:footnote w:id="12">
    <w:p w14:paraId="4540E8F1" w14:textId="618AEFDB" w:rsidR="00CE0E26" w:rsidRPr="00571440" w:rsidRDefault="00CE0E26">
      <w:pPr>
        <w:pStyle w:val="FootnoteText"/>
      </w:pPr>
      <w:r>
        <w:rPr>
          <w:rStyle w:val="FootnoteReference"/>
        </w:rPr>
        <w:footnoteRef/>
      </w:r>
      <w:r>
        <w:t xml:space="preserve"> </w:t>
      </w:r>
      <w:r>
        <w:rPr>
          <w:i/>
          <w:iCs/>
        </w:rPr>
        <w:t>I</w:t>
      </w:r>
      <w:r w:rsidR="00571440">
        <w:rPr>
          <w:i/>
          <w:iCs/>
        </w:rPr>
        <w:t xml:space="preserve">d. </w:t>
      </w:r>
      <w:r w:rsidR="00571440">
        <w:t xml:space="preserve">p. 8, ln. 19 – p. </w:t>
      </w:r>
      <w:r w:rsidR="0002529D">
        <w:t>9</w:t>
      </w:r>
      <w:r w:rsidR="00571440">
        <w:t>, ln.</w:t>
      </w:r>
      <w:r w:rsidR="0002529D">
        <w:t xml:space="preserve"> 2.</w:t>
      </w:r>
    </w:p>
  </w:footnote>
  <w:footnote w:id="13">
    <w:p w14:paraId="2AA5A8F3" w14:textId="3C5C62E2" w:rsidR="00195CDE" w:rsidRPr="00810ADB" w:rsidRDefault="00195CDE">
      <w:pPr>
        <w:pStyle w:val="FootnoteText"/>
      </w:pPr>
      <w:r>
        <w:rPr>
          <w:rStyle w:val="FootnoteReference"/>
        </w:rPr>
        <w:footnoteRef/>
      </w:r>
      <w:r>
        <w:t xml:space="preserve"> </w:t>
      </w:r>
      <w:r w:rsidR="00131334">
        <w:rPr>
          <w:i/>
          <w:iCs/>
        </w:rPr>
        <w:t xml:space="preserve">Id. </w:t>
      </w:r>
      <w:r w:rsidR="00810ADB">
        <w:t xml:space="preserve">p. 9, ln. </w:t>
      </w:r>
      <w:r w:rsidR="00670A16">
        <w:t>5-12.</w:t>
      </w:r>
    </w:p>
  </w:footnote>
  <w:footnote w:id="14">
    <w:p w14:paraId="002DF084" w14:textId="14FE3219" w:rsidR="00F67EDF" w:rsidRPr="00C75C62" w:rsidRDefault="00F67EDF">
      <w:pPr>
        <w:pStyle w:val="FootnoteText"/>
      </w:pPr>
      <w:r>
        <w:rPr>
          <w:rStyle w:val="FootnoteReference"/>
        </w:rPr>
        <w:footnoteRef/>
      </w:r>
      <w:r>
        <w:t xml:space="preserve"> </w:t>
      </w:r>
      <w:r>
        <w:rPr>
          <w:i/>
          <w:iCs/>
        </w:rPr>
        <w:t xml:space="preserve">Id. </w:t>
      </w:r>
      <w:r w:rsidR="00C75C62">
        <w:t>ln. 12-18.</w:t>
      </w:r>
    </w:p>
  </w:footnote>
  <w:footnote w:id="15">
    <w:p w14:paraId="58E544D2" w14:textId="0FF114BB" w:rsidR="00C75C62" w:rsidRPr="00B3661E" w:rsidRDefault="00C75C62">
      <w:pPr>
        <w:pStyle w:val="FootnoteText"/>
      </w:pPr>
      <w:r>
        <w:rPr>
          <w:rStyle w:val="FootnoteReference"/>
        </w:rPr>
        <w:footnoteRef/>
      </w:r>
      <w:r>
        <w:t xml:space="preserve"> </w:t>
      </w:r>
      <w:r w:rsidR="00B3661E">
        <w:rPr>
          <w:i/>
          <w:iCs/>
        </w:rPr>
        <w:t xml:space="preserve">Id. </w:t>
      </w:r>
      <w:r w:rsidR="00B3661E">
        <w:t>ln. 18-22.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F71"/>
    <w:multiLevelType w:val="hybridMultilevel"/>
    <w:tmpl w:val="65944D82"/>
    <w:lvl w:ilvl="0" w:tplc="B168975A">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40592"/>
    <w:multiLevelType w:val="hybridMultilevel"/>
    <w:tmpl w:val="02A259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BF05D0"/>
    <w:multiLevelType w:val="hybridMultilevel"/>
    <w:tmpl w:val="61F2F890"/>
    <w:lvl w:ilvl="0" w:tplc="C814242E">
      <w:start w:val="13"/>
      <w:numFmt w:val="upperRoman"/>
      <w:lvlText w:val="%1."/>
      <w:lvlJc w:val="left"/>
      <w:pPr>
        <w:ind w:left="36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8535F"/>
    <w:multiLevelType w:val="hybridMultilevel"/>
    <w:tmpl w:val="7390D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916460"/>
    <w:multiLevelType w:val="hybridMultilevel"/>
    <w:tmpl w:val="07F24B3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5C0B09"/>
    <w:multiLevelType w:val="hybridMultilevel"/>
    <w:tmpl w:val="62E695C8"/>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D2861"/>
    <w:multiLevelType w:val="hybridMultilevel"/>
    <w:tmpl w:val="B6DA47E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5D523CE"/>
    <w:multiLevelType w:val="hybridMultilevel"/>
    <w:tmpl w:val="11B0E0A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D6880"/>
    <w:multiLevelType w:val="hybridMultilevel"/>
    <w:tmpl w:val="56FEA7BC"/>
    <w:lvl w:ilvl="0" w:tplc="8D3CCF8A">
      <w:start w:val="1"/>
      <w:numFmt w:val="decimal"/>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A0754"/>
    <w:multiLevelType w:val="hybridMultilevel"/>
    <w:tmpl w:val="3690C06A"/>
    <w:lvl w:ilvl="0" w:tplc="4AF4080E">
      <w:start w:val="7"/>
      <w:numFmt w:val="upperRoman"/>
      <w:lvlText w:val="%1."/>
      <w:lvlJc w:val="left"/>
      <w:pPr>
        <w:ind w:left="720" w:hanging="720"/>
      </w:pPr>
      <w:rPr>
        <w:rFonts w:hint="default"/>
        <w:color w:val="auto"/>
      </w:rPr>
    </w:lvl>
    <w:lvl w:ilvl="1" w:tplc="04090015">
      <w:start w:val="1"/>
      <w:numFmt w:val="upperLetter"/>
      <w:lvlText w:val="%2."/>
      <w:lvlJc w:val="left"/>
      <w:pPr>
        <w:ind w:left="1440" w:hanging="360"/>
      </w:pPr>
    </w:lvl>
    <w:lvl w:ilvl="2" w:tplc="0409000F">
      <w:start w:val="1"/>
      <w:numFmt w:val="decimal"/>
      <w:lvlText w:val="%3."/>
      <w:lvlJc w:val="left"/>
      <w:pPr>
        <w:ind w:left="14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C47E7"/>
    <w:multiLevelType w:val="hybridMultilevel"/>
    <w:tmpl w:val="7DB4E1AC"/>
    <w:lvl w:ilvl="0" w:tplc="0B2620D2">
      <w:start w:val="1"/>
      <w:numFmt w:val="lowerLetter"/>
      <w:lvlText w:val="%1."/>
      <w:lvlJc w:val="left"/>
      <w:pPr>
        <w:ind w:left="1559" w:hanging="360"/>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1" w:tplc="6E8C7A48">
      <w:start w:val="1"/>
      <w:numFmt w:val="lowerRoman"/>
      <w:lvlText w:val="%2."/>
      <w:lvlJc w:val="left"/>
      <w:pPr>
        <w:ind w:left="2280" w:hanging="308"/>
        <w:jc w:val="right"/>
      </w:pPr>
      <w:rPr>
        <w:rFonts w:ascii="Times New Roman" w:eastAsia="Times New Roman" w:hAnsi="Times New Roman" w:cs="Times New Roman" w:hint="default"/>
        <w:b w:val="0"/>
        <w:bCs w:val="0"/>
        <w:i w:val="0"/>
        <w:iCs w:val="0"/>
        <w:spacing w:val="-9"/>
        <w:w w:val="99"/>
        <w:sz w:val="24"/>
        <w:szCs w:val="24"/>
        <w:lang w:val="en-US" w:eastAsia="en-US" w:bidi="ar-SA"/>
      </w:rPr>
    </w:lvl>
    <w:lvl w:ilvl="2" w:tplc="ABC2E30A">
      <w:numFmt w:val="bullet"/>
      <w:lvlText w:val="•"/>
      <w:lvlJc w:val="left"/>
      <w:pPr>
        <w:ind w:left="3093" w:hanging="308"/>
      </w:pPr>
      <w:rPr>
        <w:rFonts w:hint="default"/>
        <w:lang w:val="en-US" w:eastAsia="en-US" w:bidi="ar-SA"/>
      </w:rPr>
    </w:lvl>
    <w:lvl w:ilvl="3" w:tplc="896A33D6">
      <w:numFmt w:val="bullet"/>
      <w:lvlText w:val="•"/>
      <w:lvlJc w:val="left"/>
      <w:pPr>
        <w:ind w:left="3906" w:hanging="308"/>
      </w:pPr>
      <w:rPr>
        <w:rFonts w:hint="default"/>
        <w:lang w:val="en-US" w:eastAsia="en-US" w:bidi="ar-SA"/>
      </w:rPr>
    </w:lvl>
    <w:lvl w:ilvl="4" w:tplc="E71A66F6">
      <w:numFmt w:val="bullet"/>
      <w:lvlText w:val="•"/>
      <w:lvlJc w:val="left"/>
      <w:pPr>
        <w:ind w:left="4720" w:hanging="308"/>
      </w:pPr>
      <w:rPr>
        <w:rFonts w:hint="default"/>
        <w:lang w:val="en-US" w:eastAsia="en-US" w:bidi="ar-SA"/>
      </w:rPr>
    </w:lvl>
    <w:lvl w:ilvl="5" w:tplc="62F03152">
      <w:numFmt w:val="bullet"/>
      <w:lvlText w:val="•"/>
      <w:lvlJc w:val="left"/>
      <w:pPr>
        <w:ind w:left="5533" w:hanging="308"/>
      </w:pPr>
      <w:rPr>
        <w:rFonts w:hint="default"/>
        <w:lang w:val="en-US" w:eastAsia="en-US" w:bidi="ar-SA"/>
      </w:rPr>
    </w:lvl>
    <w:lvl w:ilvl="6" w:tplc="7DBE72AE">
      <w:numFmt w:val="bullet"/>
      <w:lvlText w:val="•"/>
      <w:lvlJc w:val="left"/>
      <w:pPr>
        <w:ind w:left="6346" w:hanging="308"/>
      </w:pPr>
      <w:rPr>
        <w:rFonts w:hint="default"/>
        <w:lang w:val="en-US" w:eastAsia="en-US" w:bidi="ar-SA"/>
      </w:rPr>
    </w:lvl>
    <w:lvl w:ilvl="7" w:tplc="FA6CB41A">
      <w:numFmt w:val="bullet"/>
      <w:lvlText w:val="•"/>
      <w:lvlJc w:val="left"/>
      <w:pPr>
        <w:ind w:left="7160" w:hanging="308"/>
      </w:pPr>
      <w:rPr>
        <w:rFonts w:hint="default"/>
        <w:lang w:val="en-US" w:eastAsia="en-US" w:bidi="ar-SA"/>
      </w:rPr>
    </w:lvl>
    <w:lvl w:ilvl="8" w:tplc="F634B900">
      <w:numFmt w:val="bullet"/>
      <w:lvlText w:val="•"/>
      <w:lvlJc w:val="left"/>
      <w:pPr>
        <w:ind w:left="7973" w:hanging="308"/>
      </w:pPr>
      <w:rPr>
        <w:rFonts w:hint="default"/>
        <w:lang w:val="en-US" w:eastAsia="en-US" w:bidi="ar-SA"/>
      </w:rPr>
    </w:lvl>
  </w:abstractNum>
  <w:abstractNum w:abstractNumId="11" w15:restartNumberingAfterBreak="0">
    <w:nsid w:val="2D5252DF"/>
    <w:multiLevelType w:val="hybridMultilevel"/>
    <w:tmpl w:val="F50E9F42"/>
    <w:lvl w:ilvl="0" w:tplc="91B42E90">
      <w:start w:val="1"/>
      <w:numFmt w:val="upperRoman"/>
      <w:lvlText w:val="%1."/>
      <w:lvlJc w:val="left"/>
      <w:pPr>
        <w:ind w:left="720" w:hanging="720"/>
      </w:pPr>
      <w:rPr>
        <w:rFonts w:hint="default"/>
        <w:color w:val="auto"/>
      </w:rPr>
    </w:lvl>
    <w:lvl w:ilvl="1" w:tplc="C29C60C8">
      <w:start w:val="1"/>
      <w:numFmt w:val="upperLetter"/>
      <w:lvlText w:val="%2."/>
      <w:lvlJc w:val="left"/>
      <w:pPr>
        <w:ind w:left="1080" w:hanging="360"/>
      </w:pPr>
      <w:rPr>
        <w:color w:val="auto"/>
      </w:rPr>
    </w:lvl>
    <w:lvl w:ilvl="2" w:tplc="3B3A9E9E">
      <w:start w:val="1"/>
      <w:numFmt w:val="decimal"/>
      <w:lvlText w:val="%3."/>
      <w:lvlJc w:val="left"/>
      <w:pPr>
        <w:ind w:left="1980" w:hanging="360"/>
      </w:pPr>
    </w:lvl>
    <w:lvl w:ilvl="3" w:tplc="BC045F3A">
      <w:start w:val="1"/>
      <w:numFmt w:val="lowerLetter"/>
      <w:lvlText w:val="%4."/>
      <w:lvlJc w:val="left"/>
      <w:pPr>
        <w:ind w:left="2520" w:hanging="360"/>
      </w:pPr>
    </w:lvl>
    <w:lvl w:ilvl="4" w:tplc="BCBAA958">
      <w:start w:val="1"/>
      <w:numFmt w:val="lowerLetter"/>
      <w:lvlText w:val="%5."/>
      <w:lvlJc w:val="left"/>
      <w:pPr>
        <w:ind w:left="3240" w:hanging="360"/>
      </w:pPr>
    </w:lvl>
    <w:lvl w:ilvl="5" w:tplc="07244B0A">
      <w:start w:val="1"/>
      <w:numFmt w:val="lowerRoman"/>
      <w:lvlText w:val="%6."/>
      <w:lvlJc w:val="right"/>
      <w:pPr>
        <w:ind w:left="3960" w:hanging="180"/>
      </w:pPr>
    </w:lvl>
    <w:lvl w:ilvl="6" w:tplc="2CCA92CA">
      <w:start w:val="1"/>
      <w:numFmt w:val="decimal"/>
      <w:lvlText w:val="%7."/>
      <w:lvlJc w:val="left"/>
      <w:pPr>
        <w:ind w:left="4680" w:hanging="360"/>
      </w:pPr>
    </w:lvl>
    <w:lvl w:ilvl="7" w:tplc="C73E0776" w:tentative="1">
      <w:start w:val="1"/>
      <w:numFmt w:val="lowerLetter"/>
      <w:lvlText w:val="%8."/>
      <w:lvlJc w:val="left"/>
      <w:pPr>
        <w:ind w:left="5400" w:hanging="360"/>
      </w:pPr>
    </w:lvl>
    <w:lvl w:ilvl="8" w:tplc="7E7CC21A" w:tentative="1">
      <w:start w:val="1"/>
      <w:numFmt w:val="lowerRoman"/>
      <w:lvlText w:val="%9."/>
      <w:lvlJc w:val="right"/>
      <w:pPr>
        <w:ind w:left="6120" w:hanging="180"/>
      </w:pPr>
    </w:lvl>
  </w:abstractNum>
  <w:abstractNum w:abstractNumId="12" w15:restartNumberingAfterBreak="0">
    <w:nsid w:val="2E70480B"/>
    <w:multiLevelType w:val="hybridMultilevel"/>
    <w:tmpl w:val="11AC31F6"/>
    <w:lvl w:ilvl="0" w:tplc="B68A7892">
      <w:start w:val="1"/>
      <w:numFmt w:val="lowerLetter"/>
      <w:lvlText w:val="%1."/>
      <w:lvlJc w:val="left"/>
      <w:pPr>
        <w:ind w:left="1560" w:hanging="360"/>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31E49"/>
    <w:multiLevelType w:val="hybridMultilevel"/>
    <w:tmpl w:val="32ECD722"/>
    <w:lvl w:ilvl="0" w:tplc="45E01134">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875E9"/>
    <w:multiLevelType w:val="hybridMultilevel"/>
    <w:tmpl w:val="1C4AAD98"/>
    <w:lvl w:ilvl="0" w:tplc="04090013">
      <w:start w:val="1"/>
      <w:numFmt w:val="upperRoman"/>
      <w:lvlText w:val="%1."/>
      <w:lvlJc w:val="right"/>
      <w:pPr>
        <w:ind w:left="1200" w:hanging="720"/>
        <w:jc w:val="left"/>
      </w:pPr>
      <w:rPr>
        <w:rFonts w:hint="default"/>
        <w:b/>
        <w:bCs/>
        <w:i w:val="0"/>
        <w:iCs w:val="0"/>
        <w:spacing w:val="-2"/>
        <w:w w:val="99"/>
        <w:sz w:val="24"/>
        <w:szCs w:val="24"/>
        <w:lang w:val="en-US" w:eastAsia="en-US" w:bidi="ar-SA"/>
      </w:rPr>
    </w:lvl>
    <w:lvl w:ilvl="1" w:tplc="FFFFFFFF">
      <w:start w:val="1"/>
      <w:numFmt w:val="lowerLetter"/>
      <w:lvlText w:val="%2."/>
      <w:lvlJc w:val="left"/>
      <w:pPr>
        <w:ind w:left="1560" w:hanging="360"/>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2" w:tplc="FFFFFFFF">
      <w:start w:val="1"/>
      <w:numFmt w:val="lowerRoman"/>
      <w:lvlText w:val="%3."/>
      <w:lvlJc w:val="left"/>
      <w:pPr>
        <w:ind w:left="2279" w:hanging="308"/>
        <w:jc w:val="left"/>
      </w:pPr>
      <w:rPr>
        <w:rFonts w:ascii="Times New Roman" w:eastAsia="Times New Roman" w:hAnsi="Times New Roman" w:cs="Times New Roman" w:hint="default"/>
        <w:b w:val="0"/>
        <w:bCs w:val="0"/>
        <w:i w:val="0"/>
        <w:iCs w:val="0"/>
        <w:spacing w:val="-9"/>
        <w:w w:val="99"/>
        <w:sz w:val="24"/>
        <w:szCs w:val="24"/>
        <w:lang w:val="en-US" w:eastAsia="en-US" w:bidi="ar-SA"/>
      </w:rPr>
    </w:lvl>
    <w:lvl w:ilvl="3" w:tplc="FFFFFFFF">
      <w:numFmt w:val="bullet"/>
      <w:lvlText w:val="•"/>
      <w:lvlJc w:val="left"/>
      <w:pPr>
        <w:ind w:left="3195" w:hanging="308"/>
      </w:pPr>
      <w:rPr>
        <w:rFonts w:hint="default"/>
        <w:lang w:val="en-US" w:eastAsia="en-US" w:bidi="ar-SA"/>
      </w:rPr>
    </w:lvl>
    <w:lvl w:ilvl="4" w:tplc="FFFFFFFF">
      <w:numFmt w:val="bullet"/>
      <w:lvlText w:val="•"/>
      <w:lvlJc w:val="left"/>
      <w:pPr>
        <w:ind w:left="4110" w:hanging="308"/>
      </w:pPr>
      <w:rPr>
        <w:rFonts w:hint="default"/>
        <w:lang w:val="en-US" w:eastAsia="en-US" w:bidi="ar-SA"/>
      </w:rPr>
    </w:lvl>
    <w:lvl w:ilvl="5" w:tplc="FFFFFFFF">
      <w:numFmt w:val="bullet"/>
      <w:lvlText w:val="•"/>
      <w:lvlJc w:val="left"/>
      <w:pPr>
        <w:ind w:left="5025" w:hanging="308"/>
      </w:pPr>
      <w:rPr>
        <w:rFonts w:hint="default"/>
        <w:lang w:val="en-US" w:eastAsia="en-US" w:bidi="ar-SA"/>
      </w:rPr>
    </w:lvl>
    <w:lvl w:ilvl="6" w:tplc="FFFFFFFF">
      <w:numFmt w:val="bullet"/>
      <w:lvlText w:val="•"/>
      <w:lvlJc w:val="left"/>
      <w:pPr>
        <w:ind w:left="5940" w:hanging="308"/>
      </w:pPr>
      <w:rPr>
        <w:rFonts w:hint="default"/>
        <w:lang w:val="en-US" w:eastAsia="en-US" w:bidi="ar-SA"/>
      </w:rPr>
    </w:lvl>
    <w:lvl w:ilvl="7" w:tplc="FFFFFFFF">
      <w:numFmt w:val="bullet"/>
      <w:lvlText w:val="•"/>
      <w:lvlJc w:val="left"/>
      <w:pPr>
        <w:ind w:left="6855" w:hanging="308"/>
      </w:pPr>
      <w:rPr>
        <w:rFonts w:hint="default"/>
        <w:lang w:val="en-US" w:eastAsia="en-US" w:bidi="ar-SA"/>
      </w:rPr>
    </w:lvl>
    <w:lvl w:ilvl="8" w:tplc="FFFFFFFF">
      <w:numFmt w:val="bullet"/>
      <w:lvlText w:val="•"/>
      <w:lvlJc w:val="left"/>
      <w:pPr>
        <w:ind w:left="7770" w:hanging="308"/>
      </w:pPr>
      <w:rPr>
        <w:rFonts w:hint="default"/>
        <w:lang w:val="en-US" w:eastAsia="en-US" w:bidi="ar-SA"/>
      </w:rPr>
    </w:lvl>
  </w:abstractNum>
  <w:abstractNum w:abstractNumId="15" w15:restartNumberingAfterBreak="0">
    <w:nsid w:val="3F892E1F"/>
    <w:multiLevelType w:val="hybridMultilevel"/>
    <w:tmpl w:val="1EDA0B84"/>
    <w:lvl w:ilvl="0" w:tplc="A412D422">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05299"/>
    <w:multiLevelType w:val="hybridMultilevel"/>
    <w:tmpl w:val="370E66A0"/>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49F337B2"/>
    <w:multiLevelType w:val="hybridMultilevel"/>
    <w:tmpl w:val="C2142F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CA6C8F"/>
    <w:multiLevelType w:val="hybridMultilevel"/>
    <w:tmpl w:val="175EDAE8"/>
    <w:lvl w:ilvl="0" w:tplc="04090013">
      <w:start w:val="1"/>
      <w:numFmt w:val="upperRoman"/>
      <w:lvlText w:val="%1."/>
      <w:lvlJc w:val="right"/>
      <w:pPr>
        <w:ind w:left="1200" w:hanging="720"/>
        <w:jc w:val="left"/>
      </w:pPr>
      <w:rPr>
        <w:rFonts w:hint="default"/>
        <w:b/>
        <w:bCs/>
        <w:i w:val="0"/>
        <w:iCs w:val="0"/>
        <w:spacing w:val="-2"/>
        <w:w w:val="99"/>
        <w:sz w:val="24"/>
        <w:szCs w:val="24"/>
        <w:lang w:val="en-US" w:eastAsia="en-US" w:bidi="ar-SA"/>
      </w:rPr>
    </w:lvl>
    <w:lvl w:ilvl="1" w:tplc="B68A7892">
      <w:start w:val="1"/>
      <w:numFmt w:val="lowerLetter"/>
      <w:lvlText w:val="%2."/>
      <w:lvlJc w:val="left"/>
      <w:pPr>
        <w:ind w:left="1560" w:hanging="360"/>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2" w:tplc="E126F846">
      <w:start w:val="1"/>
      <w:numFmt w:val="lowerRoman"/>
      <w:lvlText w:val="%3."/>
      <w:lvlJc w:val="left"/>
      <w:pPr>
        <w:ind w:left="2279" w:hanging="308"/>
        <w:jc w:val="left"/>
      </w:pPr>
      <w:rPr>
        <w:rFonts w:ascii="Times New Roman" w:eastAsia="Times New Roman" w:hAnsi="Times New Roman" w:cs="Times New Roman" w:hint="default"/>
        <w:b w:val="0"/>
        <w:bCs w:val="0"/>
        <w:i w:val="0"/>
        <w:iCs w:val="0"/>
        <w:spacing w:val="-9"/>
        <w:w w:val="99"/>
        <w:sz w:val="24"/>
        <w:szCs w:val="24"/>
        <w:lang w:val="en-US" w:eastAsia="en-US" w:bidi="ar-SA"/>
      </w:rPr>
    </w:lvl>
    <w:lvl w:ilvl="3" w:tplc="3FDC5616">
      <w:numFmt w:val="bullet"/>
      <w:lvlText w:val="•"/>
      <w:lvlJc w:val="left"/>
      <w:pPr>
        <w:ind w:left="3195" w:hanging="308"/>
      </w:pPr>
      <w:rPr>
        <w:rFonts w:hint="default"/>
        <w:lang w:val="en-US" w:eastAsia="en-US" w:bidi="ar-SA"/>
      </w:rPr>
    </w:lvl>
    <w:lvl w:ilvl="4" w:tplc="E5A0ABA2">
      <w:numFmt w:val="bullet"/>
      <w:lvlText w:val="•"/>
      <w:lvlJc w:val="left"/>
      <w:pPr>
        <w:ind w:left="4110" w:hanging="308"/>
      </w:pPr>
      <w:rPr>
        <w:rFonts w:hint="default"/>
        <w:lang w:val="en-US" w:eastAsia="en-US" w:bidi="ar-SA"/>
      </w:rPr>
    </w:lvl>
    <w:lvl w:ilvl="5" w:tplc="DFA6897A">
      <w:numFmt w:val="bullet"/>
      <w:lvlText w:val="•"/>
      <w:lvlJc w:val="left"/>
      <w:pPr>
        <w:ind w:left="5025" w:hanging="308"/>
      </w:pPr>
      <w:rPr>
        <w:rFonts w:hint="default"/>
        <w:lang w:val="en-US" w:eastAsia="en-US" w:bidi="ar-SA"/>
      </w:rPr>
    </w:lvl>
    <w:lvl w:ilvl="6" w:tplc="70DC2F90">
      <w:numFmt w:val="bullet"/>
      <w:lvlText w:val="•"/>
      <w:lvlJc w:val="left"/>
      <w:pPr>
        <w:ind w:left="5940" w:hanging="308"/>
      </w:pPr>
      <w:rPr>
        <w:rFonts w:hint="default"/>
        <w:lang w:val="en-US" w:eastAsia="en-US" w:bidi="ar-SA"/>
      </w:rPr>
    </w:lvl>
    <w:lvl w:ilvl="7" w:tplc="FB50C9E2">
      <w:numFmt w:val="bullet"/>
      <w:lvlText w:val="•"/>
      <w:lvlJc w:val="left"/>
      <w:pPr>
        <w:ind w:left="6855" w:hanging="308"/>
      </w:pPr>
      <w:rPr>
        <w:rFonts w:hint="default"/>
        <w:lang w:val="en-US" w:eastAsia="en-US" w:bidi="ar-SA"/>
      </w:rPr>
    </w:lvl>
    <w:lvl w:ilvl="8" w:tplc="977019CA">
      <w:numFmt w:val="bullet"/>
      <w:lvlText w:val="•"/>
      <w:lvlJc w:val="left"/>
      <w:pPr>
        <w:ind w:left="7770" w:hanging="308"/>
      </w:pPr>
      <w:rPr>
        <w:rFonts w:hint="default"/>
        <w:lang w:val="en-US" w:eastAsia="en-US" w:bidi="ar-SA"/>
      </w:rPr>
    </w:lvl>
  </w:abstractNum>
  <w:abstractNum w:abstractNumId="19" w15:restartNumberingAfterBreak="0">
    <w:nsid w:val="4EAF59AC"/>
    <w:multiLevelType w:val="hybridMultilevel"/>
    <w:tmpl w:val="DC40171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5EB01F38">
      <w:start w:val="1"/>
      <w:numFmt w:val="lowerLetter"/>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692B01"/>
    <w:multiLevelType w:val="hybridMultilevel"/>
    <w:tmpl w:val="FFF61BD0"/>
    <w:lvl w:ilvl="0" w:tplc="0409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1" w15:restartNumberingAfterBreak="0">
    <w:nsid w:val="4FF41B91"/>
    <w:multiLevelType w:val="hybridMultilevel"/>
    <w:tmpl w:val="BBD2F6D8"/>
    <w:lvl w:ilvl="0" w:tplc="0F9ADEF6">
      <w:start w:val="1"/>
      <w:numFmt w:val="upperRoman"/>
      <w:lvlText w:val="%1."/>
      <w:lvlJc w:val="left"/>
      <w:pPr>
        <w:ind w:left="720" w:hanging="720"/>
      </w:pPr>
      <w:rPr>
        <w:rFonts w:hint="default"/>
        <w:color w:val="auto"/>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AF78A5"/>
    <w:multiLevelType w:val="hybridMultilevel"/>
    <w:tmpl w:val="32BE133E"/>
    <w:lvl w:ilvl="0" w:tplc="8FBEDE0C">
      <w:start w:val="1"/>
      <w:numFmt w:val="lowerLetter"/>
      <w:lvlText w:val="%1."/>
      <w:lvlJc w:val="left"/>
      <w:pPr>
        <w:ind w:left="1560" w:hanging="360"/>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1" w:tplc="27568770">
      <w:numFmt w:val="bullet"/>
      <w:lvlText w:val="•"/>
      <w:lvlJc w:val="left"/>
      <w:pPr>
        <w:ind w:left="2364" w:hanging="360"/>
      </w:pPr>
      <w:rPr>
        <w:rFonts w:hint="default"/>
        <w:lang w:val="en-US" w:eastAsia="en-US" w:bidi="ar-SA"/>
      </w:rPr>
    </w:lvl>
    <w:lvl w:ilvl="2" w:tplc="5B80BAB4">
      <w:numFmt w:val="bullet"/>
      <w:lvlText w:val="•"/>
      <w:lvlJc w:val="left"/>
      <w:pPr>
        <w:ind w:left="3168" w:hanging="360"/>
      </w:pPr>
      <w:rPr>
        <w:rFonts w:hint="default"/>
        <w:lang w:val="en-US" w:eastAsia="en-US" w:bidi="ar-SA"/>
      </w:rPr>
    </w:lvl>
    <w:lvl w:ilvl="3" w:tplc="30FC957A">
      <w:numFmt w:val="bullet"/>
      <w:lvlText w:val="•"/>
      <w:lvlJc w:val="left"/>
      <w:pPr>
        <w:ind w:left="3972" w:hanging="360"/>
      </w:pPr>
      <w:rPr>
        <w:rFonts w:hint="default"/>
        <w:lang w:val="en-US" w:eastAsia="en-US" w:bidi="ar-SA"/>
      </w:rPr>
    </w:lvl>
    <w:lvl w:ilvl="4" w:tplc="04E42160">
      <w:numFmt w:val="bullet"/>
      <w:lvlText w:val="•"/>
      <w:lvlJc w:val="left"/>
      <w:pPr>
        <w:ind w:left="4776" w:hanging="360"/>
      </w:pPr>
      <w:rPr>
        <w:rFonts w:hint="default"/>
        <w:lang w:val="en-US" w:eastAsia="en-US" w:bidi="ar-SA"/>
      </w:rPr>
    </w:lvl>
    <w:lvl w:ilvl="5" w:tplc="D2A6DDBC">
      <w:numFmt w:val="bullet"/>
      <w:lvlText w:val="•"/>
      <w:lvlJc w:val="left"/>
      <w:pPr>
        <w:ind w:left="5580" w:hanging="360"/>
      </w:pPr>
      <w:rPr>
        <w:rFonts w:hint="default"/>
        <w:lang w:val="en-US" w:eastAsia="en-US" w:bidi="ar-SA"/>
      </w:rPr>
    </w:lvl>
    <w:lvl w:ilvl="6" w:tplc="2C2E5DB2">
      <w:numFmt w:val="bullet"/>
      <w:lvlText w:val="•"/>
      <w:lvlJc w:val="left"/>
      <w:pPr>
        <w:ind w:left="6384" w:hanging="360"/>
      </w:pPr>
      <w:rPr>
        <w:rFonts w:hint="default"/>
        <w:lang w:val="en-US" w:eastAsia="en-US" w:bidi="ar-SA"/>
      </w:rPr>
    </w:lvl>
    <w:lvl w:ilvl="7" w:tplc="CF30EFB8">
      <w:numFmt w:val="bullet"/>
      <w:lvlText w:val="•"/>
      <w:lvlJc w:val="left"/>
      <w:pPr>
        <w:ind w:left="7188" w:hanging="360"/>
      </w:pPr>
      <w:rPr>
        <w:rFonts w:hint="default"/>
        <w:lang w:val="en-US" w:eastAsia="en-US" w:bidi="ar-SA"/>
      </w:rPr>
    </w:lvl>
    <w:lvl w:ilvl="8" w:tplc="2E62D86E">
      <w:numFmt w:val="bullet"/>
      <w:lvlText w:val="•"/>
      <w:lvlJc w:val="left"/>
      <w:pPr>
        <w:ind w:left="7992" w:hanging="360"/>
      </w:pPr>
      <w:rPr>
        <w:rFonts w:hint="default"/>
        <w:lang w:val="en-US" w:eastAsia="en-US" w:bidi="ar-SA"/>
      </w:rPr>
    </w:lvl>
  </w:abstractNum>
  <w:abstractNum w:abstractNumId="23" w15:restartNumberingAfterBreak="0">
    <w:nsid w:val="59420A83"/>
    <w:multiLevelType w:val="hybridMultilevel"/>
    <w:tmpl w:val="F97A6C52"/>
    <w:lvl w:ilvl="0" w:tplc="54C2180A">
      <w:start w:val="13"/>
      <w:numFmt w:val="upperRoman"/>
      <w:lvlText w:val="%1."/>
      <w:lvlJc w:val="left"/>
      <w:pPr>
        <w:ind w:left="360" w:hanging="72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9014C1"/>
    <w:multiLevelType w:val="hybridMultilevel"/>
    <w:tmpl w:val="A12A65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B9F2151"/>
    <w:multiLevelType w:val="hybridMultilevel"/>
    <w:tmpl w:val="9982BBA0"/>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2B24B5"/>
    <w:multiLevelType w:val="hybridMultilevel"/>
    <w:tmpl w:val="E7D0AFAE"/>
    <w:lvl w:ilvl="0" w:tplc="CB7A7CF2">
      <w:start w:val="2"/>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8442A"/>
    <w:multiLevelType w:val="hybridMultilevel"/>
    <w:tmpl w:val="786C37BA"/>
    <w:lvl w:ilvl="0" w:tplc="EFA88D7C">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E33A9"/>
    <w:multiLevelType w:val="hybridMultilevel"/>
    <w:tmpl w:val="4AA2B548"/>
    <w:lvl w:ilvl="0" w:tplc="92761E14">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787434"/>
    <w:multiLevelType w:val="hybridMultilevel"/>
    <w:tmpl w:val="A050850A"/>
    <w:lvl w:ilvl="0" w:tplc="7AB62EB6">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7E4D74"/>
    <w:multiLevelType w:val="hybridMultilevel"/>
    <w:tmpl w:val="551A6294"/>
    <w:lvl w:ilvl="0" w:tplc="A7BA1E7A">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98197A"/>
    <w:multiLevelType w:val="hybridMultilevel"/>
    <w:tmpl w:val="3B5823E4"/>
    <w:lvl w:ilvl="0" w:tplc="2E803344">
      <w:start w:val="3"/>
      <w:numFmt w:val="upperRoman"/>
      <w:lvlText w:val="%1."/>
      <w:lvlJc w:val="right"/>
      <w:pPr>
        <w:ind w:left="1200" w:hanging="720"/>
      </w:pPr>
      <w:rPr>
        <w:rFonts w:hint="default"/>
        <w:b/>
        <w:bCs/>
        <w:i w:val="0"/>
        <w:iCs w:val="0"/>
        <w:spacing w:val="-2"/>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9158A"/>
    <w:multiLevelType w:val="hybridMultilevel"/>
    <w:tmpl w:val="12A23A30"/>
    <w:lvl w:ilvl="0" w:tplc="F68CEAC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9027AB"/>
    <w:multiLevelType w:val="hybridMultilevel"/>
    <w:tmpl w:val="EE9A4790"/>
    <w:lvl w:ilvl="0" w:tplc="E23250BC">
      <w:start w:val="3"/>
      <w:numFmt w:val="upperRoman"/>
      <w:lvlText w:val="%1."/>
      <w:lvlJc w:val="left"/>
      <w:pPr>
        <w:ind w:left="720" w:hanging="720"/>
      </w:pPr>
      <w:rPr>
        <w:rFonts w:hint="default"/>
        <w:color w:val="auto"/>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BB7D03"/>
    <w:multiLevelType w:val="hybridMultilevel"/>
    <w:tmpl w:val="25905EA2"/>
    <w:lvl w:ilvl="0" w:tplc="623AAC52">
      <w:start w:val="2"/>
      <w:numFmt w:val="lowerLetter"/>
      <w:lvlText w:val="%1."/>
      <w:lvlJc w:val="left"/>
      <w:pPr>
        <w:ind w:left="840" w:hanging="360"/>
      </w:pPr>
      <w:rPr>
        <w:rFonts w:ascii="Times New Roman" w:eastAsia="Times New Roman" w:hAnsi="Times New Roman" w:cs="Times New Roman" w:hint="default"/>
        <w:b w:val="0"/>
        <w:bCs w:val="0"/>
        <w:i w:val="0"/>
        <w:iCs w:val="0"/>
        <w:spacing w:val="-1"/>
        <w:w w:val="99"/>
        <w:sz w:val="24"/>
        <w:szCs w:val="24"/>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D71EEF"/>
    <w:multiLevelType w:val="hybridMultilevel"/>
    <w:tmpl w:val="D880323A"/>
    <w:lvl w:ilvl="0" w:tplc="4BF45306">
      <w:start w:val="1"/>
      <w:numFmt w:val="lowerLetter"/>
      <w:lvlText w:val="%1."/>
      <w:lvlJc w:val="left"/>
      <w:pPr>
        <w:ind w:left="1560" w:hanging="360"/>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1" w:tplc="8EE21C9E">
      <w:numFmt w:val="bullet"/>
      <w:lvlText w:val="•"/>
      <w:lvlJc w:val="left"/>
      <w:pPr>
        <w:ind w:left="2364" w:hanging="360"/>
      </w:pPr>
      <w:rPr>
        <w:rFonts w:hint="default"/>
        <w:lang w:val="en-US" w:eastAsia="en-US" w:bidi="ar-SA"/>
      </w:rPr>
    </w:lvl>
    <w:lvl w:ilvl="2" w:tplc="4F5AA700">
      <w:numFmt w:val="bullet"/>
      <w:lvlText w:val="•"/>
      <w:lvlJc w:val="left"/>
      <w:pPr>
        <w:ind w:left="3168" w:hanging="360"/>
      </w:pPr>
      <w:rPr>
        <w:rFonts w:hint="default"/>
        <w:lang w:val="en-US" w:eastAsia="en-US" w:bidi="ar-SA"/>
      </w:rPr>
    </w:lvl>
    <w:lvl w:ilvl="3" w:tplc="5ACA948C">
      <w:numFmt w:val="bullet"/>
      <w:lvlText w:val="•"/>
      <w:lvlJc w:val="left"/>
      <w:pPr>
        <w:ind w:left="3972" w:hanging="360"/>
      </w:pPr>
      <w:rPr>
        <w:rFonts w:hint="default"/>
        <w:lang w:val="en-US" w:eastAsia="en-US" w:bidi="ar-SA"/>
      </w:rPr>
    </w:lvl>
    <w:lvl w:ilvl="4" w:tplc="3D2C4658">
      <w:numFmt w:val="bullet"/>
      <w:lvlText w:val="•"/>
      <w:lvlJc w:val="left"/>
      <w:pPr>
        <w:ind w:left="4776" w:hanging="360"/>
      </w:pPr>
      <w:rPr>
        <w:rFonts w:hint="default"/>
        <w:lang w:val="en-US" w:eastAsia="en-US" w:bidi="ar-SA"/>
      </w:rPr>
    </w:lvl>
    <w:lvl w:ilvl="5" w:tplc="1D583196">
      <w:numFmt w:val="bullet"/>
      <w:lvlText w:val="•"/>
      <w:lvlJc w:val="left"/>
      <w:pPr>
        <w:ind w:left="5580" w:hanging="360"/>
      </w:pPr>
      <w:rPr>
        <w:rFonts w:hint="default"/>
        <w:lang w:val="en-US" w:eastAsia="en-US" w:bidi="ar-SA"/>
      </w:rPr>
    </w:lvl>
    <w:lvl w:ilvl="6" w:tplc="91445A78">
      <w:numFmt w:val="bullet"/>
      <w:lvlText w:val="•"/>
      <w:lvlJc w:val="left"/>
      <w:pPr>
        <w:ind w:left="6384" w:hanging="360"/>
      </w:pPr>
      <w:rPr>
        <w:rFonts w:hint="default"/>
        <w:lang w:val="en-US" w:eastAsia="en-US" w:bidi="ar-SA"/>
      </w:rPr>
    </w:lvl>
    <w:lvl w:ilvl="7" w:tplc="2DE068B4">
      <w:numFmt w:val="bullet"/>
      <w:lvlText w:val="•"/>
      <w:lvlJc w:val="left"/>
      <w:pPr>
        <w:ind w:left="7188" w:hanging="360"/>
      </w:pPr>
      <w:rPr>
        <w:rFonts w:hint="default"/>
        <w:lang w:val="en-US" w:eastAsia="en-US" w:bidi="ar-SA"/>
      </w:rPr>
    </w:lvl>
    <w:lvl w:ilvl="8" w:tplc="172418A4">
      <w:numFmt w:val="bullet"/>
      <w:lvlText w:val="•"/>
      <w:lvlJc w:val="left"/>
      <w:pPr>
        <w:ind w:left="7992" w:hanging="360"/>
      </w:pPr>
      <w:rPr>
        <w:rFonts w:hint="default"/>
        <w:lang w:val="en-US" w:eastAsia="en-US" w:bidi="ar-SA"/>
      </w:rPr>
    </w:lvl>
  </w:abstractNum>
  <w:abstractNum w:abstractNumId="36" w15:restartNumberingAfterBreak="0">
    <w:nsid w:val="75B31894"/>
    <w:multiLevelType w:val="hybridMultilevel"/>
    <w:tmpl w:val="C9F8AA7C"/>
    <w:lvl w:ilvl="0" w:tplc="B43CFFD2">
      <w:start w:val="3"/>
      <w:numFmt w:val="upperRoman"/>
      <w:lvlText w:val="%1."/>
      <w:lvlJc w:val="left"/>
      <w:pPr>
        <w:ind w:left="720" w:hanging="720"/>
      </w:pPr>
      <w:rPr>
        <w:rFonts w:hint="default"/>
        <w:color w:val="auto"/>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355B8E"/>
    <w:multiLevelType w:val="hybridMultilevel"/>
    <w:tmpl w:val="75A48F2E"/>
    <w:lvl w:ilvl="0" w:tplc="59326300">
      <w:start w:val="7"/>
      <w:numFmt w:val="upperRoman"/>
      <w:lvlText w:val="%1."/>
      <w:lvlJc w:val="left"/>
      <w:pPr>
        <w:ind w:left="720" w:hanging="720"/>
      </w:pPr>
      <w:rPr>
        <w:rFonts w:hint="default"/>
        <w:color w:val="auto"/>
      </w:rPr>
    </w:lvl>
    <w:lvl w:ilvl="1" w:tplc="04090015">
      <w:start w:val="1"/>
      <w:numFmt w:val="upperLetter"/>
      <w:lvlText w:val="%2."/>
      <w:lvlJc w:val="left"/>
      <w:pPr>
        <w:ind w:left="1440" w:hanging="360"/>
      </w:pPr>
    </w:lvl>
    <w:lvl w:ilvl="2" w:tplc="0409000F">
      <w:start w:val="1"/>
      <w:numFmt w:val="decimal"/>
      <w:lvlText w:val="%3."/>
      <w:lvlJc w:val="left"/>
      <w:pPr>
        <w:ind w:left="72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2220BD"/>
    <w:multiLevelType w:val="hybridMultilevel"/>
    <w:tmpl w:val="3DA09574"/>
    <w:lvl w:ilvl="0" w:tplc="DFD806BE">
      <w:start w:val="2"/>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3755662">
    <w:abstractNumId w:val="8"/>
  </w:num>
  <w:num w:numId="2" w16cid:durableId="1862158997">
    <w:abstractNumId w:val="4"/>
  </w:num>
  <w:num w:numId="3" w16cid:durableId="346101399">
    <w:abstractNumId w:val="17"/>
  </w:num>
  <w:num w:numId="4" w16cid:durableId="1889144985">
    <w:abstractNumId w:val="6"/>
  </w:num>
  <w:num w:numId="5" w16cid:durableId="1777558321">
    <w:abstractNumId w:val="30"/>
  </w:num>
  <w:num w:numId="6" w16cid:durableId="645479203">
    <w:abstractNumId w:val="11"/>
  </w:num>
  <w:num w:numId="7" w16cid:durableId="1714231443">
    <w:abstractNumId w:val="36"/>
  </w:num>
  <w:num w:numId="8" w16cid:durableId="973099328">
    <w:abstractNumId w:val="16"/>
  </w:num>
  <w:num w:numId="9" w16cid:durableId="605356061">
    <w:abstractNumId w:val="19"/>
  </w:num>
  <w:num w:numId="10" w16cid:durableId="146019832">
    <w:abstractNumId w:val="20"/>
  </w:num>
  <w:num w:numId="11" w16cid:durableId="886455447">
    <w:abstractNumId w:val="7"/>
  </w:num>
  <w:num w:numId="12" w16cid:durableId="1772974096">
    <w:abstractNumId w:val="25"/>
  </w:num>
  <w:num w:numId="13" w16cid:durableId="62023360">
    <w:abstractNumId w:val="5"/>
  </w:num>
  <w:num w:numId="14" w16cid:durableId="919219932">
    <w:abstractNumId w:val="27"/>
  </w:num>
  <w:num w:numId="15" w16cid:durableId="1191725527">
    <w:abstractNumId w:val="37"/>
  </w:num>
  <w:num w:numId="16" w16cid:durableId="356928269">
    <w:abstractNumId w:val="38"/>
  </w:num>
  <w:num w:numId="17" w16cid:durableId="916088230">
    <w:abstractNumId w:val="29"/>
  </w:num>
  <w:num w:numId="18" w16cid:durableId="443697417">
    <w:abstractNumId w:val="13"/>
  </w:num>
  <w:num w:numId="19" w16cid:durableId="1393505939">
    <w:abstractNumId w:val="24"/>
  </w:num>
  <w:num w:numId="20" w16cid:durableId="409347640">
    <w:abstractNumId w:val="32"/>
  </w:num>
  <w:num w:numId="21" w16cid:durableId="1972327052">
    <w:abstractNumId w:val="3"/>
  </w:num>
  <w:num w:numId="22" w16cid:durableId="1504399303">
    <w:abstractNumId w:val="23"/>
  </w:num>
  <w:num w:numId="23" w16cid:durableId="511726747">
    <w:abstractNumId w:val="1"/>
  </w:num>
  <w:num w:numId="24" w16cid:durableId="707489654">
    <w:abstractNumId w:val="15"/>
  </w:num>
  <w:num w:numId="25" w16cid:durableId="59643217">
    <w:abstractNumId w:val="0"/>
  </w:num>
  <w:num w:numId="26" w16cid:durableId="493302141">
    <w:abstractNumId w:val="21"/>
  </w:num>
  <w:num w:numId="27" w16cid:durableId="1065567860">
    <w:abstractNumId w:val="2"/>
  </w:num>
  <w:num w:numId="28" w16cid:durableId="1557471967">
    <w:abstractNumId w:val="33"/>
  </w:num>
  <w:num w:numId="29" w16cid:durableId="962417466">
    <w:abstractNumId w:val="9"/>
  </w:num>
  <w:num w:numId="30" w16cid:durableId="1505314535">
    <w:abstractNumId w:val="26"/>
  </w:num>
  <w:num w:numId="31" w16cid:durableId="599993389">
    <w:abstractNumId w:val="28"/>
  </w:num>
  <w:num w:numId="32" w16cid:durableId="1651521956">
    <w:abstractNumId w:val="35"/>
  </w:num>
  <w:num w:numId="33" w16cid:durableId="329676275">
    <w:abstractNumId w:val="10"/>
  </w:num>
  <w:num w:numId="34" w16cid:durableId="299582461">
    <w:abstractNumId w:val="22"/>
  </w:num>
  <w:num w:numId="35" w16cid:durableId="518348102">
    <w:abstractNumId w:val="18"/>
  </w:num>
  <w:num w:numId="36" w16cid:durableId="1187522467">
    <w:abstractNumId w:val="14"/>
  </w:num>
  <w:num w:numId="37" w16cid:durableId="2065056970">
    <w:abstractNumId w:val="12"/>
  </w:num>
  <w:num w:numId="38" w16cid:durableId="603926203">
    <w:abstractNumId w:val="31"/>
  </w:num>
  <w:num w:numId="39" w16cid:durableId="581523537">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8B7"/>
    <w:rsid w:val="00002794"/>
    <w:rsid w:val="00004AFF"/>
    <w:rsid w:val="0000713B"/>
    <w:rsid w:val="00007A97"/>
    <w:rsid w:val="0001194C"/>
    <w:rsid w:val="0002529D"/>
    <w:rsid w:val="00025F81"/>
    <w:rsid w:val="000314F6"/>
    <w:rsid w:val="00044128"/>
    <w:rsid w:val="000505FB"/>
    <w:rsid w:val="000549FC"/>
    <w:rsid w:val="00062F96"/>
    <w:rsid w:val="0006478D"/>
    <w:rsid w:val="00064E7A"/>
    <w:rsid w:val="00065910"/>
    <w:rsid w:val="00066325"/>
    <w:rsid w:val="00073E8F"/>
    <w:rsid w:val="000841F9"/>
    <w:rsid w:val="00084E82"/>
    <w:rsid w:val="00085FA9"/>
    <w:rsid w:val="000865F9"/>
    <w:rsid w:val="00092A1E"/>
    <w:rsid w:val="000A0CAA"/>
    <w:rsid w:val="000B05E3"/>
    <w:rsid w:val="000B3393"/>
    <w:rsid w:val="000B61D8"/>
    <w:rsid w:val="000C2121"/>
    <w:rsid w:val="000C2842"/>
    <w:rsid w:val="000C3CBB"/>
    <w:rsid w:val="000C4ED6"/>
    <w:rsid w:val="000C5FBF"/>
    <w:rsid w:val="000C6A71"/>
    <w:rsid w:val="000D0AB6"/>
    <w:rsid w:val="000D17D4"/>
    <w:rsid w:val="000D296E"/>
    <w:rsid w:val="000D32D9"/>
    <w:rsid w:val="000D34AD"/>
    <w:rsid w:val="000D5D65"/>
    <w:rsid w:val="000D6FD1"/>
    <w:rsid w:val="000E24B0"/>
    <w:rsid w:val="000E65BC"/>
    <w:rsid w:val="000E6D83"/>
    <w:rsid w:val="000F0536"/>
    <w:rsid w:val="000F1ED9"/>
    <w:rsid w:val="000F29FE"/>
    <w:rsid w:val="000F37AC"/>
    <w:rsid w:val="000F3F95"/>
    <w:rsid w:val="000F410E"/>
    <w:rsid w:val="000F42A4"/>
    <w:rsid w:val="000F49F6"/>
    <w:rsid w:val="00106999"/>
    <w:rsid w:val="0010709E"/>
    <w:rsid w:val="00111228"/>
    <w:rsid w:val="00111C71"/>
    <w:rsid w:val="00115B16"/>
    <w:rsid w:val="00116EFA"/>
    <w:rsid w:val="00117CB2"/>
    <w:rsid w:val="0012751B"/>
    <w:rsid w:val="00131334"/>
    <w:rsid w:val="00135C3C"/>
    <w:rsid w:val="001361A3"/>
    <w:rsid w:val="00137E89"/>
    <w:rsid w:val="00140258"/>
    <w:rsid w:val="00145845"/>
    <w:rsid w:val="001526E0"/>
    <w:rsid w:val="00153277"/>
    <w:rsid w:val="001542F5"/>
    <w:rsid w:val="001549C9"/>
    <w:rsid w:val="00154EB8"/>
    <w:rsid w:val="00155E1F"/>
    <w:rsid w:val="00157945"/>
    <w:rsid w:val="001603B2"/>
    <w:rsid w:val="00161E78"/>
    <w:rsid w:val="0016316D"/>
    <w:rsid w:val="00163AAF"/>
    <w:rsid w:val="00164E4B"/>
    <w:rsid w:val="00165BB4"/>
    <w:rsid w:val="00167017"/>
    <w:rsid w:val="001671BC"/>
    <w:rsid w:val="00167213"/>
    <w:rsid w:val="00170C7F"/>
    <w:rsid w:val="00173044"/>
    <w:rsid w:val="00175D13"/>
    <w:rsid w:val="00180FE0"/>
    <w:rsid w:val="00182A7D"/>
    <w:rsid w:val="001846E6"/>
    <w:rsid w:val="0018618E"/>
    <w:rsid w:val="0019233A"/>
    <w:rsid w:val="00194430"/>
    <w:rsid w:val="00194EB8"/>
    <w:rsid w:val="00195CDE"/>
    <w:rsid w:val="00197003"/>
    <w:rsid w:val="001971AF"/>
    <w:rsid w:val="001A63ED"/>
    <w:rsid w:val="001A6972"/>
    <w:rsid w:val="001B2446"/>
    <w:rsid w:val="001B2710"/>
    <w:rsid w:val="001B4AFA"/>
    <w:rsid w:val="001C15B0"/>
    <w:rsid w:val="001C7C1F"/>
    <w:rsid w:val="001D5074"/>
    <w:rsid w:val="001D5578"/>
    <w:rsid w:val="001D5BC4"/>
    <w:rsid w:val="001E2F0C"/>
    <w:rsid w:val="001E5B0D"/>
    <w:rsid w:val="001F2EDC"/>
    <w:rsid w:val="001F346C"/>
    <w:rsid w:val="001F385E"/>
    <w:rsid w:val="001F3FE6"/>
    <w:rsid w:val="001F6167"/>
    <w:rsid w:val="001F686C"/>
    <w:rsid w:val="00200CC1"/>
    <w:rsid w:val="00203BD5"/>
    <w:rsid w:val="00204A60"/>
    <w:rsid w:val="0020544E"/>
    <w:rsid w:val="00207599"/>
    <w:rsid w:val="0021189A"/>
    <w:rsid w:val="00212C75"/>
    <w:rsid w:val="0021688B"/>
    <w:rsid w:val="00225D77"/>
    <w:rsid w:val="00226508"/>
    <w:rsid w:val="0023199A"/>
    <w:rsid w:val="00233358"/>
    <w:rsid w:val="00235D43"/>
    <w:rsid w:val="00240EE5"/>
    <w:rsid w:val="00243021"/>
    <w:rsid w:val="00246C88"/>
    <w:rsid w:val="002473C2"/>
    <w:rsid w:val="0025036E"/>
    <w:rsid w:val="002524DE"/>
    <w:rsid w:val="0025581C"/>
    <w:rsid w:val="00261EFD"/>
    <w:rsid w:val="00263F32"/>
    <w:rsid w:val="00264764"/>
    <w:rsid w:val="00265501"/>
    <w:rsid w:val="00270889"/>
    <w:rsid w:val="0027088B"/>
    <w:rsid w:val="00272140"/>
    <w:rsid w:val="00273C2B"/>
    <w:rsid w:val="0027530E"/>
    <w:rsid w:val="0027691E"/>
    <w:rsid w:val="00276A7E"/>
    <w:rsid w:val="0028198A"/>
    <w:rsid w:val="00282462"/>
    <w:rsid w:val="00286EFA"/>
    <w:rsid w:val="00287403"/>
    <w:rsid w:val="00290A76"/>
    <w:rsid w:val="00290B2D"/>
    <w:rsid w:val="00292419"/>
    <w:rsid w:val="002970E2"/>
    <w:rsid w:val="002A194F"/>
    <w:rsid w:val="002B23D4"/>
    <w:rsid w:val="002B5DD2"/>
    <w:rsid w:val="002C3C6B"/>
    <w:rsid w:val="002C5054"/>
    <w:rsid w:val="002C72F8"/>
    <w:rsid w:val="002C7883"/>
    <w:rsid w:val="002D0FA6"/>
    <w:rsid w:val="002D1ECF"/>
    <w:rsid w:val="002D29AF"/>
    <w:rsid w:val="002D397F"/>
    <w:rsid w:val="002D401E"/>
    <w:rsid w:val="002D4C43"/>
    <w:rsid w:val="002D7321"/>
    <w:rsid w:val="002D7DD7"/>
    <w:rsid w:val="002E0B97"/>
    <w:rsid w:val="002E30F3"/>
    <w:rsid w:val="002E54DD"/>
    <w:rsid w:val="002E5A31"/>
    <w:rsid w:val="002E5F4A"/>
    <w:rsid w:val="002E722D"/>
    <w:rsid w:val="002E73BF"/>
    <w:rsid w:val="002F134C"/>
    <w:rsid w:val="002F45FD"/>
    <w:rsid w:val="002F4819"/>
    <w:rsid w:val="00303FE3"/>
    <w:rsid w:val="00306019"/>
    <w:rsid w:val="00306304"/>
    <w:rsid w:val="00312A68"/>
    <w:rsid w:val="00315884"/>
    <w:rsid w:val="00315FED"/>
    <w:rsid w:val="003171A7"/>
    <w:rsid w:val="003217D3"/>
    <w:rsid w:val="00322605"/>
    <w:rsid w:val="00324FCC"/>
    <w:rsid w:val="00331EB4"/>
    <w:rsid w:val="003363EF"/>
    <w:rsid w:val="00337AD4"/>
    <w:rsid w:val="0034004B"/>
    <w:rsid w:val="00340911"/>
    <w:rsid w:val="00343CA2"/>
    <w:rsid w:val="0034795C"/>
    <w:rsid w:val="00352C2E"/>
    <w:rsid w:val="00354849"/>
    <w:rsid w:val="00357B1D"/>
    <w:rsid w:val="00363C17"/>
    <w:rsid w:val="00367516"/>
    <w:rsid w:val="00370EBB"/>
    <w:rsid w:val="00372BCA"/>
    <w:rsid w:val="003740AF"/>
    <w:rsid w:val="00374E6D"/>
    <w:rsid w:val="003755D7"/>
    <w:rsid w:val="00376181"/>
    <w:rsid w:val="0037698A"/>
    <w:rsid w:val="00377B3C"/>
    <w:rsid w:val="00392BEF"/>
    <w:rsid w:val="00392FC5"/>
    <w:rsid w:val="00396C80"/>
    <w:rsid w:val="003A326F"/>
    <w:rsid w:val="003A3503"/>
    <w:rsid w:val="003A69DA"/>
    <w:rsid w:val="003B166E"/>
    <w:rsid w:val="003B3B4A"/>
    <w:rsid w:val="003B526D"/>
    <w:rsid w:val="003C15D2"/>
    <w:rsid w:val="003C185E"/>
    <w:rsid w:val="003C2B4B"/>
    <w:rsid w:val="003C409E"/>
    <w:rsid w:val="003C53A5"/>
    <w:rsid w:val="003C6E53"/>
    <w:rsid w:val="003D013D"/>
    <w:rsid w:val="003D3FEA"/>
    <w:rsid w:val="003E0831"/>
    <w:rsid w:val="003E2BC5"/>
    <w:rsid w:val="003E4558"/>
    <w:rsid w:val="003E5154"/>
    <w:rsid w:val="003E6473"/>
    <w:rsid w:val="003E6B35"/>
    <w:rsid w:val="003E6BB6"/>
    <w:rsid w:val="003E75C5"/>
    <w:rsid w:val="003F0015"/>
    <w:rsid w:val="003F0E25"/>
    <w:rsid w:val="003F1D00"/>
    <w:rsid w:val="003F22B4"/>
    <w:rsid w:val="003F2D90"/>
    <w:rsid w:val="003F4E72"/>
    <w:rsid w:val="00400AA7"/>
    <w:rsid w:val="0041025B"/>
    <w:rsid w:val="00412C97"/>
    <w:rsid w:val="004147D9"/>
    <w:rsid w:val="00417FF4"/>
    <w:rsid w:val="00421D3C"/>
    <w:rsid w:val="00425356"/>
    <w:rsid w:val="0043199E"/>
    <w:rsid w:val="004413A8"/>
    <w:rsid w:val="004426EF"/>
    <w:rsid w:val="0044610B"/>
    <w:rsid w:val="004504B7"/>
    <w:rsid w:val="00453A2A"/>
    <w:rsid w:val="00453C75"/>
    <w:rsid w:val="004567E5"/>
    <w:rsid w:val="004570B7"/>
    <w:rsid w:val="00467AE3"/>
    <w:rsid w:val="00471EEF"/>
    <w:rsid w:val="00476208"/>
    <w:rsid w:val="004922DC"/>
    <w:rsid w:val="00492877"/>
    <w:rsid w:val="00492FB6"/>
    <w:rsid w:val="0049386F"/>
    <w:rsid w:val="00494BA1"/>
    <w:rsid w:val="00494BC7"/>
    <w:rsid w:val="0049712D"/>
    <w:rsid w:val="004A47B4"/>
    <w:rsid w:val="004B08D2"/>
    <w:rsid w:val="004B0E8B"/>
    <w:rsid w:val="004B2DD6"/>
    <w:rsid w:val="004B2FD0"/>
    <w:rsid w:val="004C6D7E"/>
    <w:rsid w:val="004D233C"/>
    <w:rsid w:val="004E0AF3"/>
    <w:rsid w:val="004E1023"/>
    <w:rsid w:val="004E23ED"/>
    <w:rsid w:val="004E2B5B"/>
    <w:rsid w:val="004E6FF3"/>
    <w:rsid w:val="004F03E7"/>
    <w:rsid w:val="004F23CF"/>
    <w:rsid w:val="004F2A97"/>
    <w:rsid w:val="004F44FE"/>
    <w:rsid w:val="004F5B60"/>
    <w:rsid w:val="004F6AE4"/>
    <w:rsid w:val="0050226F"/>
    <w:rsid w:val="00512E22"/>
    <w:rsid w:val="00513081"/>
    <w:rsid w:val="005137DF"/>
    <w:rsid w:val="00515E14"/>
    <w:rsid w:val="00536E00"/>
    <w:rsid w:val="005370B7"/>
    <w:rsid w:val="00537F6F"/>
    <w:rsid w:val="00542343"/>
    <w:rsid w:val="0054329A"/>
    <w:rsid w:val="00544423"/>
    <w:rsid w:val="0054464C"/>
    <w:rsid w:val="005460C7"/>
    <w:rsid w:val="00546415"/>
    <w:rsid w:val="005517D3"/>
    <w:rsid w:val="00555305"/>
    <w:rsid w:val="00562278"/>
    <w:rsid w:val="00563A67"/>
    <w:rsid w:val="0056432A"/>
    <w:rsid w:val="0056512F"/>
    <w:rsid w:val="00571440"/>
    <w:rsid w:val="00572742"/>
    <w:rsid w:val="00573E63"/>
    <w:rsid w:val="00574102"/>
    <w:rsid w:val="00585421"/>
    <w:rsid w:val="00586163"/>
    <w:rsid w:val="00590BBF"/>
    <w:rsid w:val="005A1C42"/>
    <w:rsid w:val="005A2517"/>
    <w:rsid w:val="005B328B"/>
    <w:rsid w:val="005B601C"/>
    <w:rsid w:val="005B63BC"/>
    <w:rsid w:val="005C06FE"/>
    <w:rsid w:val="005C2085"/>
    <w:rsid w:val="005C623A"/>
    <w:rsid w:val="005D007F"/>
    <w:rsid w:val="005D6F55"/>
    <w:rsid w:val="005E7161"/>
    <w:rsid w:val="005F1A39"/>
    <w:rsid w:val="005F1F8A"/>
    <w:rsid w:val="005F3E0B"/>
    <w:rsid w:val="005F533A"/>
    <w:rsid w:val="005F71B3"/>
    <w:rsid w:val="005F7659"/>
    <w:rsid w:val="00606810"/>
    <w:rsid w:val="00610127"/>
    <w:rsid w:val="006112F8"/>
    <w:rsid w:val="00612FC1"/>
    <w:rsid w:val="006135D8"/>
    <w:rsid w:val="00616245"/>
    <w:rsid w:val="006207E6"/>
    <w:rsid w:val="0062572A"/>
    <w:rsid w:val="0062692B"/>
    <w:rsid w:val="00626AF0"/>
    <w:rsid w:val="00627FEE"/>
    <w:rsid w:val="00634AA9"/>
    <w:rsid w:val="006364D6"/>
    <w:rsid w:val="00637135"/>
    <w:rsid w:val="006405EB"/>
    <w:rsid w:val="006418E6"/>
    <w:rsid w:val="00642EEB"/>
    <w:rsid w:val="0065008C"/>
    <w:rsid w:val="0065049B"/>
    <w:rsid w:val="0065148F"/>
    <w:rsid w:val="00651E7F"/>
    <w:rsid w:val="00655BFC"/>
    <w:rsid w:val="00670A16"/>
    <w:rsid w:val="006711E5"/>
    <w:rsid w:val="00671DBD"/>
    <w:rsid w:val="006723F0"/>
    <w:rsid w:val="00672DE1"/>
    <w:rsid w:val="006741CB"/>
    <w:rsid w:val="00675CBF"/>
    <w:rsid w:val="00675DFE"/>
    <w:rsid w:val="006841FB"/>
    <w:rsid w:val="006911F9"/>
    <w:rsid w:val="00696225"/>
    <w:rsid w:val="00696AAF"/>
    <w:rsid w:val="00696F8A"/>
    <w:rsid w:val="006A2C57"/>
    <w:rsid w:val="006B1A3F"/>
    <w:rsid w:val="006B1F64"/>
    <w:rsid w:val="006B3FBE"/>
    <w:rsid w:val="006B464A"/>
    <w:rsid w:val="006B5DD9"/>
    <w:rsid w:val="006C0443"/>
    <w:rsid w:val="006C5635"/>
    <w:rsid w:val="006C7B04"/>
    <w:rsid w:val="006D453A"/>
    <w:rsid w:val="006D5105"/>
    <w:rsid w:val="006D5B50"/>
    <w:rsid w:val="006E1281"/>
    <w:rsid w:val="006E19CF"/>
    <w:rsid w:val="006E2879"/>
    <w:rsid w:val="006F0C57"/>
    <w:rsid w:val="006F497E"/>
    <w:rsid w:val="006F52EA"/>
    <w:rsid w:val="006F5ADD"/>
    <w:rsid w:val="007000F2"/>
    <w:rsid w:val="00704679"/>
    <w:rsid w:val="007053BF"/>
    <w:rsid w:val="0072058C"/>
    <w:rsid w:val="0072621B"/>
    <w:rsid w:val="00727928"/>
    <w:rsid w:val="00731A4D"/>
    <w:rsid w:val="00731F8E"/>
    <w:rsid w:val="007354E6"/>
    <w:rsid w:val="007371C2"/>
    <w:rsid w:val="00743C4B"/>
    <w:rsid w:val="007460F5"/>
    <w:rsid w:val="00746774"/>
    <w:rsid w:val="007476A5"/>
    <w:rsid w:val="007476E0"/>
    <w:rsid w:val="00753429"/>
    <w:rsid w:val="00761AD6"/>
    <w:rsid w:val="007656B8"/>
    <w:rsid w:val="007768A0"/>
    <w:rsid w:val="0077746F"/>
    <w:rsid w:val="00781EBE"/>
    <w:rsid w:val="00782483"/>
    <w:rsid w:val="00785E9E"/>
    <w:rsid w:val="0078676C"/>
    <w:rsid w:val="007877F1"/>
    <w:rsid w:val="00794F67"/>
    <w:rsid w:val="00796317"/>
    <w:rsid w:val="007A2D76"/>
    <w:rsid w:val="007A5BDB"/>
    <w:rsid w:val="007A6274"/>
    <w:rsid w:val="007B11CE"/>
    <w:rsid w:val="007B2408"/>
    <w:rsid w:val="007B3974"/>
    <w:rsid w:val="007B43CC"/>
    <w:rsid w:val="007C1420"/>
    <w:rsid w:val="007C759B"/>
    <w:rsid w:val="007D0286"/>
    <w:rsid w:val="007D52EF"/>
    <w:rsid w:val="007E48F7"/>
    <w:rsid w:val="007E61E9"/>
    <w:rsid w:val="007E6404"/>
    <w:rsid w:val="007E64E1"/>
    <w:rsid w:val="007F1905"/>
    <w:rsid w:val="007F4828"/>
    <w:rsid w:val="00801188"/>
    <w:rsid w:val="00801DAC"/>
    <w:rsid w:val="008040A7"/>
    <w:rsid w:val="00807528"/>
    <w:rsid w:val="008077CB"/>
    <w:rsid w:val="00810ADB"/>
    <w:rsid w:val="00811DB6"/>
    <w:rsid w:val="008161D6"/>
    <w:rsid w:val="00824A06"/>
    <w:rsid w:val="00831C93"/>
    <w:rsid w:val="00832838"/>
    <w:rsid w:val="008356D2"/>
    <w:rsid w:val="00836518"/>
    <w:rsid w:val="0084102B"/>
    <w:rsid w:val="008418C5"/>
    <w:rsid w:val="00841BA7"/>
    <w:rsid w:val="00843050"/>
    <w:rsid w:val="0085057B"/>
    <w:rsid w:val="00853A94"/>
    <w:rsid w:val="00863D96"/>
    <w:rsid w:val="008655F5"/>
    <w:rsid w:val="00871F28"/>
    <w:rsid w:val="00873579"/>
    <w:rsid w:val="008757DE"/>
    <w:rsid w:val="008835F9"/>
    <w:rsid w:val="00885FD6"/>
    <w:rsid w:val="00887004"/>
    <w:rsid w:val="008936A3"/>
    <w:rsid w:val="00897991"/>
    <w:rsid w:val="008A003D"/>
    <w:rsid w:val="008A4435"/>
    <w:rsid w:val="008A73EE"/>
    <w:rsid w:val="008B050E"/>
    <w:rsid w:val="008C354C"/>
    <w:rsid w:val="008C54B6"/>
    <w:rsid w:val="008D2718"/>
    <w:rsid w:val="008D6906"/>
    <w:rsid w:val="008D6A4F"/>
    <w:rsid w:val="008D7864"/>
    <w:rsid w:val="008E1521"/>
    <w:rsid w:val="008E69BB"/>
    <w:rsid w:val="008F3C06"/>
    <w:rsid w:val="008F57BF"/>
    <w:rsid w:val="00900060"/>
    <w:rsid w:val="0090369F"/>
    <w:rsid w:val="00905681"/>
    <w:rsid w:val="00905CC0"/>
    <w:rsid w:val="009074A9"/>
    <w:rsid w:val="009114AD"/>
    <w:rsid w:val="0091465B"/>
    <w:rsid w:val="00920617"/>
    <w:rsid w:val="009254DD"/>
    <w:rsid w:val="00931F4F"/>
    <w:rsid w:val="00933FD3"/>
    <w:rsid w:val="009343E8"/>
    <w:rsid w:val="00936222"/>
    <w:rsid w:val="009405EC"/>
    <w:rsid w:val="0094083C"/>
    <w:rsid w:val="00941464"/>
    <w:rsid w:val="00942071"/>
    <w:rsid w:val="00943953"/>
    <w:rsid w:val="00943D15"/>
    <w:rsid w:val="00943FC7"/>
    <w:rsid w:val="00944A79"/>
    <w:rsid w:val="00946573"/>
    <w:rsid w:val="0094771E"/>
    <w:rsid w:val="009511A2"/>
    <w:rsid w:val="00952E1D"/>
    <w:rsid w:val="00955531"/>
    <w:rsid w:val="00955754"/>
    <w:rsid w:val="00956E68"/>
    <w:rsid w:val="009608BB"/>
    <w:rsid w:val="00961C50"/>
    <w:rsid w:val="009654E2"/>
    <w:rsid w:val="009709B3"/>
    <w:rsid w:val="009807B1"/>
    <w:rsid w:val="009823FC"/>
    <w:rsid w:val="00983720"/>
    <w:rsid w:val="009837F5"/>
    <w:rsid w:val="009868B7"/>
    <w:rsid w:val="00986C75"/>
    <w:rsid w:val="00990706"/>
    <w:rsid w:val="009931EB"/>
    <w:rsid w:val="00993C16"/>
    <w:rsid w:val="00993F38"/>
    <w:rsid w:val="009941AA"/>
    <w:rsid w:val="00995B56"/>
    <w:rsid w:val="0099655B"/>
    <w:rsid w:val="00996A9D"/>
    <w:rsid w:val="00997DD8"/>
    <w:rsid w:val="009A05E7"/>
    <w:rsid w:val="009A6AEB"/>
    <w:rsid w:val="009A7400"/>
    <w:rsid w:val="009B1C61"/>
    <w:rsid w:val="009B7EC0"/>
    <w:rsid w:val="009C1972"/>
    <w:rsid w:val="009C5B98"/>
    <w:rsid w:val="009C7CCB"/>
    <w:rsid w:val="009D0C5A"/>
    <w:rsid w:val="009D1A90"/>
    <w:rsid w:val="009D3F3A"/>
    <w:rsid w:val="009D58BE"/>
    <w:rsid w:val="009D6A0F"/>
    <w:rsid w:val="009E0D67"/>
    <w:rsid w:val="009E592F"/>
    <w:rsid w:val="009E5F35"/>
    <w:rsid w:val="009F404E"/>
    <w:rsid w:val="009F4F03"/>
    <w:rsid w:val="009F79A4"/>
    <w:rsid w:val="00A00578"/>
    <w:rsid w:val="00A072FB"/>
    <w:rsid w:val="00A1343B"/>
    <w:rsid w:val="00A13D92"/>
    <w:rsid w:val="00A15141"/>
    <w:rsid w:val="00A1670A"/>
    <w:rsid w:val="00A22E3A"/>
    <w:rsid w:val="00A264D9"/>
    <w:rsid w:val="00A26D66"/>
    <w:rsid w:val="00A27748"/>
    <w:rsid w:val="00A315E6"/>
    <w:rsid w:val="00A36C75"/>
    <w:rsid w:val="00A372B5"/>
    <w:rsid w:val="00A437BE"/>
    <w:rsid w:val="00A46E4C"/>
    <w:rsid w:val="00A5238E"/>
    <w:rsid w:val="00A553A9"/>
    <w:rsid w:val="00A55965"/>
    <w:rsid w:val="00A55DFC"/>
    <w:rsid w:val="00A57861"/>
    <w:rsid w:val="00A61FD1"/>
    <w:rsid w:val="00A62556"/>
    <w:rsid w:val="00A62F0B"/>
    <w:rsid w:val="00A645D0"/>
    <w:rsid w:val="00A64B23"/>
    <w:rsid w:val="00A650AD"/>
    <w:rsid w:val="00A65514"/>
    <w:rsid w:val="00A65A0B"/>
    <w:rsid w:val="00A66D6E"/>
    <w:rsid w:val="00A75A34"/>
    <w:rsid w:val="00A82518"/>
    <w:rsid w:val="00A83EA2"/>
    <w:rsid w:val="00A924CA"/>
    <w:rsid w:val="00A92D4F"/>
    <w:rsid w:val="00AA2757"/>
    <w:rsid w:val="00AA3A0D"/>
    <w:rsid w:val="00AA3CD0"/>
    <w:rsid w:val="00AB4445"/>
    <w:rsid w:val="00AB57CC"/>
    <w:rsid w:val="00AB795B"/>
    <w:rsid w:val="00AC1FDA"/>
    <w:rsid w:val="00AC430A"/>
    <w:rsid w:val="00AC5C72"/>
    <w:rsid w:val="00AD02F3"/>
    <w:rsid w:val="00AD0C6B"/>
    <w:rsid w:val="00AD485C"/>
    <w:rsid w:val="00AE666C"/>
    <w:rsid w:val="00AE6F01"/>
    <w:rsid w:val="00AF2E31"/>
    <w:rsid w:val="00AF76D2"/>
    <w:rsid w:val="00AF7763"/>
    <w:rsid w:val="00AF7993"/>
    <w:rsid w:val="00B01724"/>
    <w:rsid w:val="00B01D9B"/>
    <w:rsid w:val="00B020A5"/>
    <w:rsid w:val="00B02AF7"/>
    <w:rsid w:val="00B079F9"/>
    <w:rsid w:val="00B10B5C"/>
    <w:rsid w:val="00B117CB"/>
    <w:rsid w:val="00B118FB"/>
    <w:rsid w:val="00B136FA"/>
    <w:rsid w:val="00B16849"/>
    <w:rsid w:val="00B17FC5"/>
    <w:rsid w:val="00B20BE7"/>
    <w:rsid w:val="00B21C3A"/>
    <w:rsid w:val="00B22C8A"/>
    <w:rsid w:val="00B22C92"/>
    <w:rsid w:val="00B24026"/>
    <w:rsid w:val="00B261A1"/>
    <w:rsid w:val="00B328F5"/>
    <w:rsid w:val="00B32A7A"/>
    <w:rsid w:val="00B337F3"/>
    <w:rsid w:val="00B3661E"/>
    <w:rsid w:val="00B43072"/>
    <w:rsid w:val="00B44886"/>
    <w:rsid w:val="00B47412"/>
    <w:rsid w:val="00B53248"/>
    <w:rsid w:val="00B542BF"/>
    <w:rsid w:val="00B54336"/>
    <w:rsid w:val="00B65149"/>
    <w:rsid w:val="00B70FF3"/>
    <w:rsid w:val="00B717CB"/>
    <w:rsid w:val="00B71BFA"/>
    <w:rsid w:val="00B77473"/>
    <w:rsid w:val="00B7769E"/>
    <w:rsid w:val="00B82224"/>
    <w:rsid w:val="00B82A0B"/>
    <w:rsid w:val="00B8786E"/>
    <w:rsid w:val="00B915B0"/>
    <w:rsid w:val="00B91EB5"/>
    <w:rsid w:val="00B93FC0"/>
    <w:rsid w:val="00B959A8"/>
    <w:rsid w:val="00BA2172"/>
    <w:rsid w:val="00BA30F2"/>
    <w:rsid w:val="00BA5EC4"/>
    <w:rsid w:val="00BA6BC3"/>
    <w:rsid w:val="00BA7225"/>
    <w:rsid w:val="00BB4684"/>
    <w:rsid w:val="00BB7352"/>
    <w:rsid w:val="00BC5D81"/>
    <w:rsid w:val="00BC7B41"/>
    <w:rsid w:val="00BD17B2"/>
    <w:rsid w:val="00BD2F97"/>
    <w:rsid w:val="00BE1A55"/>
    <w:rsid w:val="00BE25D8"/>
    <w:rsid w:val="00BE2E4F"/>
    <w:rsid w:val="00BE5FE7"/>
    <w:rsid w:val="00BE67FB"/>
    <w:rsid w:val="00BE7A0F"/>
    <w:rsid w:val="00BF04EB"/>
    <w:rsid w:val="00C25786"/>
    <w:rsid w:val="00C27116"/>
    <w:rsid w:val="00C32AE1"/>
    <w:rsid w:val="00C357BF"/>
    <w:rsid w:val="00C40AA1"/>
    <w:rsid w:val="00C4228E"/>
    <w:rsid w:val="00C564BF"/>
    <w:rsid w:val="00C62B54"/>
    <w:rsid w:val="00C660EA"/>
    <w:rsid w:val="00C7069F"/>
    <w:rsid w:val="00C7176F"/>
    <w:rsid w:val="00C75C62"/>
    <w:rsid w:val="00C83EA9"/>
    <w:rsid w:val="00C87657"/>
    <w:rsid w:val="00C92024"/>
    <w:rsid w:val="00C96772"/>
    <w:rsid w:val="00CA3CD8"/>
    <w:rsid w:val="00CA47F6"/>
    <w:rsid w:val="00CB16EE"/>
    <w:rsid w:val="00CB1851"/>
    <w:rsid w:val="00CB5661"/>
    <w:rsid w:val="00CC1B45"/>
    <w:rsid w:val="00CC4A2F"/>
    <w:rsid w:val="00CD289B"/>
    <w:rsid w:val="00CD3A0A"/>
    <w:rsid w:val="00CE0E26"/>
    <w:rsid w:val="00CE5EE7"/>
    <w:rsid w:val="00CF041B"/>
    <w:rsid w:val="00CF532D"/>
    <w:rsid w:val="00CF648B"/>
    <w:rsid w:val="00D00E04"/>
    <w:rsid w:val="00D0124F"/>
    <w:rsid w:val="00D0311E"/>
    <w:rsid w:val="00D04B54"/>
    <w:rsid w:val="00D059D2"/>
    <w:rsid w:val="00D07969"/>
    <w:rsid w:val="00D103FD"/>
    <w:rsid w:val="00D11311"/>
    <w:rsid w:val="00D1492D"/>
    <w:rsid w:val="00D1701A"/>
    <w:rsid w:val="00D218A4"/>
    <w:rsid w:val="00D22ED7"/>
    <w:rsid w:val="00D24D7D"/>
    <w:rsid w:val="00D26C03"/>
    <w:rsid w:val="00D30446"/>
    <w:rsid w:val="00D31AB4"/>
    <w:rsid w:val="00D35AEC"/>
    <w:rsid w:val="00D3685E"/>
    <w:rsid w:val="00D412C1"/>
    <w:rsid w:val="00D41C99"/>
    <w:rsid w:val="00D41DE1"/>
    <w:rsid w:val="00D43363"/>
    <w:rsid w:val="00D5007F"/>
    <w:rsid w:val="00D54A76"/>
    <w:rsid w:val="00D616F7"/>
    <w:rsid w:val="00D6312C"/>
    <w:rsid w:val="00D67617"/>
    <w:rsid w:val="00D72400"/>
    <w:rsid w:val="00D7256D"/>
    <w:rsid w:val="00D73E65"/>
    <w:rsid w:val="00D73EA2"/>
    <w:rsid w:val="00D74871"/>
    <w:rsid w:val="00D765EE"/>
    <w:rsid w:val="00D85FE9"/>
    <w:rsid w:val="00D91762"/>
    <w:rsid w:val="00D91E82"/>
    <w:rsid w:val="00DB0A44"/>
    <w:rsid w:val="00DB38D8"/>
    <w:rsid w:val="00DB64F8"/>
    <w:rsid w:val="00DC0179"/>
    <w:rsid w:val="00DC12DD"/>
    <w:rsid w:val="00DC15B0"/>
    <w:rsid w:val="00DC4682"/>
    <w:rsid w:val="00DD0147"/>
    <w:rsid w:val="00DD301F"/>
    <w:rsid w:val="00DD4717"/>
    <w:rsid w:val="00DD624C"/>
    <w:rsid w:val="00DD6FE7"/>
    <w:rsid w:val="00DE0DF6"/>
    <w:rsid w:val="00DE42EC"/>
    <w:rsid w:val="00DE7257"/>
    <w:rsid w:val="00DE790E"/>
    <w:rsid w:val="00DF26A8"/>
    <w:rsid w:val="00DF7013"/>
    <w:rsid w:val="00E00677"/>
    <w:rsid w:val="00E02A3C"/>
    <w:rsid w:val="00E06A8B"/>
    <w:rsid w:val="00E1496A"/>
    <w:rsid w:val="00E170EB"/>
    <w:rsid w:val="00E20239"/>
    <w:rsid w:val="00E214BF"/>
    <w:rsid w:val="00E2297E"/>
    <w:rsid w:val="00E23839"/>
    <w:rsid w:val="00E266F1"/>
    <w:rsid w:val="00E33139"/>
    <w:rsid w:val="00E3508B"/>
    <w:rsid w:val="00E35838"/>
    <w:rsid w:val="00E35AE0"/>
    <w:rsid w:val="00E36318"/>
    <w:rsid w:val="00E369E5"/>
    <w:rsid w:val="00E40734"/>
    <w:rsid w:val="00E44AF9"/>
    <w:rsid w:val="00E54FB5"/>
    <w:rsid w:val="00E55D2F"/>
    <w:rsid w:val="00E60793"/>
    <w:rsid w:val="00E67817"/>
    <w:rsid w:val="00E74FAF"/>
    <w:rsid w:val="00E9000D"/>
    <w:rsid w:val="00E90574"/>
    <w:rsid w:val="00EA3E72"/>
    <w:rsid w:val="00EA5371"/>
    <w:rsid w:val="00EB044E"/>
    <w:rsid w:val="00EB08AC"/>
    <w:rsid w:val="00EB57B7"/>
    <w:rsid w:val="00EC0880"/>
    <w:rsid w:val="00EC57F4"/>
    <w:rsid w:val="00ED081D"/>
    <w:rsid w:val="00ED18B8"/>
    <w:rsid w:val="00ED2DFA"/>
    <w:rsid w:val="00ED41A2"/>
    <w:rsid w:val="00ED593E"/>
    <w:rsid w:val="00EE1675"/>
    <w:rsid w:val="00EE25D1"/>
    <w:rsid w:val="00EE3305"/>
    <w:rsid w:val="00EE37DE"/>
    <w:rsid w:val="00EE5181"/>
    <w:rsid w:val="00EF23CD"/>
    <w:rsid w:val="00EF51E0"/>
    <w:rsid w:val="00EF6B61"/>
    <w:rsid w:val="00F008FC"/>
    <w:rsid w:val="00F01417"/>
    <w:rsid w:val="00F0288B"/>
    <w:rsid w:val="00F059C7"/>
    <w:rsid w:val="00F0739D"/>
    <w:rsid w:val="00F148D3"/>
    <w:rsid w:val="00F14B52"/>
    <w:rsid w:val="00F1687E"/>
    <w:rsid w:val="00F17481"/>
    <w:rsid w:val="00F17A65"/>
    <w:rsid w:val="00F20391"/>
    <w:rsid w:val="00F207A3"/>
    <w:rsid w:val="00F21304"/>
    <w:rsid w:val="00F249AE"/>
    <w:rsid w:val="00F274E5"/>
    <w:rsid w:val="00F36A7D"/>
    <w:rsid w:val="00F4279A"/>
    <w:rsid w:val="00F42CD8"/>
    <w:rsid w:val="00F44ACA"/>
    <w:rsid w:val="00F5155F"/>
    <w:rsid w:val="00F546B1"/>
    <w:rsid w:val="00F561E5"/>
    <w:rsid w:val="00F671B2"/>
    <w:rsid w:val="00F67264"/>
    <w:rsid w:val="00F67EDF"/>
    <w:rsid w:val="00F700A0"/>
    <w:rsid w:val="00F7010E"/>
    <w:rsid w:val="00F7267F"/>
    <w:rsid w:val="00F72B63"/>
    <w:rsid w:val="00F73706"/>
    <w:rsid w:val="00F80040"/>
    <w:rsid w:val="00F85041"/>
    <w:rsid w:val="00F86718"/>
    <w:rsid w:val="00F96472"/>
    <w:rsid w:val="00FA10B5"/>
    <w:rsid w:val="00FA1614"/>
    <w:rsid w:val="00FA3A38"/>
    <w:rsid w:val="00FA4799"/>
    <w:rsid w:val="00FA4BF3"/>
    <w:rsid w:val="00FA7073"/>
    <w:rsid w:val="00FB46E8"/>
    <w:rsid w:val="00FC5328"/>
    <w:rsid w:val="00FD4B2B"/>
    <w:rsid w:val="00FD6747"/>
    <w:rsid w:val="00FE04BE"/>
    <w:rsid w:val="00FE417B"/>
    <w:rsid w:val="00FE7050"/>
    <w:rsid w:val="00FE74D7"/>
    <w:rsid w:val="00FF0E91"/>
    <w:rsid w:val="00FF1F97"/>
    <w:rsid w:val="00FF2DD4"/>
    <w:rsid w:val="00FF470A"/>
    <w:rsid w:val="00FF69E4"/>
    <w:rsid w:val="00FF71A0"/>
    <w:rsid w:val="00FF7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D2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92F"/>
    <w:pPr>
      <w:widowControl w:val="0"/>
    </w:pPr>
    <w:rPr>
      <w:rFonts w:ascii="Arial" w:hAnsi="Arial"/>
      <w:sz w:val="24"/>
    </w:rPr>
  </w:style>
  <w:style w:type="paragraph" w:styleId="Heading1">
    <w:name w:val="heading 1"/>
    <w:basedOn w:val="Normal"/>
    <w:next w:val="Normal"/>
    <w:qFormat/>
    <w:rsid w:val="00A553A9"/>
    <w:pPr>
      <w:outlineLvl w:val="0"/>
    </w:pPr>
  </w:style>
  <w:style w:type="paragraph" w:styleId="Heading2">
    <w:name w:val="heading 2"/>
    <w:basedOn w:val="Normal"/>
    <w:next w:val="Normal"/>
    <w:qFormat/>
    <w:rsid w:val="00A553A9"/>
    <w:pPr>
      <w:jc w:val="center"/>
      <w:outlineLvl w:val="1"/>
    </w:pPr>
  </w:style>
  <w:style w:type="paragraph" w:styleId="Heading3">
    <w:name w:val="heading 3"/>
    <w:basedOn w:val="Normal"/>
    <w:next w:val="Normal"/>
    <w:qFormat/>
    <w:rsid w:val="00A553A9"/>
    <w:pPr>
      <w:keepNext/>
      <w:spacing w:line="480" w:lineRule="auto"/>
      <w:jc w:val="center"/>
      <w:outlineLvl w:val="2"/>
    </w:pPr>
    <w:rPr>
      <w:b/>
    </w:rPr>
  </w:style>
  <w:style w:type="paragraph" w:styleId="Heading4">
    <w:name w:val="heading 4"/>
    <w:basedOn w:val="Normal"/>
    <w:next w:val="Normal"/>
    <w:link w:val="Heading4Char"/>
    <w:qFormat/>
    <w:rsid w:val="00A553A9"/>
    <w:pPr>
      <w:keepNext/>
      <w:spacing w:line="480" w:lineRule="auto"/>
      <w:jc w:val="center"/>
      <w:outlineLvl w:val="3"/>
    </w:pPr>
    <w:rPr>
      <w:b/>
      <w:bCs/>
      <w:u w:val="single"/>
    </w:rPr>
  </w:style>
  <w:style w:type="paragraph" w:styleId="Heading5">
    <w:name w:val="heading 5"/>
    <w:basedOn w:val="Normal"/>
    <w:next w:val="Normal"/>
    <w:qFormat/>
    <w:rsid w:val="00A553A9"/>
    <w:pPr>
      <w:keepNext/>
      <w:ind w:firstLine="720"/>
      <w:jc w:val="center"/>
      <w:outlineLvl w:val="4"/>
    </w:pPr>
    <w:rPr>
      <w:b/>
    </w:rPr>
  </w:style>
  <w:style w:type="paragraph" w:styleId="Heading6">
    <w:name w:val="heading 6"/>
    <w:basedOn w:val="Normal"/>
    <w:next w:val="Normal"/>
    <w:qFormat/>
    <w:rsid w:val="00A553A9"/>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center"/>
      <w:outlineLvl w:val="5"/>
    </w:pPr>
    <w:rPr>
      <w:b/>
      <w:u w:val="single"/>
    </w:rPr>
  </w:style>
  <w:style w:type="paragraph" w:styleId="Heading7">
    <w:name w:val="heading 7"/>
    <w:basedOn w:val="Normal"/>
    <w:next w:val="Normal"/>
    <w:qFormat/>
    <w:rsid w:val="00A553A9"/>
    <w:pPr>
      <w:keepNext/>
      <w:tabs>
        <w:tab w:val="left" w:pos="-360"/>
      </w:tabs>
      <w:jc w:val="both"/>
      <w:outlineLvl w:val="6"/>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553A9"/>
    <w:pPr>
      <w:jc w:val="center"/>
    </w:pPr>
  </w:style>
  <w:style w:type="paragraph" w:styleId="BodyText">
    <w:name w:val="Body Text"/>
    <w:basedOn w:val="Normal"/>
    <w:link w:val="BodyTextChar"/>
    <w:rsid w:val="00A553A9"/>
    <w:pPr>
      <w:spacing w:line="436" w:lineRule="atLeast"/>
      <w:jc w:val="both"/>
    </w:pPr>
  </w:style>
  <w:style w:type="character" w:customStyle="1" w:styleId="1">
    <w:name w:val="1"/>
    <w:rsid w:val="00A553A9"/>
  </w:style>
  <w:style w:type="character" w:customStyle="1" w:styleId="DefaultPara">
    <w:name w:val="Default Para"/>
    <w:rsid w:val="00A553A9"/>
  </w:style>
  <w:style w:type="paragraph" w:styleId="DocumentMap">
    <w:name w:val="Document Map"/>
    <w:basedOn w:val="Normal"/>
    <w:semiHidden/>
    <w:rsid w:val="00A553A9"/>
    <w:pPr>
      <w:shd w:val="clear" w:color="auto" w:fill="000080"/>
    </w:pPr>
    <w:rPr>
      <w:rFonts w:ascii="Tahoma" w:hAnsi="Tahoma"/>
    </w:rPr>
  </w:style>
  <w:style w:type="paragraph" w:styleId="Footer">
    <w:name w:val="footer"/>
    <w:basedOn w:val="Normal"/>
    <w:link w:val="FooterChar"/>
    <w:uiPriority w:val="99"/>
    <w:rsid w:val="00A553A9"/>
    <w:pPr>
      <w:tabs>
        <w:tab w:val="center" w:pos="4320"/>
        <w:tab w:val="right" w:pos="8640"/>
      </w:tabs>
    </w:pPr>
  </w:style>
  <w:style w:type="character" w:styleId="PageNumber">
    <w:name w:val="page number"/>
    <w:basedOn w:val="DefaultParagraphFont"/>
    <w:rsid w:val="00A553A9"/>
  </w:style>
  <w:style w:type="paragraph" w:styleId="BlockText">
    <w:name w:val="Block Text"/>
    <w:basedOn w:val="Normal"/>
    <w:rsid w:val="00A553A9"/>
    <w:pPr>
      <w:ind w:left="720" w:right="720"/>
      <w:jc w:val="center"/>
    </w:pPr>
    <w:rPr>
      <w:b/>
    </w:rPr>
  </w:style>
  <w:style w:type="paragraph" w:styleId="BodyText2">
    <w:name w:val="Body Text 2"/>
    <w:basedOn w:val="Normal"/>
    <w:rsid w:val="00A553A9"/>
    <w:pPr>
      <w:ind w:right="720"/>
    </w:pPr>
    <w:rPr>
      <w:b/>
    </w:rPr>
  </w:style>
  <w:style w:type="paragraph" w:customStyle="1" w:styleId="Level1">
    <w:name w:val="Level 1"/>
    <w:rsid w:val="00A553A9"/>
    <w:pPr>
      <w:autoSpaceDE w:val="0"/>
      <w:autoSpaceDN w:val="0"/>
      <w:adjustRightInd w:val="0"/>
      <w:ind w:left="720"/>
    </w:pPr>
    <w:rPr>
      <w:sz w:val="24"/>
      <w:szCs w:val="24"/>
    </w:rPr>
  </w:style>
  <w:style w:type="paragraph" w:styleId="BodyTextIndent">
    <w:name w:val="Body Text Indent"/>
    <w:basedOn w:val="Normal"/>
    <w:link w:val="BodyTextIndentChar"/>
    <w:rsid w:val="00A553A9"/>
    <w:pPr>
      <w:spacing w:after="120"/>
      <w:ind w:left="360"/>
    </w:pPr>
  </w:style>
  <w:style w:type="paragraph" w:styleId="FootnoteText">
    <w:name w:val="footnote text"/>
    <w:basedOn w:val="Normal"/>
    <w:link w:val="FootnoteTextChar"/>
    <w:uiPriority w:val="99"/>
    <w:semiHidden/>
    <w:rsid w:val="00A553A9"/>
    <w:pPr>
      <w:autoSpaceDE w:val="0"/>
      <w:autoSpaceDN w:val="0"/>
    </w:pPr>
  </w:style>
  <w:style w:type="character" w:styleId="FootnoteReference">
    <w:name w:val="footnote reference"/>
    <w:basedOn w:val="DefaultParagraphFont"/>
    <w:semiHidden/>
    <w:rsid w:val="00A553A9"/>
    <w:rPr>
      <w:vertAlign w:val="superscript"/>
    </w:rPr>
  </w:style>
  <w:style w:type="paragraph" w:styleId="BalloonText">
    <w:name w:val="Balloon Text"/>
    <w:basedOn w:val="Normal"/>
    <w:semiHidden/>
    <w:rsid w:val="00A553A9"/>
    <w:rPr>
      <w:rFonts w:ascii="Tahoma" w:hAnsi="Tahoma" w:cs="Tahoma"/>
      <w:sz w:val="16"/>
      <w:szCs w:val="16"/>
    </w:rPr>
  </w:style>
  <w:style w:type="paragraph" w:styleId="BodyTextIndent2">
    <w:name w:val="Body Text Indent 2"/>
    <w:basedOn w:val="Normal"/>
    <w:rsid w:val="00A553A9"/>
    <w:pPr>
      <w:spacing w:line="480" w:lineRule="auto"/>
      <w:ind w:firstLine="720"/>
      <w:jc w:val="both"/>
    </w:pPr>
  </w:style>
  <w:style w:type="paragraph" w:styleId="BodyText3">
    <w:name w:val="Body Text 3"/>
    <w:basedOn w:val="Normal"/>
    <w:rsid w:val="00A553A9"/>
    <w:pPr>
      <w:widowControl/>
      <w:jc w:val="center"/>
    </w:pPr>
    <w:rPr>
      <w:b/>
      <w:bCs/>
      <w:u w:val="single"/>
    </w:rPr>
  </w:style>
  <w:style w:type="character" w:styleId="CommentReference">
    <w:name w:val="annotation reference"/>
    <w:basedOn w:val="DefaultParagraphFont"/>
    <w:semiHidden/>
    <w:rsid w:val="00A553A9"/>
    <w:rPr>
      <w:sz w:val="16"/>
      <w:szCs w:val="16"/>
    </w:rPr>
  </w:style>
  <w:style w:type="paragraph" w:styleId="CommentText">
    <w:name w:val="annotation text"/>
    <w:basedOn w:val="Normal"/>
    <w:semiHidden/>
    <w:rsid w:val="00A553A9"/>
  </w:style>
  <w:style w:type="paragraph" w:styleId="Header">
    <w:name w:val="header"/>
    <w:basedOn w:val="Normal"/>
    <w:link w:val="HeaderChar"/>
    <w:uiPriority w:val="99"/>
    <w:rsid w:val="00A553A9"/>
    <w:pPr>
      <w:tabs>
        <w:tab w:val="center" w:pos="4320"/>
        <w:tab w:val="right" w:pos="8640"/>
      </w:tabs>
    </w:pPr>
  </w:style>
  <w:style w:type="paragraph" w:styleId="CommentSubject">
    <w:name w:val="annotation subject"/>
    <w:basedOn w:val="CommentText"/>
    <w:next w:val="CommentText"/>
    <w:semiHidden/>
    <w:rsid w:val="00A553A9"/>
    <w:rPr>
      <w:b/>
      <w:bCs/>
    </w:rPr>
  </w:style>
  <w:style w:type="paragraph" w:styleId="BodyTextIndent3">
    <w:name w:val="Body Text Indent 3"/>
    <w:basedOn w:val="Normal"/>
    <w:link w:val="BodyTextIndent3Char"/>
    <w:rsid w:val="00A553A9"/>
    <w:pPr>
      <w:spacing w:line="480" w:lineRule="auto"/>
      <w:ind w:left="1440" w:hanging="720"/>
      <w:jc w:val="both"/>
    </w:pPr>
  </w:style>
  <w:style w:type="paragraph" w:customStyle="1" w:styleId="StyleTitleBold">
    <w:name w:val="Style Title + Bold"/>
    <w:basedOn w:val="Title"/>
    <w:rsid w:val="00A553A9"/>
    <w:rPr>
      <w:b/>
      <w:bCs/>
    </w:rPr>
  </w:style>
  <w:style w:type="table" w:styleId="TableGrid">
    <w:name w:val="Table Grid"/>
    <w:basedOn w:val="TableNormal"/>
    <w:uiPriority w:val="59"/>
    <w:rsid w:val="009868B7"/>
    <w:pPr>
      <w:ind w:left="5760" w:hanging="360"/>
    </w:pPr>
    <w:rPr>
      <w:rFonts w:ascii="Arial" w:eastAsia="Calibri" w:hAnsi="Arial"/>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868B7"/>
    <w:pPr>
      <w:ind w:left="720"/>
      <w:contextualSpacing/>
    </w:pPr>
  </w:style>
  <w:style w:type="character" w:customStyle="1" w:styleId="BodyTextIndentChar">
    <w:name w:val="Body Text Indent Char"/>
    <w:basedOn w:val="DefaultParagraphFont"/>
    <w:link w:val="BodyTextIndent"/>
    <w:rsid w:val="00354849"/>
    <w:rPr>
      <w:rFonts w:ascii="Arial" w:hAnsi="Arial"/>
      <w:sz w:val="24"/>
    </w:rPr>
  </w:style>
  <w:style w:type="character" w:styleId="Hyperlink">
    <w:name w:val="Hyperlink"/>
    <w:basedOn w:val="DefaultParagraphFont"/>
    <w:uiPriority w:val="99"/>
    <w:rsid w:val="000C4ED6"/>
    <w:rPr>
      <w:color w:val="0000FF" w:themeColor="hyperlink"/>
      <w:u w:val="single"/>
    </w:rPr>
  </w:style>
  <w:style w:type="character" w:customStyle="1" w:styleId="FootnoteTextChar">
    <w:name w:val="Footnote Text Char"/>
    <w:basedOn w:val="DefaultParagraphFont"/>
    <w:link w:val="FootnoteText"/>
    <w:uiPriority w:val="99"/>
    <w:semiHidden/>
    <w:rsid w:val="00626AF0"/>
    <w:rPr>
      <w:rFonts w:ascii="Arial" w:hAnsi="Arial"/>
      <w:sz w:val="24"/>
    </w:rPr>
  </w:style>
  <w:style w:type="character" w:customStyle="1" w:styleId="BodyTextIndent3Char">
    <w:name w:val="Body Text Indent 3 Char"/>
    <w:basedOn w:val="DefaultParagraphFont"/>
    <w:link w:val="BodyTextIndent3"/>
    <w:rsid w:val="00626AF0"/>
    <w:rPr>
      <w:rFonts w:ascii="Arial" w:hAnsi="Arial"/>
      <w:sz w:val="24"/>
    </w:rPr>
  </w:style>
  <w:style w:type="character" w:customStyle="1" w:styleId="FooterChar">
    <w:name w:val="Footer Char"/>
    <w:basedOn w:val="DefaultParagraphFont"/>
    <w:link w:val="Footer"/>
    <w:uiPriority w:val="99"/>
    <w:rsid w:val="00675CBF"/>
    <w:rPr>
      <w:rFonts w:ascii="Arial" w:hAnsi="Arial"/>
      <w:sz w:val="24"/>
    </w:rPr>
  </w:style>
  <w:style w:type="character" w:customStyle="1" w:styleId="DeltaViewInsertion">
    <w:name w:val="DeltaView Insertion"/>
    <w:uiPriority w:val="99"/>
    <w:rsid w:val="00997DD8"/>
    <w:rPr>
      <w:color w:val="0000FF"/>
      <w:u w:val="double"/>
    </w:rPr>
  </w:style>
  <w:style w:type="table" w:customStyle="1" w:styleId="TableGrid1">
    <w:name w:val="Table Grid1"/>
    <w:basedOn w:val="TableNormal"/>
    <w:next w:val="TableGrid"/>
    <w:uiPriority w:val="59"/>
    <w:rsid w:val="00377B3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D0C6B"/>
    <w:pPr>
      <w:keepNext/>
      <w:keepLines/>
      <w:widowControl/>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TOC2">
    <w:name w:val="toc 2"/>
    <w:basedOn w:val="Normal"/>
    <w:next w:val="Normal"/>
    <w:autoRedefine/>
    <w:uiPriority w:val="39"/>
    <w:unhideWhenUsed/>
    <w:rsid w:val="00D35AEC"/>
    <w:pPr>
      <w:widowControl/>
      <w:spacing w:after="240"/>
      <w:ind w:left="1440"/>
    </w:pPr>
    <w:rPr>
      <w:rFonts w:eastAsiaTheme="minorEastAsia" w:cs="Arial"/>
      <w:szCs w:val="24"/>
    </w:rPr>
  </w:style>
  <w:style w:type="paragraph" w:styleId="TOC1">
    <w:name w:val="toc 1"/>
    <w:basedOn w:val="Normal"/>
    <w:next w:val="Normal"/>
    <w:autoRedefine/>
    <w:uiPriority w:val="39"/>
    <w:unhideWhenUsed/>
    <w:rsid w:val="00BA5EC4"/>
    <w:pPr>
      <w:widowControl/>
      <w:spacing w:after="240"/>
    </w:pPr>
    <w:rPr>
      <w:rFonts w:eastAsiaTheme="minorEastAsia" w:cs="Arial"/>
      <w:b/>
      <w:szCs w:val="24"/>
    </w:rPr>
  </w:style>
  <w:style w:type="paragraph" w:styleId="TOC3">
    <w:name w:val="toc 3"/>
    <w:basedOn w:val="Normal"/>
    <w:next w:val="Normal"/>
    <w:autoRedefine/>
    <w:uiPriority w:val="39"/>
    <w:unhideWhenUsed/>
    <w:rsid w:val="00731F8E"/>
    <w:pPr>
      <w:widowControl/>
      <w:spacing w:after="480"/>
      <w:jc w:val="center"/>
    </w:pPr>
    <w:rPr>
      <w:rFonts w:eastAsiaTheme="minorEastAsia" w:cs="Arial"/>
      <w:b/>
      <w:sz w:val="28"/>
      <w:szCs w:val="24"/>
      <w:u w:val="single"/>
    </w:rPr>
  </w:style>
  <w:style w:type="character" w:customStyle="1" w:styleId="HeaderChar">
    <w:name w:val="Header Char"/>
    <w:basedOn w:val="DefaultParagraphFont"/>
    <w:link w:val="Header"/>
    <w:uiPriority w:val="99"/>
    <w:rsid w:val="008418C5"/>
    <w:rPr>
      <w:rFonts w:ascii="Arial" w:hAnsi="Arial"/>
      <w:sz w:val="24"/>
    </w:rPr>
  </w:style>
  <w:style w:type="character" w:customStyle="1" w:styleId="UnresolvedMention1">
    <w:name w:val="Unresolved Mention1"/>
    <w:basedOn w:val="DefaultParagraphFont"/>
    <w:uiPriority w:val="99"/>
    <w:semiHidden/>
    <w:unhideWhenUsed/>
    <w:rsid w:val="00C7069F"/>
    <w:rPr>
      <w:color w:val="808080"/>
      <w:shd w:val="clear" w:color="auto" w:fill="E6E6E6"/>
    </w:rPr>
  </w:style>
  <w:style w:type="table" w:customStyle="1" w:styleId="TableGrid2">
    <w:name w:val="Table Grid2"/>
    <w:basedOn w:val="TableNormal"/>
    <w:next w:val="TableGrid"/>
    <w:uiPriority w:val="59"/>
    <w:rsid w:val="00161E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8FC"/>
    <w:rPr>
      <w:color w:val="605E5C"/>
      <w:shd w:val="clear" w:color="auto" w:fill="E1DFDD"/>
    </w:rPr>
  </w:style>
  <w:style w:type="character" w:customStyle="1" w:styleId="Heading4Char">
    <w:name w:val="Heading 4 Char"/>
    <w:basedOn w:val="DefaultParagraphFont"/>
    <w:link w:val="Heading4"/>
    <w:rsid w:val="00D616F7"/>
    <w:rPr>
      <w:rFonts w:ascii="Arial" w:hAnsi="Arial"/>
      <w:b/>
      <w:bCs/>
      <w:sz w:val="24"/>
      <w:u w:val="single"/>
    </w:rPr>
  </w:style>
  <w:style w:type="character" w:customStyle="1" w:styleId="BodyTextChar">
    <w:name w:val="Body Text Char"/>
    <w:basedOn w:val="DefaultParagraphFont"/>
    <w:link w:val="BodyText"/>
    <w:rsid w:val="00D616F7"/>
    <w:rPr>
      <w:rFonts w:ascii="Arial" w:hAnsi="Arial"/>
      <w:sz w:val="24"/>
    </w:rPr>
  </w:style>
  <w:style w:type="paragraph" w:styleId="Revision">
    <w:name w:val="Revision"/>
    <w:hidden/>
    <w:uiPriority w:val="99"/>
    <w:semiHidden/>
    <w:rsid w:val="00BD17B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034337">
      <w:bodyDiv w:val="1"/>
      <w:marLeft w:val="0"/>
      <w:marRight w:val="0"/>
      <w:marTop w:val="0"/>
      <w:marBottom w:val="0"/>
      <w:divBdr>
        <w:top w:val="none" w:sz="0" w:space="0" w:color="auto"/>
        <w:left w:val="none" w:sz="0" w:space="0" w:color="auto"/>
        <w:bottom w:val="none" w:sz="0" w:space="0" w:color="auto"/>
        <w:right w:val="none" w:sz="0" w:space="0" w:color="auto"/>
      </w:divBdr>
      <w:divsChild>
        <w:div w:id="845218380">
          <w:marLeft w:val="0"/>
          <w:marRight w:val="0"/>
          <w:marTop w:val="0"/>
          <w:marBottom w:val="0"/>
          <w:divBdr>
            <w:top w:val="none" w:sz="0" w:space="0" w:color="auto"/>
            <w:left w:val="none" w:sz="0" w:space="0" w:color="auto"/>
            <w:bottom w:val="none" w:sz="0" w:space="0" w:color="auto"/>
            <w:right w:val="none" w:sz="0" w:space="0" w:color="auto"/>
          </w:divBdr>
        </w:div>
        <w:div w:id="1950887549">
          <w:marLeft w:val="0"/>
          <w:marRight w:val="0"/>
          <w:marTop w:val="0"/>
          <w:marBottom w:val="0"/>
          <w:divBdr>
            <w:top w:val="none" w:sz="0" w:space="0" w:color="auto"/>
            <w:left w:val="none" w:sz="0" w:space="0" w:color="auto"/>
            <w:bottom w:val="none" w:sz="0" w:space="0" w:color="auto"/>
            <w:right w:val="none" w:sz="0" w:space="0" w:color="auto"/>
          </w:divBdr>
        </w:div>
        <w:div w:id="1983653225">
          <w:marLeft w:val="0"/>
          <w:marRight w:val="0"/>
          <w:marTop w:val="0"/>
          <w:marBottom w:val="0"/>
          <w:divBdr>
            <w:top w:val="none" w:sz="0" w:space="0" w:color="auto"/>
            <w:left w:val="none" w:sz="0" w:space="0" w:color="auto"/>
            <w:bottom w:val="none" w:sz="0" w:space="0" w:color="auto"/>
            <w:right w:val="none" w:sz="0" w:space="0" w:color="auto"/>
          </w:divBdr>
        </w:div>
      </w:divsChild>
    </w:div>
    <w:div w:id="1154295257">
      <w:bodyDiv w:val="1"/>
      <w:marLeft w:val="0"/>
      <w:marRight w:val="0"/>
      <w:marTop w:val="0"/>
      <w:marBottom w:val="180"/>
      <w:divBdr>
        <w:top w:val="none" w:sz="0" w:space="0" w:color="auto"/>
        <w:left w:val="none" w:sz="0" w:space="0" w:color="auto"/>
        <w:bottom w:val="none" w:sz="0" w:space="0" w:color="auto"/>
        <w:right w:val="none" w:sz="0" w:space="0" w:color="auto"/>
      </w:divBdr>
      <w:divsChild>
        <w:div w:id="167135949">
          <w:marLeft w:val="0"/>
          <w:marRight w:val="0"/>
          <w:marTop w:val="0"/>
          <w:marBottom w:val="0"/>
          <w:divBdr>
            <w:top w:val="none" w:sz="0" w:space="0" w:color="auto"/>
            <w:left w:val="none" w:sz="0" w:space="0" w:color="auto"/>
            <w:bottom w:val="none" w:sz="0" w:space="0" w:color="auto"/>
            <w:right w:val="none" w:sz="0" w:space="0" w:color="auto"/>
          </w:divBdr>
          <w:divsChild>
            <w:div w:id="964192687">
              <w:marLeft w:val="0"/>
              <w:marRight w:val="0"/>
              <w:marTop w:val="0"/>
              <w:marBottom w:val="0"/>
              <w:divBdr>
                <w:top w:val="none" w:sz="0" w:space="0" w:color="auto"/>
                <w:left w:val="none" w:sz="0" w:space="0" w:color="auto"/>
                <w:bottom w:val="none" w:sz="0" w:space="0" w:color="auto"/>
                <w:right w:val="none" w:sz="0" w:space="0" w:color="auto"/>
              </w:divBdr>
              <w:divsChild>
                <w:div w:id="471604424">
                  <w:marLeft w:val="0"/>
                  <w:marRight w:val="0"/>
                  <w:marTop w:val="0"/>
                  <w:marBottom w:val="0"/>
                  <w:divBdr>
                    <w:top w:val="none" w:sz="0" w:space="0" w:color="auto"/>
                    <w:left w:val="none" w:sz="0" w:space="0" w:color="auto"/>
                    <w:bottom w:val="none" w:sz="0" w:space="0" w:color="auto"/>
                    <w:right w:val="none" w:sz="0" w:space="0" w:color="auto"/>
                  </w:divBdr>
                  <w:divsChild>
                    <w:div w:id="1862281186">
                      <w:marLeft w:val="0"/>
                      <w:marRight w:val="0"/>
                      <w:marTop w:val="0"/>
                      <w:marBottom w:val="0"/>
                      <w:divBdr>
                        <w:top w:val="none" w:sz="0" w:space="0" w:color="auto"/>
                        <w:left w:val="none" w:sz="0" w:space="0" w:color="auto"/>
                        <w:bottom w:val="none" w:sz="0" w:space="0" w:color="auto"/>
                        <w:right w:val="none" w:sz="0" w:space="0" w:color="auto"/>
                      </w:divBdr>
                      <w:divsChild>
                        <w:div w:id="140123748">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721BC-2F2F-4F88-91C9-99AB6B28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1284</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2024-04-10T20:32:00Z</dcterms:created>
  <dcterms:modified xsi:type="dcterms:W3CDTF">2024-04-15T16:21:00Z</dcterms:modified>
</cp:coreProperties>
</file>