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9AF3" w14:textId="77777777" w:rsidR="007B6277" w:rsidRDefault="007B6277" w:rsidP="000D3813">
      <w:pPr>
        <w:spacing w:after="0" w:line="360" w:lineRule="auto"/>
        <w:jc w:val="center"/>
        <w:rPr>
          <w:rFonts w:cstheme="minorHAnsi"/>
          <w:b/>
          <w:bCs/>
          <w:kern w:val="0"/>
          <w:sz w:val="24"/>
          <w:szCs w:val="24"/>
          <w14:ligatures w14:val="none"/>
        </w:rPr>
      </w:pPr>
      <w:bookmarkStart w:id="0" w:name="_Hlk106880096"/>
    </w:p>
    <w:p w14:paraId="4DE664AA" w14:textId="5AEC2196" w:rsidR="000D3813" w:rsidRDefault="000D3813" w:rsidP="000D3813">
      <w:pPr>
        <w:spacing w:after="0" w:line="360" w:lineRule="auto"/>
        <w:jc w:val="center"/>
        <w:rPr>
          <w:rFonts w:cstheme="minorHAnsi"/>
          <w:b/>
          <w:bCs/>
          <w:kern w:val="0"/>
          <w:sz w:val="24"/>
          <w:szCs w:val="24"/>
          <w14:ligatures w14:val="none"/>
        </w:rPr>
      </w:pPr>
      <w:r w:rsidRPr="00267206">
        <w:rPr>
          <w:rFonts w:cstheme="minorHAnsi"/>
          <w:b/>
          <w:bCs/>
          <w:kern w:val="0"/>
          <w:sz w:val="24"/>
          <w:szCs w:val="24"/>
          <w14:ligatures w14:val="none"/>
        </w:rPr>
        <w:t>PROJECT NO. 54584</w:t>
      </w:r>
    </w:p>
    <w:p w14:paraId="2FD15202" w14:textId="77777777" w:rsidR="007B6277" w:rsidRPr="00267206" w:rsidRDefault="007B6277" w:rsidP="000D3813">
      <w:pPr>
        <w:spacing w:after="0" w:line="360" w:lineRule="auto"/>
        <w:jc w:val="center"/>
        <w:rPr>
          <w:rFonts w:cstheme="minorHAnsi"/>
          <w:b/>
          <w:bCs/>
          <w:kern w:val="0"/>
          <w:sz w:val="24"/>
          <w:szCs w:val="24"/>
          <w14:ligatures w14:val="none"/>
        </w:rPr>
      </w:pPr>
    </w:p>
    <w:tbl>
      <w:tblPr>
        <w:tblW w:w="0" w:type="auto"/>
        <w:tblInd w:w="18" w:type="dxa"/>
        <w:tblLayout w:type="fixed"/>
        <w:tblLook w:val="04A0" w:firstRow="1" w:lastRow="0" w:firstColumn="1" w:lastColumn="0" w:noHBand="0" w:noVBand="1"/>
      </w:tblPr>
      <w:tblGrid>
        <w:gridCol w:w="4333"/>
        <w:gridCol w:w="566"/>
        <w:gridCol w:w="4493"/>
      </w:tblGrid>
      <w:tr w:rsidR="000D3813" w:rsidRPr="00267206" w14:paraId="21331F09" w14:textId="77777777" w:rsidTr="00BB10A5">
        <w:trPr>
          <w:trHeight w:val="1107"/>
        </w:trPr>
        <w:tc>
          <w:tcPr>
            <w:tcW w:w="4333" w:type="dxa"/>
            <w:hideMark/>
          </w:tcPr>
          <w:p w14:paraId="522E6904" w14:textId="77777777" w:rsidR="007B6277" w:rsidRDefault="007B6277" w:rsidP="000D3813">
            <w:pPr>
              <w:spacing w:after="0" w:line="360" w:lineRule="auto"/>
              <w:rPr>
                <w:rFonts w:eastAsia="Times New Roman" w:cstheme="minorHAnsi"/>
                <w:b/>
                <w:bCs/>
                <w:color w:val="000000"/>
                <w:kern w:val="0"/>
                <w:sz w:val="24"/>
                <w:szCs w:val="24"/>
                <w14:ligatures w14:val="none"/>
              </w:rPr>
            </w:pPr>
          </w:p>
          <w:p w14:paraId="1AB0A49A" w14:textId="55D47236" w:rsidR="000D3813" w:rsidRPr="00267206" w:rsidRDefault="000D3813" w:rsidP="000D3813">
            <w:pPr>
              <w:spacing w:after="0" w:line="360" w:lineRule="auto"/>
              <w:rPr>
                <w:rFonts w:cstheme="minorHAnsi"/>
                <w:b/>
                <w:kern w:val="0"/>
                <w:sz w:val="24"/>
                <w:szCs w:val="24"/>
                <w14:ligatures w14:val="none"/>
              </w:rPr>
            </w:pPr>
            <w:r w:rsidRPr="00267206">
              <w:rPr>
                <w:rFonts w:eastAsia="Times New Roman" w:cstheme="minorHAnsi"/>
                <w:b/>
                <w:bCs/>
                <w:color w:val="000000"/>
                <w:kern w:val="0"/>
                <w:sz w:val="24"/>
                <w:szCs w:val="24"/>
                <w14:ligatures w14:val="none"/>
              </w:rPr>
              <w:t>RELIABILITY STANDARD FOR THE ERCOT MARKET</w:t>
            </w:r>
          </w:p>
        </w:tc>
        <w:tc>
          <w:tcPr>
            <w:tcW w:w="566" w:type="dxa"/>
            <w:hideMark/>
          </w:tcPr>
          <w:p w14:paraId="05A76F6E" w14:textId="77777777" w:rsidR="000D3813" w:rsidRPr="00267206" w:rsidRDefault="000D3813" w:rsidP="000D3813">
            <w:pPr>
              <w:spacing w:after="0" w:line="360" w:lineRule="auto"/>
              <w:jc w:val="center"/>
              <w:rPr>
                <w:rFonts w:cstheme="minorHAnsi"/>
                <w:b/>
                <w:kern w:val="0"/>
                <w:sz w:val="24"/>
                <w:szCs w:val="24"/>
                <w14:ligatures w14:val="none"/>
              </w:rPr>
            </w:pPr>
            <w:r w:rsidRPr="00267206">
              <w:rPr>
                <w:rFonts w:cstheme="minorHAnsi"/>
                <w:b/>
                <w:kern w:val="0"/>
                <w:sz w:val="24"/>
                <w:szCs w:val="24"/>
                <w14:ligatures w14:val="none"/>
              </w:rPr>
              <w:t>§</w:t>
            </w:r>
          </w:p>
          <w:p w14:paraId="036A8D61" w14:textId="77777777" w:rsidR="000D3813" w:rsidRPr="00267206" w:rsidRDefault="000D3813" w:rsidP="000D3813">
            <w:pPr>
              <w:spacing w:after="0" w:line="360" w:lineRule="auto"/>
              <w:jc w:val="center"/>
              <w:rPr>
                <w:rFonts w:cstheme="minorHAnsi"/>
                <w:b/>
                <w:kern w:val="0"/>
                <w:sz w:val="24"/>
                <w:szCs w:val="24"/>
                <w14:ligatures w14:val="none"/>
              </w:rPr>
            </w:pPr>
            <w:r w:rsidRPr="00267206">
              <w:rPr>
                <w:rFonts w:cstheme="minorHAnsi"/>
                <w:b/>
                <w:kern w:val="0"/>
                <w:sz w:val="24"/>
                <w:szCs w:val="24"/>
                <w14:ligatures w14:val="none"/>
              </w:rPr>
              <w:t>§</w:t>
            </w:r>
          </w:p>
          <w:p w14:paraId="29BE817B" w14:textId="77777777" w:rsidR="000D3813" w:rsidRPr="00267206" w:rsidRDefault="000D3813" w:rsidP="000D3813">
            <w:pPr>
              <w:spacing w:after="0" w:line="360" w:lineRule="auto"/>
              <w:jc w:val="center"/>
              <w:rPr>
                <w:rFonts w:cstheme="minorHAnsi"/>
                <w:b/>
                <w:kern w:val="0"/>
                <w:sz w:val="24"/>
                <w:szCs w:val="24"/>
                <w14:ligatures w14:val="none"/>
              </w:rPr>
            </w:pPr>
            <w:bookmarkStart w:id="1" w:name="_Hlk119503365"/>
            <w:r w:rsidRPr="00267206">
              <w:rPr>
                <w:rFonts w:cstheme="minorHAnsi"/>
                <w:b/>
                <w:kern w:val="0"/>
                <w:sz w:val="24"/>
                <w:szCs w:val="24"/>
                <w14:ligatures w14:val="none"/>
              </w:rPr>
              <w:t>§</w:t>
            </w:r>
            <w:bookmarkEnd w:id="1"/>
          </w:p>
        </w:tc>
        <w:tc>
          <w:tcPr>
            <w:tcW w:w="4493" w:type="dxa"/>
          </w:tcPr>
          <w:p w14:paraId="0C7A0ADA" w14:textId="77777777" w:rsidR="000D3813" w:rsidRPr="00267206" w:rsidRDefault="000D3813" w:rsidP="000D3813">
            <w:pPr>
              <w:spacing w:after="0" w:line="360" w:lineRule="auto"/>
              <w:jc w:val="center"/>
              <w:rPr>
                <w:rFonts w:cstheme="minorHAnsi"/>
                <w:b/>
                <w:kern w:val="0"/>
                <w:sz w:val="24"/>
                <w:szCs w:val="24"/>
                <w14:ligatures w14:val="none"/>
              </w:rPr>
            </w:pPr>
            <w:r w:rsidRPr="00267206">
              <w:rPr>
                <w:rFonts w:cstheme="minorHAnsi"/>
                <w:b/>
                <w:kern w:val="0"/>
                <w:sz w:val="24"/>
                <w:szCs w:val="24"/>
                <w14:ligatures w14:val="none"/>
              </w:rPr>
              <w:t>PUBLIC UTILITY COMMISSION</w:t>
            </w:r>
          </w:p>
          <w:p w14:paraId="40FF0564" w14:textId="77777777" w:rsidR="000D3813" w:rsidRPr="00267206" w:rsidRDefault="000D3813" w:rsidP="000D3813">
            <w:pPr>
              <w:spacing w:after="0" w:line="360" w:lineRule="auto"/>
              <w:jc w:val="center"/>
              <w:rPr>
                <w:rFonts w:cstheme="minorHAnsi"/>
                <w:b/>
                <w:kern w:val="0"/>
                <w:sz w:val="24"/>
                <w:szCs w:val="24"/>
                <w14:ligatures w14:val="none"/>
              </w:rPr>
            </w:pPr>
            <w:r w:rsidRPr="00267206">
              <w:rPr>
                <w:rFonts w:cstheme="minorHAnsi"/>
                <w:b/>
                <w:kern w:val="0"/>
                <w:sz w:val="24"/>
                <w:szCs w:val="24"/>
                <w14:ligatures w14:val="none"/>
              </w:rPr>
              <w:t>OF TEXAS</w:t>
            </w:r>
          </w:p>
          <w:p w14:paraId="127EB003" w14:textId="77777777" w:rsidR="000D3813" w:rsidRPr="00267206" w:rsidRDefault="000D3813" w:rsidP="000D3813">
            <w:pPr>
              <w:spacing w:after="0" w:line="360" w:lineRule="auto"/>
              <w:jc w:val="center"/>
              <w:rPr>
                <w:rFonts w:cstheme="minorHAnsi"/>
                <w:b/>
                <w:kern w:val="0"/>
                <w:sz w:val="24"/>
                <w:szCs w:val="24"/>
                <w14:ligatures w14:val="none"/>
              </w:rPr>
            </w:pPr>
          </w:p>
        </w:tc>
      </w:tr>
      <w:bookmarkEnd w:id="0"/>
    </w:tbl>
    <w:p w14:paraId="413A5BBC" w14:textId="0EC458D6" w:rsidR="000D3813" w:rsidRDefault="000D3813" w:rsidP="000D3813">
      <w:pPr>
        <w:spacing w:after="0" w:line="360" w:lineRule="auto"/>
        <w:jc w:val="center"/>
        <w:rPr>
          <w:rFonts w:cstheme="minorHAnsi"/>
          <w:b/>
          <w:caps/>
          <w:kern w:val="0"/>
          <w:sz w:val="24"/>
          <w:szCs w:val="24"/>
          <w:u w:val="single"/>
          <w14:ligatures w14:val="none"/>
        </w:rPr>
      </w:pPr>
    </w:p>
    <w:p w14:paraId="1D90C4A3" w14:textId="77777777" w:rsidR="007B6277" w:rsidRPr="00267206" w:rsidRDefault="007B6277" w:rsidP="000D3813">
      <w:pPr>
        <w:spacing w:after="0" w:line="360" w:lineRule="auto"/>
        <w:jc w:val="center"/>
        <w:rPr>
          <w:rFonts w:cstheme="minorHAnsi"/>
          <w:b/>
          <w:caps/>
          <w:kern w:val="0"/>
          <w:sz w:val="24"/>
          <w:szCs w:val="24"/>
          <w:u w:val="single"/>
          <w14:ligatures w14:val="none"/>
        </w:rPr>
      </w:pPr>
    </w:p>
    <w:p w14:paraId="76DE0F5D" w14:textId="77777777" w:rsidR="000D3813" w:rsidRPr="00267206" w:rsidRDefault="000D3813" w:rsidP="000D3813">
      <w:pPr>
        <w:spacing w:after="0" w:line="360" w:lineRule="auto"/>
        <w:jc w:val="center"/>
        <w:rPr>
          <w:rFonts w:cstheme="minorHAnsi"/>
          <w:b/>
          <w:caps/>
          <w:kern w:val="0"/>
          <w:sz w:val="24"/>
          <w:szCs w:val="24"/>
          <w:u w:val="single"/>
          <w14:ligatures w14:val="none"/>
        </w:rPr>
      </w:pPr>
      <w:bookmarkStart w:id="2" w:name="_Hlk106880136"/>
      <w:r w:rsidRPr="00267206">
        <w:rPr>
          <w:rFonts w:cstheme="minorHAnsi"/>
          <w:b/>
          <w:caps/>
          <w:kern w:val="0"/>
          <w:sz w:val="24"/>
          <w:szCs w:val="24"/>
          <w:u w:val="single"/>
          <w14:ligatures w14:val="none"/>
        </w:rPr>
        <w:t>The ADvanced Power Alliance AND AMERICAN CLEAN POWER ASSOCiATION COMMENTS</w:t>
      </w:r>
      <w:bookmarkEnd w:id="2"/>
    </w:p>
    <w:p w14:paraId="40005B58" w14:textId="001BFB04" w:rsidR="000D3813" w:rsidRPr="00267206" w:rsidRDefault="000D3813" w:rsidP="000D3813">
      <w:pPr>
        <w:spacing w:after="0" w:line="360" w:lineRule="auto"/>
        <w:ind w:firstLine="360"/>
        <w:jc w:val="both"/>
        <w:rPr>
          <w:rFonts w:cstheme="minorHAnsi"/>
          <w:bCs/>
          <w:caps/>
          <w:kern w:val="0"/>
          <w:sz w:val="24"/>
          <w:szCs w:val="24"/>
          <w14:ligatures w14:val="none"/>
        </w:rPr>
      </w:pPr>
      <w:r w:rsidRPr="00267206">
        <w:rPr>
          <w:rFonts w:cstheme="minorHAnsi"/>
          <w:color w:val="000000" w:themeColor="text1"/>
          <w:kern w:val="0"/>
          <w:sz w:val="24"/>
          <w:szCs w:val="24"/>
          <w14:ligatures w14:val="none"/>
        </w:rPr>
        <w:t>The Advanced Power Alliance (APA) and the American Clean Power Association (ACP) appreciate the opportunity to respond to the Public Utility Commission of Texas (Commission) Staff’s Questions for Comment in Project</w:t>
      </w:r>
      <w:r w:rsidR="00910AC1" w:rsidRPr="00267206">
        <w:rPr>
          <w:rFonts w:cstheme="minorHAnsi"/>
          <w:color w:val="000000" w:themeColor="text1"/>
          <w:kern w:val="0"/>
          <w:sz w:val="24"/>
          <w:szCs w:val="24"/>
          <w14:ligatures w14:val="none"/>
        </w:rPr>
        <w:t xml:space="preserve"> No.</w:t>
      </w:r>
      <w:r w:rsidRPr="00267206">
        <w:rPr>
          <w:rFonts w:cstheme="minorHAnsi"/>
          <w:color w:val="000000" w:themeColor="text1"/>
          <w:kern w:val="0"/>
          <w:sz w:val="24"/>
          <w:szCs w:val="24"/>
          <w14:ligatures w14:val="none"/>
        </w:rPr>
        <w:t xml:space="preserve"> 54584: </w:t>
      </w:r>
      <w:r w:rsidRPr="00267206">
        <w:rPr>
          <w:rFonts w:eastAsia="Times New Roman" w:cstheme="minorHAnsi"/>
          <w:i/>
          <w:iCs/>
          <w:color w:val="000000"/>
          <w:kern w:val="0"/>
          <w:sz w:val="24"/>
          <w:szCs w:val="24"/>
          <w14:ligatures w14:val="none"/>
        </w:rPr>
        <w:t xml:space="preserve">RELIABILITY STANDARD FOR THE ERCOT MARKET. </w:t>
      </w:r>
      <w:r w:rsidR="003D3CD2">
        <w:rPr>
          <w:rFonts w:eastAsia="Times New Roman" w:cstheme="minorHAnsi"/>
          <w:i/>
          <w:iCs/>
          <w:color w:val="000000"/>
          <w:kern w:val="0"/>
          <w:sz w:val="24"/>
          <w:szCs w:val="24"/>
          <w14:ligatures w14:val="none"/>
        </w:rPr>
        <w:t xml:space="preserve"> </w:t>
      </w:r>
      <w:r w:rsidRPr="00267206">
        <w:rPr>
          <w:rFonts w:cstheme="minorHAnsi"/>
          <w:color w:val="000000" w:themeColor="text1"/>
          <w:kern w:val="0"/>
          <w:sz w:val="24"/>
          <w:szCs w:val="24"/>
          <w14:ligatures w14:val="none"/>
        </w:rPr>
        <w:t>The comments submitted do not reflect the opinions of any individual member company.</w:t>
      </w:r>
    </w:p>
    <w:p w14:paraId="68BD22D9" w14:textId="77777777" w:rsidR="000D3813" w:rsidRPr="00267206" w:rsidRDefault="000D3813" w:rsidP="000D3813">
      <w:pPr>
        <w:spacing w:after="0" w:line="360" w:lineRule="auto"/>
        <w:rPr>
          <w:rFonts w:cstheme="minorHAnsi"/>
          <w:kern w:val="0"/>
          <w:sz w:val="24"/>
          <w:szCs w:val="24"/>
          <w14:ligatures w14:val="none"/>
        </w:rPr>
      </w:pPr>
    </w:p>
    <w:p w14:paraId="3AEEBD8B" w14:textId="77777777" w:rsidR="000D3813" w:rsidRPr="00267206" w:rsidRDefault="000D3813" w:rsidP="000D3813">
      <w:pPr>
        <w:numPr>
          <w:ilvl w:val="0"/>
          <w:numId w:val="1"/>
        </w:numPr>
        <w:spacing w:after="0" w:line="360" w:lineRule="auto"/>
        <w:jc w:val="center"/>
        <w:rPr>
          <w:rFonts w:cstheme="minorHAnsi"/>
          <w:b/>
          <w:caps/>
          <w:kern w:val="0"/>
          <w:sz w:val="24"/>
          <w:szCs w:val="24"/>
          <w:u w:val="single"/>
          <w14:ligatures w14:val="none"/>
        </w:rPr>
      </w:pPr>
      <w:r w:rsidRPr="00267206">
        <w:rPr>
          <w:rFonts w:cstheme="minorHAnsi"/>
          <w:b/>
          <w:caps/>
          <w:kern w:val="0"/>
          <w:sz w:val="24"/>
          <w:szCs w:val="24"/>
          <w:u w:val="single"/>
          <w14:ligatures w14:val="none"/>
        </w:rPr>
        <w:t>introductioN</w:t>
      </w:r>
    </w:p>
    <w:p w14:paraId="73EA47BF" w14:textId="6EB43F47" w:rsidR="000D3813" w:rsidRPr="00267206" w:rsidRDefault="000D3813" w:rsidP="000D3813">
      <w:pPr>
        <w:spacing w:after="0" w:line="360" w:lineRule="auto"/>
        <w:ind w:firstLine="360"/>
        <w:jc w:val="both"/>
        <w:rPr>
          <w:rFonts w:cstheme="minorHAnsi"/>
          <w:kern w:val="0"/>
          <w:sz w:val="24"/>
          <w:szCs w:val="24"/>
          <w14:ligatures w14:val="none"/>
        </w:rPr>
      </w:pPr>
      <w:r w:rsidRPr="00267206">
        <w:rPr>
          <w:rFonts w:cstheme="minorHAnsi"/>
          <w:color w:val="000000" w:themeColor="text1"/>
          <w:kern w:val="0"/>
          <w:sz w:val="24"/>
          <w:szCs w:val="24"/>
          <w14:ligatures w14:val="none"/>
        </w:rPr>
        <w:t xml:space="preserve">The Advanced Power Alliance (APA) and the American Clean Power Association (ACP) </w:t>
      </w:r>
      <w:r w:rsidRPr="00267206">
        <w:rPr>
          <w:rFonts w:cstheme="minorHAnsi"/>
          <w:kern w:val="0"/>
          <w:sz w:val="24"/>
          <w:szCs w:val="24"/>
          <w14:ligatures w14:val="none"/>
        </w:rPr>
        <w:t>serve as the voice of more than 800 member companies that represent a diverse cross-section of the world’s leading energy companies, energy investors, energy consumers, and power generation manufacturers from across the clean power sector that are driving high-tech innovation through the development of generation assets including wind, solar, and energy storage, spurring massive investment in the U.S. economy while creating jobs for American workers.</w:t>
      </w:r>
    </w:p>
    <w:p w14:paraId="06D3D20B" w14:textId="77777777" w:rsidR="00267206" w:rsidRDefault="00267206" w:rsidP="000D3813">
      <w:pPr>
        <w:spacing w:after="0" w:line="360" w:lineRule="auto"/>
        <w:ind w:firstLine="360"/>
        <w:jc w:val="both"/>
        <w:rPr>
          <w:rFonts w:cstheme="minorHAnsi"/>
          <w:kern w:val="0"/>
          <w:sz w:val="24"/>
          <w:szCs w:val="24"/>
          <w14:ligatures w14:val="none"/>
        </w:rPr>
      </w:pPr>
    </w:p>
    <w:p w14:paraId="7DCF6ACF" w14:textId="4C79659A" w:rsidR="000D3813" w:rsidRPr="00267206" w:rsidRDefault="000D3813" w:rsidP="000D3813">
      <w:pPr>
        <w:spacing w:after="0" w:line="360" w:lineRule="auto"/>
        <w:ind w:firstLine="360"/>
        <w:jc w:val="both"/>
        <w:rPr>
          <w:rFonts w:cstheme="minorHAnsi"/>
          <w:kern w:val="0"/>
          <w:sz w:val="24"/>
          <w:szCs w:val="24"/>
          <w14:ligatures w14:val="none"/>
        </w:rPr>
      </w:pPr>
      <w:r w:rsidRPr="00267206">
        <w:rPr>
          <w:rFonts w:cstheme="minorHAnsi"/>
          <w:kern w:val="0"/>
          <w:sz w:val="24"/>
          <w:szCs w:val="24"/>
          <w14:ligatures w14:val="none"/>
        </w:rPr>
        <w:t xml:space="preserve">Projects developed by our member companies and investors generate local tax revenue for schools, services, and infrastructure, as well multi-generational income for Texas landowners, mainly in rural Texas. </w:t>
      </w:r>
      <w:r w:rsidR="003D3CD2">
        <w:rPr>
          <w:rFonts w:cstheme="minorHAnsi"/>
          <w:kern w:val="0"/>
          <w:sz w:val="24"/>
          <w:szCs w:val="24"/>
          <w14:ligatures w14:val="none"/>
        </w:rPr>
        <w:t xml:space="preserve"> </w:t>
      </w:r>
      <w:r w:rsidRPr="00267206">
        <w:rPr>
          <w:rFonts w:cstheme="minorHAnsi"/>
          <w:kern w:val="0"/>
          <w:sz w:val="24"/>
          <w:szCs w:val="24"/>
          <w14:ligatures w14:val="none"/>
        </w:rPr>
        <w:t>Our members’ projects help to create cleaner air, water, and improved human health.</w:t>
      </w:r>
    </w:p>
    <w:p w14:paraId="1941944B" w14:textId="77777777" w:rsidR="000D3813" w:rsidRPr="00267206" w:rsidRDefault="000D3813" w:rsidP="000D3813">
      <w:pPr>
        <w:numPr>
          <w:ilvl w:val="0"/>
          <w:numId w:val="1"/>
        </w:numPr>
        <w:spacing w:after="0" w:line="360" w:lineRule="auto"/>
        <w:jc w:val="center"/>
        <w:rPr>
          <w:rFonts w:cstheme="minorHAnsi"/>
          <w:kern w:val="0"/>
          <w:sz w:val="24"/>
          <w:szCs w:val="24"/>
          <w:u w:val="single"/>
          <w14:ligatures w14:val="none"/>
        </w:rPr>
      </w:pPr>
      <w:r w:rsidRPr="00267206">
        <w:rPr>
          <w:rFonts w:cstheme="minorHAnsi"/>
          <w:kern w:val="0"/>
          <w:sz w:val="24"/>
          <w:szCs w:val="24"/>
          <w:lang w:bidi="en-US"/>
          <w14:ligatures w14:val="none"/>
        </w:rPr>
        <w:br w:type="page"/>
      </w:r>
      <w:r w:rsidRPr="00267206">
        <w:rPr>
          <w:rFonts w:cstheme="minorHAnsi"/>
          <w:b/>
          <w:bCs/>
          <w:kern w:val="0"/>
          <w:sz w:val="24"/>
          <w:szCs w:val="24"/>
          <w:u w:val="single"/>
          <w:lang w:bidi="en-US"/>
          <w14:ligatures w14:val="none"/>
        </w:rPr>
        <w:lastRenderedPageBreak/>
        <w:t>GENERAL COMMENTS</w:t>
      </w:r>
    </w:p>
    <w:p w14:paraId="03E2B5ED" w14:textId="683B91AC" w:rsidR="000D3813" w:rsidRPr="00267206" w:rsidRDefault="000D3813" w:rsidP="000D3813">
      <w:pPr>
        <w:spacing w:after="0" w:line="360" w:lineRule="auto"/>
        <w:ind w:firstLine="360"/>
        <w:rPr>
          <w:rFonts w:eastAsia="Times New Roman" w:cstheme="minorHAnsi"/>
          <w:color w:val="000000"/>
          <w:kern w:val="0"/>
          <w:sz w:val="24"/>
          <w:szCs w:val="24"/>
          <w14:ligatures w14:val="none"/>
        </w:rPr>
      </w:pPr>
      <w:r w:rsidRPr="00267206">
        <w:rPr>
          <w:rFonts w:eastAsia="Times New Roman" w:cstheme="minorHAnsi"/>
          <w:color w:val="000000"/>
          <w:kern w:val="0"/>
          <w:sz w:val="24"/>
          <w:szCs w:val="24"/>
          <w14:ligatures w14:val="none"/>
        </w:rPr>
        <w:t xml:space="preserve">APA and ACP appreciate the opportunity to provide comments on the questions staff presented related to defining a reliability standard for the ERCOT Region. </w:t>
      </w:r>
      <w:r w:rsidR="003D3CD2">
        <w:rPr>
          <w:rFonts w:eastAsia="Times New Roman" w:cstheme="minorHAnsi"/>
          <w:color w:val="000000"/>
          <w:kern w:val="0"/>
          <w:sz w:val="24"/>
          <w:szCs w:val="24"/>
          <w14:ligatures w14:val="none"/>
        </w:rPr>
        <w:t xml:space="preserve"> </w:t>
      </w:r>
      <w:r w:rsidRPr="00267206">
        <w:rPr>
          <w:rFonts w:eastAsia="Times New Roman" w:cstheme="minorHAnsi"/>
          <w:color w:val="000000"/>
          <w:kern w:val="0"/>
          <w:sz w:val="24"/>
          <w:szCs w:val="24"/>
          <w14:ligatures w14:val="none"/>
        </w:rPr>
        <w:t xml:space="preserve">We believe that </w:t>
      </w:r>
      <w:bookmarkStart w:id="3" w:name="_Hlk130991513"/>
      <w:r w:rsidRPr="00267206">
        <w:rPr>
          <w:rFonts w:eastAsia="Times New Roman" w:cstheme="minorHAnsi"/>
          <w:color w:val="000000"/>
          <w:kern w:val="0"/>
          <w:sz w:val="24"/>
          <w:szCs w:val="24"/>
          <w14:ligatures w14:val="none"/>
        </w:rPr>
        <w:t>the changing nature of both supply and demand-side resources and more extreme weather warrant the use of more refined resource adequacy metrics to understand system needs better and more precisely.</w:t>
      </w:r>
      <w:bookmarkEnd w:id="3"/>
    </w:p>
    <w:p w14:paraId="2B69ECD0" w14:textId="77777777" w:rsidR="000D3813" w:rsidRPr="00267206" w:rsidRDefault="000D3813" w:rsidP="000D3813">
      <w:pPr>
        <w:spacing w:after="0" w:line="360" w:lineRule="auto"/>
        <w:rPr>
          <w:rFonts w:eastAsia="Times New Roman" w:cstheme="minorHAnsi"/>
          <w:color w:val="000000"/>
          <w:kern w:val="0"/>
          <w:sz w:val="24"/>
          <w:szCs w:val="24"/>
          <w14:ligatures w14:val="none"/>
        </w:rPr>
      </w:pPr>
    </w:p>
    <w:p w14:paraId="75F2C76E" w14:textId="777EE5B7" w:rsidR="003C1A99" w:rsidRPr="001260CC" w:rsidRDefault="000D3813" w:rsidP="001260CC">
      <w:pPr>
        <w:spacing w:after="0" w:line="360" w:lineRule="auto"/>
        <w:ind w:firstLine="360"/>
        <w:rPr>
          <w:rFonts w:cstheme="minorHAnsi"/>
          <w:kern w:val="0"/>
          <w:sz w:val="24"/>
          <w:szCs w:val="24"/>
          <w14:ligatures w14:val="none"/>
        </w:rPr>
      </w:pPr>
      <w:bookmarkStart w:id="4" w:name="_Hlk130991641"/>
      <w:r w:rsidRPr="00267206">
        <w:rPr>
          <w:rFonts w:eastAsia="Times New Roman" w:cstheme="minorHAnsi"/>
          <w:color w:val="000000"/>
          <w:kern w:val="0"/>
          <w:sz w:val="24"/>
          <w:szCs w:val="24"/>
          <w14:ligatures w14:val="none"/>
        </w:rPr>
        <w:t>D</w:t>
      </w:r>
      <w:r w:rsidRPr="00267206">
        <w:rPr>
          <w:rFonts w:cstheme="minorHAnsi"/>
          <w:kern w:val="0"/>
          <w:sz w:val="24"/>
          <w:szCs w:val="24"/>
          <w14:ligatures w14:val="none"/>
        </w:rPr>
        <w:t xml:space="preserve">ifferent reliability metrics serve different purposes.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While the one day in ten years Loss Of Load Expectation (LOLE) (1-in-10) standard is still widely utilized, this metric has lost some of its usefulness as the grid has evolved. </w:t>
      </w:r>
      <w:r w:rsidR="003D3CD2">
        <w:rPr>
          <w:rFonts w:cstheme="minorHAnsi"/>
          <w:kern w:val="0"/>
          <w:sz w:val="24"/>
          <w:szCs w:val="24"/>
          <w14:ligatures w14:val="none"/>
        </w:rPr>
        <w:t xml:space="preserve"> </w:t>
      </w:r>
      <w:r w:rsidR="001F09FC" w:rsidRPr="00267206">
        <w:rPr>
          <w:rFonts w:cstheme="minorHAnsi"/>
          <w:kern w:val="0"/>
          <w:sz w:val="24"/>
          <w:szCs w:val="24"/>
          <w14:ligatures w14:val="none"/>
        </w:rPr>
        <w:t>For this reason, o</w:t>
      </w:r>
      <w:r w:rsidRPr="00267206">
        <w:rPr>
          <w:rFonts w:cstheme="minorHAnsi"/>
          <w:kern w:val="0"/>
          <w:sz w:val="24"/>
          <w:szCs w:val="24"/>
          <w14:ligatures w14:val="none"/>
        </w:rPr>
        <w:t>ther markets are currently considering alternatives to the LOLE as the single metric.</w:t>
      </w:r>
      <w:r w:rsidR="001260CC">
        <w:rPr>
          <w:rFonts w:cstheme="minorHAnsi"/>
          <w:kern w:val="0"/>
          <w:sz w:val="24"/>
          <w:szCs w:val="24"/>
          <w14:ligatures w14:val="none"/>
        </w:rPr>
        <w:t xml:space="preserve">  </w:t>
      </w:r>
      <w:r w:rsidRPr="00267206">
        <w:rPr>
          <w:rFonts w:eastAsia="Times New Roman" w:cstheme="minorHAnsi"/>
          <w:color w:val="000000"/>
          <w:kern w:val="0"/>
          <w:sz w:val="24"/>
          <w:szCs w:val="24"/>
          <w14:ligatures w14:val="none"/>
        </w:rPr>
        <w:t xml:space="preserve">The 1-in-10 standard considers only the likelihood of an outage occurring and not the amount of electricity that is expected to be lost as a result. </w:t>
      </w:r>
      <w:r w:rsidR="003D3CD2">
        <w:rPr>
          <w:rFonts w:eastAsia="Times New Roman" w:cstheme="minorHAnsi"/>
          <w:color w:val="000000"/>
          <w:kern w:val="0"/>
          <w:sz w:val="24"/>
          <w:szCs w:val="24"/>
          <w14:ligatures w14:val="none"/>
        </w:rPr>
        <w:t xml:space="preserve"> </w:t>
      </w:r>
      <w:r w:rsidRPr="00267206">
        <w:rPr>
          <w:rFonts w:eastAsia="Times New Roman" w:cstheme="minorHAnsi"/>
          <w:color w:val="000000"/>
          <w:kern w:val="0"/>
          <w:sz w:val="24"/>
          <w:szCs w:val="24"/>
          <w14:ligatures w14:val="none"/>
        </w:rPr>
        <w:t>This standard can have the effect of overstating capacity needs which is unnecessarily costly for consumers without providing additional benefit.</w:t>
      </w:r>
    </w:p>
    <w:bookmarkEnd w:id="4"/>
    <w:p w14:paraId="66DB03DB" w14:textId="77777777" w:rsidR="003C1A99" w:rsidRDefault="003C1A99" w:rsidP="000D3813">
      <w:pPr>
        <w:spacing w:after="0" w:line="360" w:lineRule="auto"/>
        <w:ind w:firstLine="360"/>
        <w:rPr>
          <w:rFonts w:eastAsia="Times New Roman" w:cstheme="minorHAnsi"/>
          <w:color w:val="000000"/>
          <w:kern w:val="0"/>
          <w:sz w:val="24"/>
          <w:szCs w:val="24"/>
          <w14:ligatures w14:val="none"/>
        </w:rPr>
      </w:pPr>
    </w:p>
    <w:p w14:paraId="38CDBEA3" w14:textId="1E98ACE2" w:rsidR="000D3813" w:rsidRPr="00267206" w:rsidRDefault="000D3813" w:rsidP="000D3813">
      <w:pPr>
        <w:spacing w:after="0" w:line="360" w:lineRule="auto"/>
        <w:ind w:firstLine="360"/>
        <w:rPr>
          <w:rFonts w:eastAsia="Times New Roman" w:cstheme="minorHAnsi"/>
          <w:kern w:val="0"/>
          <w:sz w:val="24"/>
          <w:szCs w:val="24"/>
          <w14:ligatures w14:val="none"/>
        </w:rPr>
      </w:pPr>
      <w:r w:rsidRPr="00267206">
        <w:rPr>
          <w:rFonts w:eastAsia="Times New Roman" w:cstheme="minorHAnsi"/>
          <w:color w:val="000000"/>
          <w:kern w:val="0"/>
          <w:sz w:val="24"/>
          <w:szCs w:val="24"/>
          <w14:ligatures w14:val="none"/>
        </w:rPr>
        <w:t xml:space="preserve">The types of reliability events that arise today are much more varied and a broader set of reliability metrics are needed to ensure resource adequacy to meet demand. </w:t>
      </w:r>
      <w:r w:rsidR="003D3CD2">
        <w:rPr>
          <w:rFonts w:eastAsia="Times New Roman" w:cstheme="minorHAnsi"/>
          <w:color w:val="000000"/>
          <w:kern w:val="0"/>
          <w:sz w:val="24"/>
          <w:szCs w:val="24"/>
          <w14:ligatures w14:val="none"/>
        </w:rPr>
        <w:t xml:space="preserve"> </w:t>
      </w:r>
      <w:r w:rsidRPr="00267206">
        <w:rPr>
          <w:rFonts w:eastAsia="Times New Roman" w:cstheme="minorHAnsi"/>
          <w:color w:val="000000"/>
          <w:kern w:val="0"/>
          <w:sz w:val="24"/>
          <w:szCs w:val="24"/>
          <w14:ligatures w14:val="none"/>
        </w:rPr>
        <w:t xml:space="preserve">Understanding the size, frequency, duration, and timing of potential shortfalls is essential to finding the right resource solutions. </w:t>
      </w:r>
      <w:r w:rsidR="003D3CD2">
        <w:rPr>
          <w:rFonts w:eastAsia="Times New Roman" w:cstheme="minorHAnsi"/>
          <w:color w:val="000000"/>
          <w:kern w:val="0"/>
          <w:sz w:val="24"/>
          <w:szCs w:val="24"/>
          <w14:ligatures w14:val="none"/>
        </w:rPr>
        <w:t xml:space="preserve"> </w:t>
      </w:r>
      <w:r w:rsidRPr="00267206">
        <w:rPr>
          <w:rFonts w:eastAsia="Times New Roman" w:cstheme="minorHAnsi"/>
          <w:color w:val="000000"/>
          <w:kern w:val="0"/>
          <w:sz w:val="24"/>
          <w:szCs w:val="24"/>
          <w14:ligatures w14:val="none"/>
        </w:rPr>
        <w:t xml:space="preserve">LOLE is an inadequate metric on its own because it provides limited information on a shortfall’s event size and duration. </w:t>
      </w:r>
      <w:r w:rsidR="003D3CD2">
        <w:rPr>
          <w:rFonts w:eastAsia="Times New Roman" w:cstheme="minorHAnsi"/>
          <w:color w:val="000000"/>
          <w:kern w:val="0"/>
          <w:sz w:val="24"/>
          <w:szCs w:val="24"/>
          <w14:ligatures w14:val="none"/>
        </w:rPr>
        <w:t xml:space="preserve"> </w:t>
      </w:r>
      <w:r w:rsidRPr="00267206">
        <w:rPr>
          <w:rFonts w:eastAsia="Times New Roman" w:cstheme="minorHAnsi"/>
          <w:color w:val="000000"/>
          <w:kern w:val="0"/>
          <w:sz w:val="24"/>
          <w:szCs w:val="24"/>
          <w14:ligatures w14:val="none"/>
        </w:rPr>
        <w:t>This makes it difficult to know the true impact of potential shortfalls and nearly impossible to determine the types of resources necessary to reduce the number of shortfalls.</w:t>
      </w:r>
      <w:r w:rsidRPr="00267206">
        <w:rPr>
          <w:rFonts w:eastAsia="Times New Roman" w:cstheme="minorHAnsi"/>
          <w:color w:val="000000"/>
          <w:kern w:val="0"/>
          <w:sz w:val="24"/>
          <w:szCs w:val="24"/>
          <w:vertAlign w:val="superscript"/>
          <w14:ligatures w14:val="none"/>
        </w:rPr>
        <w:footnoteReference w:id="1"/>
      </w:r>
    </w:p>
    <w:p w14:paraId="48174EC7" w14:textId="77777777" w:rsidR="000D3813" w:rsidRPr="00267206" w:rsidRDefault="000D3813" w:rsidP="000D3813">
      <w:pPr>
        <w:spacing w:after="0" w:line="360" w:lineRule="auto"/>
        <w:rPr>
          <w:rFonts w:eastAsia="Times New Roman" w:cstheme="minorHAnsi"/>
          <w:kern w:val="0"/>
          <w:sz w:val="24"/>
          <w:szCs w:val="24"/>
          <w14:ligatures w14:val="none"/>
        </w:rPr>
      </w:pPr>
    </w:p>
    <w:p w14:paraId="20730888" w14:textId="017F6FD7" w:rsidR="003C1A99" w:rsidRDefault="000D3813" w:rsidP="003C1A99">
      <w:pPr>
        <w:spacing w:after="0" w:line="360" w:lineRule="auto"/>
        <w:ind w:firstLine="360"/>
        <w:rPr>
          <w:rFonts w:cstheme="minorHAnsi"/>
          <w:kern w:val="0"/>
          <w:sz w:val="24"/>
          <w:szCs w:val="24"/>
          <w14:ligatures w14:val="none"/>
        </w:rPr>
      </w:pPr>
      <w:r w:rsidRPr="00267206">
        <w:rPr>
          <w:rFonts w:cstheme="minorHAnsi"/>
          <w:kern w:val="0"/>
          <w:sz w:val="24"/>
          <w:szCs w:val="24"/>
          <w14:ligatures w14:val="none"/>
        </w:rPr>
        <w:t xml:space="preserve">A recent study performed by Southwest Power Pool (SPP) showed that under certain conditions, the number of outages (i.e., LOLE) could remain low even as the magnitude of those outages (i.e., expected unserved energy or EUE) increased exponentially concluding that the one day in ten years metric might not be appropriate to apply to a system with a high penetration of </w:t>
      </w:r>
      <w:r w:rsidR="003C1A99" w:rsidRPr="00267206">
        <w:rPr>
          <w:rFonts w:cstheme="minorHAnsi"/>
          <w:kern w:val="0"/>
          <w:sz w:val="24"/>
          <w:szCs w:val="24"/>
          <w14:ligatures w14:val="none"/>
        </w:rPr>
        <w:t>renewables.</w:t>
      </w:r>
      <w:r w:rsidR="008C1473">
        <w:rPr>
          <w:rStyle w:val="FootnoteReference"/>
          <w:rFonts w:cstheme="minorHAnsi"/>
          <w:kern w:val="0"/>
          <w:sz w:val="24"/>
          <w:szCs w:val="24"/>
          <w14:ligatures w14:val="none"/>
        </w:rPr>
        <w:footnoteReference w:id="2"/>
      </w:r>
      <w:r w:rsidR="003C1A99"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003C1A99" w:rsidRPr="00267206">
        <w:rPr>
          <w:rFonts w:cstheme="minorHAnsi"/>
          <w:kern w:val="0"/>
          <w:sz w:val="24"/>
          <w:szCs w:val="24"/>
          <w14:ligatures w14:val="none"/>
        </w:rPr>
        <w:t>To</w:t>
      </w:r>
      <w:r w:rsidRPr="00267206">
        <w:rPr>
          <w:rFonts w:cstheme="minorHAnsi"/>
          <w:kern w:val="0"/>
          <w:sz w:val="24"/>
          <w:szCs w:val="24"/>
          <w14:ligatures w14:val="none"/>
        </w:rPr>
        <w:t xml:space="preserve"> further illustrate the deficiency of relying solely on </w:t>
      </w:r>
      <w:r w:rsidR="00563147">
        <w:rPr>
          <w:rFonts w:cstheme="minorHAnsi"/>
          <w:kern w:val="0"/>
          <w:sz w:val="24"/>
          <w:szCs w:val="24"/>
          <w14:ligatures w14:val="none"/>
        </w:rPr>
        <w:t xml:space="preserve">the </w:t>
      </w:r>
      <w:r w:rsidRPr="00267206">
        <w:rPr>
          <w:rFonts w:cstheme="minorHAnsi"/>
          <w:kern w:val="0"/>
          <w:sz w:val="24"/>
          <w:szCs w:val="24"/>
          <w14:ligatures w14:val="none"/>
        </w:rPr>
        <w:t>LOLE metric, ERCOT expected a reserve margin of 16.2% prior to Winter Storm Uri, but, on February 15, 2021, experienced a -21.1% reserve margin instead.</w:t>
      </w:r>
      <w:r w:rsidR="008C1473">
        <w:rPr>
          <w:rStyle w:val="FootnoteReference"/>
          <w:rFonts w:cstheme="minorHAnsi"/>
          <w:kern w:val="0"/>
          <w:sz w:val="24"/>
          <w:szCs w:val="24"/>
          <w14:ligatures w14:val="none"/>
        </w:rPr>
        <w:footnoteReference w:id="3"/>
      </w:r>
    </w:p>
    <w:p w14:paraId="43BAC287" w14:textId="77777777" w:rsidR="003C1A99" w:rsidRDefault="003C1A99" w:rsidP="003C1A99">
      <w:pPr>
        <w:spacing w:after="0" w:line="360" w:lineRule="auto"/>
        <w:ind w:firstLine="360"/>
        <w:rPr>
          <w:rFonts w:cstheme="minorHAnsi"/>
          <w:kern w:val="0"/>
          <w:sz w:val="24"/>
          <w:szCs w:val="24"/>
          <w14:ligatures w14:val="none"/>
        </w:rPr>
      </w:pPr>
    </w:p>
    <w:p w14:paraId="413600C9" w14:textId="3162A5C8" w:rsidR="000D3813" w:rsidRPr="00267206" w:rsidRDefault="00AF554D" w:rsidP="003C1A99">
      <w:pPr>
        <w:spacing w:after="0" w:line="360" w:lineRule="auto"/>
        <w:ind w:firstLine="360"/>
        <w:rPr>
          <w:rFonts w:cstheme="minorHAnsi"/>
          <w:kern w:val="0"/>
          <w:sz w:val="24"/>
          <w:szCs w:val="24"/>
          <w14:ligatures w14:val="none"/>
        </w:rPr>
      </w:pPr>
      <w:r w:rsidRPr="00267206">
        <w:rPr>
          <w:rFonts w:cstheme="minorHAnsi"/>
          <w:kern w:val="0"/>
          <w:sz w:val="24"/>
          <w:szCs w:val="24"/>
          <w14:ligatures w14:val="none"/>
        </w:rPr>
        <w:t>E</w:t>
      </w:r>
      <w:r w:rsidR="003C1A99">
        <w:rPr>
          <w:rFonts w:cstheme="minorHAnsi"/>
          <w:kern w:val="0"/>
          <w:sz w:val="24"/>
          <w:szCs w:val="24"/>
          <w14:ligatures w14:val="none"/>
        </w:rPr>
        <w:t>nergy and Environmental Economics’, Inc. (E</w:t>
      </w:r>
      <w:r w:rsidRPr="00267206">
        <w:rPr>
          <w:rFonts w:cstheme="minorHAnsi"/>
          <w:kern w:val="0"/>
          <w:sz w:val="24"/>
          <w:szCs w:val="24"/>
          <w14:ligatures w14:val="none"/>
        </w:rPr>
        <w:t>3</w:t>
      </w:r>
      <w:r w:rsidR="003C1A99">
        <w:rPr>
          <w:rFonts w:cstheme="minorHAnsi"/>
          <w:kern w:val="0"/>
          <w:sz w:val="24"/>
          <w:szCs w:val="24"/>
          <w14:ligatures w14:val="none"/>
        </w:rPr>
        <w:t>)</w:t>
      </w:r>
      <w:r w:rsidRPr="00267206">
        <w:rPr>
          <w:rFonts w:cstheme="minorHAnsi"/>
          <w:kern w:val="0"/>
          <w:sz w:val="24"/>
          <w:szCs w:val="24"/>
          <w14:ligatures w14:val="none"/>
        </w:rPr>
        <w:t xml:space="preserve"> assessment of the status quo demonstrates that the LOLE metric is not the appropriate target.</w:t>
      </w:r>
      <w:r w:rsidR="003C1A99">
        <w:rPr>
          <w:rFonts w:cstheme="minorHAnsi"/>
          <w:kern w:val="0"/>
          <w:sz w:val="24"/>
          <w:szCs w:val="24"/>
          <w14:ligatures w14:val="none"/>
        </w:rPr>
        <w:t xml:space="preserve"> </w:t>
      </w:r>
      <w:r w:rsidR="003D3CD2">
        <w:rPr>
          <w:rFonts w:cstheme="minorHAnsi"/>
          <w:kern w:val="0"/>
          <w:sz w:val="24"/>
          <w:szCs w:val="24"/>
          <w14:ligatures w14:val="none"/>
        </w:rPr>
        <w:t xml:space="preserve"> </w:t>
      </w:r>
      <w:r w:rsidRPr="00267206">
        <w:rPr>
          <w:rFonts w:cstheme="minorHAnsi"/>
          <w:kern w:val="0"/>
          <w:sz w:val="24"/>
          <w:szCs w:val="24"/>
          <w14:ligatures w14:val="none"/>
        </w:rPr>
        <w:t>According to E3, the energy-only market in Texas in 2022 achieved a LOLE target of 0.03 days per year, remarkably better than the industry standard of 0.1 days per year.</w:t>
      </w:r>
      <w:r w:rsidR="00F6359B">
        <w:rPr>
          <w:rStyle w:val="FootnoteReference"/>
          <w:rFonts w:cstheme="minorHAnsi"/>
          <w:kern w:val="0"/>
          <w:sz w:val="24"/>
          <w:szCs w:val="24"/>
          <w14:ligatures w14:val="none"/>
        </w:rPr>
        <w:footnoteReference w:id="4"/>
      </w:r>
      <w:r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However, during calendar year 2022, ERCOT operated on the brink of power outages multiple times and yet, the LOLE metric failed to capture these occurrences. </w:t>
      </w:r>
      <w:r w:rsidR="003D3CD2">
        <w:rPr>
          <w:rFonts w:cstheme="minorHAnsi"/>
          <w:kern w:val="0"/>
          <w:sz w:val="24"/>
          <w:szCs w:val="24"/>
          <w14:ligatures w14:val="none"/>
        </w:rPr>
        <w:t xml:space="preserve"> </w:t>
      </w:r>
      <w:r w:rsidRPr="00267206">
        <w:rPr>
          <w:rFonts w:cstheme="minorHAnsi"/>
          <w:kern w:val="0"/>
          <w:sz w:val="24"/>
          <w:szCs w:val="24"/>
          <w14:ligatures w14:val="none"/>
        </w:rPr>
        <w:t>The Commission cannot expect a market design aimed solely at achieving this arbitrarily selected metric to improve reliability when the same metric indicates that there is no reliability problem to begin with, despite evidence to the contrary.</w:t>
      </w:r>
    </w:p>
    <w:p w14:paraId="4FC8E65A" w14:textId="77777777" w:rsidR="000D3813" w:rsidRPr="00267206" w:rsidRDefault="000D3813" w:rsidP="000D3813">
      <w:pPr>
        <w:spacing w:after="0" w:line="360" w:lineRule="auto"/>
        <w:rPr>
          <w:rFonts w:cstheme="minorHAnsi"/>
          <w:kern w:val="0"/>
          <w:sz w:val="24"/>
          <w:szCs w:val="24"/>
          <w14:ligatures w14:val="none"/>
        </w:rPr>
      </w:pPr>
    </w:p>
    <w:p w14:paraId="6939E189" w14:textId="41BE9F09" w:rsidR="000D3813" w:rsidRPr="00267206" w:rsidRDefault="000D3813" w:rsidP="000D3813">
      <w:pPr>
        <w:spacing w:after="0" w:line="360" w:lineRule="auto"/>
        <w:ind w:firstLine="360"/>
        <w:rPr>
          <w:rFonts w:cstheme="minorHAnsi"/>
          <w:kern w:val="0"/>
          <w:sz w:val="24"/>
          <w:szCs w:val="24"/>
          <w14:ligatures w14:val="none"/>
        </w:rPr>
      </w:pPr>
      <w:r w:rsidRPr="00267206">
        <w:rPr>
          <w:rFonts w:cstheme="minorHAnsi"/>
          <w:kern w:val="0"/>
          <w:sz w:val="24"/>
          <w:szCs w:val="24"/>
          <w14:ligatures w14:val="none"/>
        </w:rPr>
        <w:t xml:space="preserve">APA and ACP urge the Commission to carefully consider a variety of metrics rather than adopting and relying upon a single metric. </w:t>
      </w:r>
      <w:r w:rsidR="003D3CD2">
        <w:rPr>
          <w:rFonts w:cstheme="minorHAnsi"/>
          <w:kern w:val="0"/>
          <w:sz w:val="24"/>
          <w:szCs w:val="24"/>
          <w14:ligatures w14:val="none"/>
        </w:rPr>
        <w:t xml:space="preserve"> </w:t>
      </w:r>
      <w:r w:rsidRPr="00267206">
        <w:rPr>
          <w:rFonts w:cstheme="minorHAnsi"/>
          <w:kern w:val="0"/>
          <w:sz w:val="24"/>
          <w:szCs w:val="24"/>
          <w14:ligatures w14:val="none"/>
        </w:rPr>
        <w:t>The Commission should also consider other metrics besides LOLE and EUE including the economically optimal reserve margin as described by the Brattle Group. According to the Brattle Group, the economically optimal reserve margin minimizes total system costs by weighing: (1) increasing capital costs of building more generation plants to achieve the higher reserve margins, against (2) decreasing scarcity-event-related costs as higher reserve margins help to avoid load shedding, reserve shortages, demand-response calls, and other emergency event costs.</w:t>
      </w:r>
      <w:r w:rsidR="00267567">
        <w:rPr>
          <w:rStyle w:val="FootnoteReference"/>
          <w:rFonts w:cstheme="minorHAnsi"/>
          <w:kern w:val="0"/>
          <w:sz w:val="24"/>
          <w:szCs w:val="24"/>
          <w14:ligatures w14:val="none"/>
        </w:rPr>
        <w:footnoteReference w:id="5"/>
      </w:r>
    </w:p>
    <w:p w14:paraId="6C8E329D" w14:textId="77777777" w:rsidR="000D3813" w:rsidRPr="00267206" w:rsidRDefault="000D3813" w:rsidP="000D3813">
      <w:pPr>
        <w:spacing w:after="0" w:line="360" w:lineRule="auto"/>
        <w:rPr>
          <w:rFonts w:cstheme="minorHAnsi"/>
          <w:kern w:val="0"/>
          <w:sz w:val="24"/>
          <w:szCs w:val="24"/>
          <w14:ligatures w14:val="none"/>
        </w:rPr>
      </w:pPr>
    </w:p>
    <w:p w14:paraId="2B64F3BA" w14:textId="622DF47C" w:rsidR="000D3813" w:rsidRPr="00267206" w:rsidRDefault="000D3813" w:rsidP="00267206">
      <w:pPr>
        <w:spacing w:after="0" w:line="360" w:lineRule="auto"/>
        <w:ind w:firstLine="360"/>
        <w:rPr>
          <w:rFonts w:cstheme="minorHAnsi"/>
          <w:kern w:val="0"/>
          <w:sz w:val="24"/>
          <w:szCs w:val="24"/>
          <w14:ligatures w14:val="none"/>
        </w:rPr>
      </w:pPr>
      <w:r w:rsidRPr="00267206">
        <w:rPr>
          <w:rFonts w:cstheme="minorHAnsi"/>
          <w:kern w:val="0"/>
          <w:sz w:val="24"/>
          <w:szCs w:val="24"/>
          <w14:ligatures w14:val="none"/>
        </w:rPr>
        <w:t>As the variability of both demand and supply continue to increase, it will become more important to analyze the specific risks of extreme outcomes, not just include the extreme outcomes in an average with all other outcomes.</w:t>
      </w:r>
    </w:p>
    <w:p w14:paraId="5AE6E5F5" w14:textId="77777777" w:rsidR="000D3813" w:rsidRPr="00267206" w:rsidRDefault="000D3813" w:rsidP="000D3813">
      <w:pPr>
        <w:spacing w:after="0" w:line="360" w:lineRule="auto"/>
        <w:rPr>
          <w:rFonts w:cstheme="minorHAnsi"/>
          <w:kern w:val="0"/>
          <w:sz w:val="24"/>
          <w:szCs w:val="24"/>
          <w14:ligatures w14:val="none"/>
        </w:rPr>
      </w:pPr>
    </w:p>
    <w:p w14:paraId="6710DB77" w14:textId="77777777" w:rsidR="000D3813" w:rsidRPr="00267206" w:rsidRDefault="000D3813" w:rsidP="000D3813">
      <w:pPr>
        <w:numPr>
          <w:ilvl w:val="0"/>
          <w:numId w:val="1"/>
        </w:numPr>
        <w:spacing w:after="0" w:line="360" w:lineRule="auto"/>
        <w:jc w:val="center"/>
        <w:rPr>
          <w:rFonts w:eastAsia="Times New Roman" w:cstheme="minorHAnsi"/>
          <w:kern w:val="0"/>
          <w:sz w:val="24"/>
          <w:szCs w:val="24"/>
          <w14:ligatures w14:val="none"/>
        </w:rPr>
      </w:pPr>
      <w:r w:rsidRPr="00267206">
        <w:rPr>
          <w:rFonts w:eastAsiaTheme="minorEastAsia" w:cstheme="minorHAnsi"/>
          <w:b/>
          <w:bCs/>
          <w:kern w:val="0"/>
          <w:sz w:val="24"/>
          <w:szCs w:val="24"/>
          <w:u w:val="single"/>
          <w14:ligatures w14:val="none"/>
        </w:rPr>
        <w:t>RESPONSES TO COMMISSION STAFF’S QUESTIONS</w:t>
      </w:r>
    </w:p>
    <w:p w14:paraId="0CC060EA" w14:textId="77777777" w:rsidR="000D3813" w:rsidRPr="00267206" w:rsidRDefault="000D3813" w:rsidP="000D3813">
      <w:pPr>
        <w:spacing w:after="0" w:line="240" w:lineRule="auto"/>
        <w:rPr>
          <w:rFonts w:cstheme="minorHAnsi"/>
          <w:kern w:val="0"/>
          <w:sz w:val="24"/>
          <w:szCs w:val="24"/>
          <w14:ligatures w14:val="none"/>
        </w:rPr>
      </w:pPr>
    </w:p>
    <w:p w14:paraId="4B52AE13" w14:textId="77777777" w:rsidR="000D3813" w:rsidRPr="00267206" w:rsidRDefault="000D3813" w:rsidP="000D3813">
      <w:pPr>
        <w:spacing w:after="0" w:line="240" w:lineRule="auto"/>
        <w:rPr>
          <w:rFonts w:cstheme="minorHAnsi"/>
          <w:b/>
          <w:bCs/>
          <w:kern w:val="0"/>
          <w:sz w:val="24"/>
          <w:szCs w:val="24"/>
          <w14:ligatures w14:val="none"/>
        </w:rPr>
      </w:pPr>
      <w:r w:rsidRPr="00267206">
        <w:rPr>
          <w:rFonts w:cstheme="minorHAnsi"/>
          <w:b/>
          <w:bCs/>
          <w:kern w:val="0"/>
          <w:sz w:val="24"/>
          <w:szCs w:val="24"/>
          <w14:ligatures w14:val="none"/>
        </w:rPr>
        <w:t xml:space="preserve">(1) The Commission has previously considered various reliability metrics, such as Loss of Load Expectation (LOLE), Loss of Load Hours (LOLH), and Expected Unserved Energy (EUE). - Which reliability metrics, including those not previously studied, should the Commission consider in establishing a reliability standard for the ERCOT power region? - Which reliability metric, or combination of reliability metrics, should the Commission adopt for the reliability standard in ERCOT? - What are the advantages of your chosen reliability metrics, and what are the disadvantages of alternative approaches? </w:t>
      </w:r>
    </w:p>
    <w:p w14:paraId="3DECEA2A" w14:textId="77777777" w:rsidR="000D3813" w:rsidRPr="00267206" w:rsidRDefault="000D3813" w:rsidP="000D3813">
      <w:pPr>
        <w:spacing w:after="0" w:line="360" w:lineRule="auto"/>
        <w:rPr>
          <w:rFonts w:cstheme="minorHAnsi"/>
          <w:b/>
          <w:bCs/>
          <w:kern w:val="0"/>
          <w:sz w:val="24"/>
          <w:szCs w:val="24"/>
          <w14:ligatures w14:val="none"/>
        </w:rPr>
      </w:pPr>
    </w:p>
    <w:p w14:paraId="44E0303D" w14:textId="77777777" w:rsidR="000D3813" w:rsidRPr="00267206" w:rsidRDefault="000D3813" w:rsidP="000D3813">
      <w:pPr>
        <w:spacing w:after="0" w:line="360" w:lineRule="auto"/>
        <w:rPr>
          <w:rFonts w:cstheme="minorHAnsi"/>
          <w:b/>
          <w:bCs/>
          <w:kern w:val="0"/>
          <w:sz w:val="24"/>
          <w:szCs w:val="24"/>
          <w14:ligatures w14:val="none"/>
        </w:rPr>
      </w:pPr>
      <w:bookmarkStart w:id="5" w:name="_Hlk130830554"/>
      <w:r w:rsidRPr="00267206">
        <w:rPr>
          <w:rFonts w:cstheme="minorHAnsi"/>
          <w:b/>
          <w:bCs/>
          <w:kern w:val="0"/>
          <w:sz w:val="24"/>
          <w:szCs w:val="24"/>
          <w14:ligatures w14:val="none"/>
        </w:rPr>
        <w:t>APA/ACP RESPONSE:</w:t>
      </w:r>
    </w:p>
    <w:bookmarkEnd w:id="5"/>
    <w:p w14:paraId="35407D5C" w14:textId="28251035" w:rsidR="002F3AB2" w:rsidRPr="00267206" w:rsidRDefault="000D3813" w:rsidP="000D3813">
      <w:pPr>
        <w:spacing w:after="0" w:line="360" w:lineRule="auto"/>
        <w:ind w:firstLine="720"/>
        <w:rPr>
          <w:rFonts w:cstheme="minorHAnsi"/>
          <w:kern w:val="0"/>
          <w:sz w:val="24"/>
          <w:szCs w:val="24"/>
          <w14:ligatures w14:val="none"/>
        </w:rPr>
      </w:pPr>
      <w:r w:rsidRPr="00267206">
        <w:rPr>
          <w:rFonts w:cstheme="minorHAnsi"/>
          <w:kern w:val="0"/>
          <w:sz w:val="24"/>
          <w:szCs w:val="24"/>
          <w14:ligatures w14:val="none"/>
        </w:rPr>
        <w:t xml:space="preserve">APA and ACP believe that with the changing nature of both supply and demand side resources and more extreme weather events, the traditional 1-in-10 LOLE threshold could serve as a reliability floor.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However, LOLE by itself does not paint a full picture of </w:t>
      </w:r>
      <w:r w:rsidR="000D49E5" w:rsidRPr="00267206">
        <w:rPr>
          <w:rFonts w:cstheme="minorHAnsi"/>
          <w:kern w:val="0"/>
          <w:sz w:val="24"/>
          <w:szCs w:val="24"/>
          <w14:ligatures w14:val="none"/>
        </w:rPr>
        <w:t xml:space="preserve">reliability </w:t>
      </w:r>
      <w:r w:rsidRPr="00267206">
        <w:rPr>
          <w:rFonts w:cstheme="minorHAnsi"/>
          <w:kern w:val="0"/>
          <w:sz w:val="24"/>
          <w:szCs w:val="24"/>
          <w14:ligatures w14:val="none"/>
        </w:rPr>
        <w:t>because it only describes the frequency of loss of load event</w:t>
      </w:r>
      <w:r w:rsidR="000D49E5" w:rsidRPr="00267206">
        <w:rPr>
          <w:rFonts w:cstheme="minorHAnsi"/>
          <w:kern w:val="0"/>
          <w:sz w:val="24"/>
          <w:szCs w:val="24"/>
          <w14:ligatures w14:val="none"/>
        </w:rPr>
        <w:t>s,</w:t>
      </w:r>
      <w:r w:rsidRPr="00267206">
        <w:rPr>
          <w:rFonts w:cstheme="minorHAnsi"/>
          <w:kern w:val="0"/>
          <w:sz w:val="24"/>
          <w:szCs w:val="24"/>
          <w14:ligatures w14:val="none"/>
        </w:rPr>
        <w:t xml:space="preserve"> not the</w:t>
      </w:r>
      <w:r w:rsidR="000D49E5" w:rsidRPr="00267206">
        <w:rPr>
          <w:rFonts w:cstheme="minorHAnsi"/>
          <w:kern w:val="0"/>
          <w:sz w:val="24"/>
          <w:szCs w:val="24"/>
          <w14:ligatures w14:val="none"/>
        </w:rPr>
        <w:t>ir</w:t>
      </w:r>
      <w:r w:rsidRPr="00267206">
        <w:rPr>
          <w:rFonts w:cstheme="minorHAnsi"/>
          <w:kern w:val="0"/>
          <w:sz w:val="24"/>
          <w:szCs w:val="24"/>
          <w14:ligatures w14:val="none"/>
        </w:rPr>
        <w:t xml:space="preserve"> magnitude</w:t>
      </w:r>
      <w:r w:rsidR="000D49E5" w:rsidRPr="00267206">
        <w:rPr>
          <w:rFonts w:cstheme="minorHAnsi"/>
          <w:kern w:val="0"/>
          <w:sz w:val="24"/>
          <w:szCs w:val="24"/>
          <w14:ligatures w14:val="none"/>
        </w:rPr>
        <w:t xml:space="preserve"> or duration</w:t>
      </w:r>
      <w:r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00D0061B" w:rsidRPr="00267206">
        <w:rPr>
          <w:rFonts w:cstheme="minorHAnsi"/>
          <w:kern w:val="0"/>
          <w:sz w:val="24"/>
          <w:szCs w:val="24"/>
          <w14:ligatures w14:val="none"/>
        </w:rPr>
        <w:t xml:space="preserve">An </w:t>
      </w:r>
      <w:r w:rsidRPr="00267206">
        <w:rPr>
          <w:rFonts w:cstheme="minorHAnsi"/>
          <w:kern w:val="0"/>
          <w:sz w:val="24"/>
          <w:szCs w:val="24"/>
          <w14:ligatures w14:val="none"/>
        </w:rPr>
        <w:t xml:space="preserve">LOLE standard </w:t>
      </w:r>
      <w:r w:rsidR="00D0061B" w:rsidRPr="00267206">
        <w:rPr>
          <w:rFonts w:cstheme="minorHAnsi"/>
          <w:kern w:val="0"/>
          <w:sz w:val="24"/>
          <w:szCs w:val="24"/>
          <w14:ligatures w14:val="none"/>
        </w:rPr>
        <w:t xml:space="preserve">would view </w:t>
      </w:r>
      <w:r w:rsidR="001354F4" w:rsidRPr="00267206">
        <w:rPr>
          <w:rFonts w:cstheme="minorHAnsi"/>
          <w:kern w:val="0"/>
          <w:sz w:val="24"/>
          <w:szCs w:val="24"/>
          <w14:ligatures w14:val="none"/>
        </w:rPr>
        <w:t xml:space="preserve">a </w:t>
      </w:r>
      <w:r w:rsidR="00D0061B" w:rsidRPr="00267206">
        <w:rPr>
          <w:rFonts w:cstheme="minorHAnsi"/>
          <w:kern w:val="0"/>
          <w:sz w:val="24"/>
          <w:szCs w:val="24"/>
          <w14:ligatures w14:val="none"/>
        </w:rPr>
        <w:t xml:space="preserve">loss of load event of a mere </w:t>
      </w:r>
      <w:r w:rsidRPr="00267206">
        <w:rPr>
          <w:rFonts w:cstheme="minorHAnsi"/>
          <w:kern w:val="0"/>
          <w:sz w:val="24"/>
          <w:szCs w:val="24"/>
          <w14:ligatures w14:val="none"/>
        </w:rPr>
        <w:t xml:space="preserve">10 MWh </w:t>
      </w:r>
      <w:r w:rsidR="00D0061B" w:rsidRPr="00267206">
        <w:rPr>
          <w:rFonts w:cstheme="minorHAnsi"/>
          <w:kern w:val="0"/>
          <w:sz w:val="24"/>
          <w:szCs w:val="24"/>
          <w14:ligatures w14:val="none"/>
        </w:rPr>
        <w:t>equall</w:t>
      </w:r>
      <w:r w:rsidR="00A837BE" w:rsidRPr="00267206">
        <w:rPr>
          <w:rFonts w:cstheme="minorHAnsi"/>
          <w:kern w:val="0"/>
          <w:sz w:val="24"/>
          <w:szCs w:val="24"/>
          <w14:ligatures w14:val="none"/>
        </w:rPr>
        <w:t xml:space="preserve">y as </w:t>
      </w:r>
      <w:r w:rsidRPr="00267206">
        <w:rPr>
          <w:rFonts w:cstheme="minorHAnsi"/>
          <w:kern w:val="0"/>
          <w:sz w:val="24"/>
          <w:szCs w:val="24"/>
          <w14:ligatures w14:val="none"/>
        </w:rPr>
        <w:t xml:space="preserve">a </w:t>
      </w:r>
      <w:r w:rsidR="00A837BE" w:rsidRPr="00267206">
        <w:rPr>
          <w:rFonts w:cstheme="minorHAnsi"/>
          <w:kern w:val="0"/>
          <w:sz w:val="24"/>
          <w:szCs w:val="24"/>
          <w14:ligatures w14:val="none"/>
        </w:rPr>
        <w:t xml:space="preserve">loss of load of </w:t>
      </w:r>
      <w:r w:rsidRPr="00267206">
        <w:rPr>
          <w:rFonts w:cstheme="minorHAnsi"/>
          <w:kern w:val="0"/>
          <w:sz w:val="24"/>
          <w:szCs w:val="24"/>
          <w14:ligatures w14:val="none"/>
        </w:rPr>
        <w:t>1</w:t>
      </w:r>
      <w:r w:rsidR="00A837BE" w:rsidRPr="00267206">
        <w:rPr>
          <w:rFonts w:cstheme="minorHAnsi"/>
          <w:kern w:val="0"/>
          <w:sz w:val="24"/>
          <w:szCs w:val="24"/>
          <w14:ligatures w14:val="none"/>
        </w:rPr>
        <w:t>0</w:t>
      </w:r>
      <w:r w:rsidRPr="00267206">
        <w:rPr>
          <w:rFonts w:cstheme="minorHAnsi"/>
          <w:kern w:val="0"/>
          <w:sz w:val="24"/>
          <w:szCs w:val="24"/>
          <w14:ligatures w14:val="none"/>
        </w:rPr>
        <w:t>,000 MWh</w:t>
      </w:r>
      <w:r w:rsidR="001354F4" w:rsidRPr="00267206">
        <w:rPr>
          <w:rFonts w:cstheme="minorHAnsi"/>
          <w:kern w:val="0"/>
          <w:sz w:val="24"/>
          <w:szCs w:val="24"/>
          <w14:ligatures w14:val="none"/>
        </w:rPr>
        <w:t xml:space="preserve"> even though the latter is </w:t>
      </w:r>
      <w:r w:rsidR="00004239" w:rsidRPr="00267206">
        <w:rPr>
          <w:rFonts w:cstheme="minorHAnsi"/>
          <w:kern w:val="0"/>
          <w:sz w:val="24"/>
          <w:szCs w:val="24"/>
          <w14:ligatures w14:val="none"/>
        </w:rPr>
        <w:t>1,000 greater in magnitude</w:t>
      </w:r>
      <w:r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00004239" w:rsidRPr="00267206">
        <w:rPr>
          <w:rFonts w:cstheme="minorHAnsi"/>
          <w:kern w:val="0"/>
          <w:sz w:val="24"/>
          <w:szCs w:val="24"/>
          <w14:ligatures w14:val="none"/>
        </w:rPr>
        <w:t>Similarly, an LOLE standard would view a one-hour loss of 10</w:t>
      </w:r>
      <w:r w:rsidR="00D011EB">
        <w:rPr>
          <w:rFonts w:cstheme="minorHAnsi"/>
          <w:kern w:val="0"/>
          <w:sz w:val="24"/>
          <w:szCs w:val="24"/>
          <w14:ligatures w14:val="none"/>
        </w:rPr>
        <w:t xml:space="preserve"> </w:t>
      </w:r>
      <w:r w:rsidR="00004239" w:rsidRPr="00267206">
        <w:rPr>
          <w:rFonts w:cstheme="minorHAnsi"/>
          <w:kern w:val="0"/>
          <w:sz w:val="24"/>
          <w:szCs w:val="24"/>
          <w14:ligatures w14:val="none"/>
        </w:rPr>
        <w:t>MW</w:t>
      </w:r>
      <w:r w:rsidR="00163BBD" w:rsidRPr="00267206">
        <w:rPr>
          <w:rFonts w:cstheme="minorHAnsi"/>
          <w:kern w:val="0"/>
          <w:sz w:val="24"/>
          <w:szCs w:val="24"/>
          <w14:ligatures w14:val="none"/>
        </w:rPr>
        <w:t>h worth of load equally as a</w:t>
      </w:r>
      <w:r w:rsidR="00267206">
        <w:rPr>
          <w:rFonts w:cstheme="minorHAnsi"/>
          <w:kern w:val="0"/>
          <w:sz w:val="24"/>
          <w:szCs w:val="24"/>
          <w14:ligatures w14:val="none"/>
        </w:rPr>
        <w:t xml:space="preserve"> </w:t>
      </w:r>
      <w:r w:rsidRPr="00267206">
        <w:rPr>
          <w:rFonts w:cstheme="minorHAnsi"/>
          <w:kern w:val="0"/>
          <w:sz w:val="24"/>
          <w:szCs w:val="24"/>
          <w14:ligatures w14:val="none"/>
        </w:rPr>
        <w:t xml:space="preserve">24-hour loss of </w:t>
      </w:r>
      <w:r w:rsidR="00A837BE" w:rsidRPr="00267206">
        <w:rPr>
          <w:rFonts w:cstheme="minorHAnsi"/>
          <w:kern w:val="0"/>
          <w:sz w:val="24"/>
          <w:szCs w:val="24"/>
          <w14:ligatures w14:val="none"/>
        </w:rPr>
        <w:t>1</w:t>
      </w:r>
      <w:r w:rsidRPr="00267206">
        <w:rPr>
          <w:rFonts w:cstheme="minorHAnsi"/>
          <w:kern w:val="0"/>
          <w:sz w:val="24"/>
          <w:szCs w:val="24"/>
          <w14:ligatures w14:val="none"/>
        </w:rPr>
        <w:t xml:space="preserve">0,000 MWh, </w:t>
      </w:r>
      <w:r w:rsidR="005868AD" w:rsidRPr="00267206">
        <w:rPr>
          <w:rFonts w:cstheme="minorHAnsi"/>
          <w:kern w:val="0"/>
          <w:sz w:val="24"/>
          <w:szCs w:val="24"/>
          <w14:ligatures w14:val="none"/>
        </w:rPr>
        <w:t xml:space="preserve">despite their different durations and magnitudes and </w:t>
      </w:r>
      <w:r w:rsidRPr="00267206">
        <w:rPr>
          <w:rFonts w:cstheme="minorHAnsi"/>
          <w:kern w:val="0"/>
          <w:sz w:val="24"/>
          <w:szCs w:val="24"/>
          <w14:ligatures w14:val="none"/>
        </w:rPr>
        <w:t xml:space="preserve">even though </w:t>
      </w:r>
      <w:r w:rsidR="00163BBD" w:rsidRPr="00267206">
        <w:rPr>
          <w:rFonts w:cstheme="minorHAnsi"/>
          <w:kern w:val="0"/>
          <w:sz w:val="24"/>
          <w:szCs w:val="24"/>
          <w14:ligatures w14:val="none"/>
        </w:rPr>
        <w:t xml:space="preserve">the </w:t>
      </w:r>
      <w:r w:rsidR="005868AD" w:rsidRPr="00267206">
        <w:rPr>
          <w:rFonts w:cstheme="minorHAnsi"/>
          <w:kern w:val="0"/>
          <w:sz w:val="24"/>
          <w:szCs w:val="24"/>
          <w14:ligatures w14:val="none"/>
        </w:rPr>
        <w:t xml:space="preserve">latter is a </w:t>
      </w:r>
      <w:r w:rsidRPr="00267206">
        <w:rPr>
          <w:rFonts w:cstheme="minorHAnsi"/>
          <w:kern w:val="0"/>
          <w:sz w:val="24"/>
          <w:szCs w:val="24"/>
          <w14:ligatures w14:val="none"/>
        </w:rPr>
        <w:t xml:space="preserve">severe and potentially catastrophic </w:t>
      </w:r>
      <w:r w:rsidR="005868AD" w:rsidRPr="00267206">
        <w:rPr>
          <w:rFonts w:cstheme="minorHAnsi"/>
          <w:kern w:val="0"/>
          <w:sz w:val="24"/>
          <w:szCs w:val="24"/>
          <w14:ligatures w14:val="none"/>
        </w:rPr>
        <w:t xml:space="preserve">event </w:t>
      </w:r>
      <w:r w:rsidRPr="00267206">
        <w:rPr>
          <w:rFonts w:cstheme="minorHAnsi"/>
          <w:kern w:val="0"/>
          <w:sz w:val="24"/>
          <w:szCs w:val="24"/>
          <w14:ligatures w14:val="none"/>
        </w:rPr>
        <w:t>and the other a relatively minor event.</w:t>
      </w:r>
    </w:p>
    <w:p w14:paraId="68506EC9" w14:textId="77777777" w:rsidR="00267206" w:rsidRDefault="00267206" w:rsidP="00267206">
      <w:pPr>
        <w:spacing w:after="0" w:line="360" w:lineRule="auto"/>
        <w:ind w:firstLine="720"/>
        <w:rPr>
          <w:rFonts w:cstheme="minorHAnsi"/>
          <w:kern w:val="0"/>
          <w:sz w:val="24"/>
          <w:szCs w:val="24"/>
          <w14:ligatures w14:val="none"/>
        </w:rPr>
      </w:pPr>
    </w:p>
    <w:p w14:paraId="1CE62B2B" w14:textId="598D2DE1" w:rsidR="000D3813" w:rsidRPr="00267206" w:rsidRDefault="002F3AB2" w:rsidP="00267206">
      <w:pPr>
        <w:spacing w:after="0" w:line="360" w:lineRule="auto"/>
        <w:ind w:firstLine="720"/>
        <w:rPr>
          <w:rFonts w:cstheme="minorHAnsi"/>
          <w:kern w:val="0"/>
          <w:sz w:val="24"/>
          <w:szCs w:val="24"/>
          <w14:ligatures w14:val="none"/>
        </w:rPr>
      </w:pPr>
      <w:r w:rsidRPr="00267206">
        <w:rPr>
          <w:rFonts w:cstheme="minorHAnsi"/>
          <w:kern w:val="0"/>
          <w:sz w:val="24"/>
          <w:szCs w:val="24"/>
          <w14:ligatures w14:val="none"/>
        </w:rPr>
        <w:t>Different reliability metrics measure different things.</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 </w:t>
      </w:r>
      <w:r w:rsidR="000D3813" w:rsidRPr="00267206">
        <w:rPr>
          <w:rFonts w:cstheme="minorHAnsi"/>
          <w:kern w:val="0"/>
          <w:sz w:val="24"/>
          <w:szCs w:val="24"/>
          <w14:ligatures w14:val="none"/>
        </w:rPr>
        <w:t>While LOLE helps identify the amount of capacity needed to meet a given target, EUE can identify the amount of energy needed at specific times.</w:t>
      </w:r>
      <w:r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007D437B" w:rsidRPr="00267206">
        <w:rPr>
          <w:rFonts w:cstheme="minorHAnsi"/>
          <w:kern w:val="0"/>
          <w:sz w:val="24"/>
          <w:szCs w:val="24"/>
          <w14:ligatures w14:val="none"/>
        </w:rPr>
        <w:t xml:space="preserve">The Commission should consider adopting multiple, </w:t>
      </w:r>
      <w:r w:rsidR="000D3813" w:rsidRPr="00267206">
        <w:rPr>
          <w:rFonts w:cstheme="minorHAnsi"/>
          <w:kern w:val="0"/>
          <w:sz w:val="24"/>
          <w:szCs w:val="24"/>
          <w14:ligatures w14:val="none"/>
        </w:rPr>
        <w:t>complement</w:t>
      </w:r>
      <w:r w:rsidR="007D437B" w:rsidRPr="00267206">
        <w:rPr>
          <w:rFonts w:cstheme="minorHAnsi"/>
          <w:kern w:val="0"/>
          <w:sz w:val="24"/>
          <w:szCs w:val="24"/>
          <w14:ligatures w14:val="none"/>
        </w:rPr>
        <w:t>ary metrics,</w:t>
      </w:r>
      <w:r w:rsidR="000D3813" w:rsidRPr="00267206">
        <w:rPr>
          <w:rFonts w:cstheme="minorHAnsi"/>
          <w:kern w:val="0"/>
          <w:sz w:val="24"/>
          <w:szCs w:val="24"/>
          <w14:ligatures w14:val="none"/>
        </w:rPr>
        <w:t xml:space="preserve"> each measuring the impact of load shed events differently. </w:t>
      </w:r>
      <w:r w:rsidR="003D3CD2">
        <w:rPr>
          <w:rFonts w:cstheme="minorHAnsi"/>
          <w:kern w:val="0"/>
          <w:sz w:val="24"/>
          <w:szCs w:val="24"/>
          <w14:ligatures w14:val="none"/>
        </w:rPr>
        <w:t xml:space="preserve"> </w:t>
      </w:r>
      <w:r w:rsidR="000D3813" w:rsidRPr="00267206">
        <w:rPr>
          <w:rFonts w:cstheme="minorHAnsi"/>
          <w:kern w:val="0"/>
          <w:sz w:val="24"/>
          <w:szCs w:val="24"/>
          <w14:ligatures w14:val="none"/>
        </w:rPr>
        <w:t>A combination of these metrics would ensure reliability against both the frequency and magnitude of loss of load events.</w:t>
      </w:r>
    </w:p>
    <w:p w14:paraId="74B2ED31" w14:textId="77777777" w:rsidR="00267206" w:rsidRDefault="00267206" w:rsidP="000D3813">
      <w:pPr>
        <w:spacing w:after="0" w:line="360" w:lineRule="auto"/>
        <w:rPr>
          <w:rFonts w:cstheme="minorHAnsi"/>
          <w:kern w:val="0"/>
          <w:sz w:val="24"/>
          <w:szCs w:val="24"/>
          <w14:ligatures w14:val="none"/>
        </w:rPr>
      </w:pPr>
    </w:p>
    <w:p w14:paraId="1BB109A3" w14:textId="74269D13" w:rsidR="009A1B84" w:rsidRDefault="00AC298A" w:rsidP="00267206">
      <w:pPr>
        <w:spacing w:after="0" w:line="360" w:lineRule="auto"/>
        <w:ind w:firstLine="720"/>
        <w:rPr>
          <w:rFonts w:cstheme="minorHAnsi"/>
          <w:kern w:val="0"/>
          <w:sz w:val="24"/>
          <w:szCs w:val="24"/>
          <w14:ligatures w14:val="none"/>
        </w:rPr>
      </w:pPr>
      <w:r w:rsidRPr="00267206">
        <w:rPr>
          <w:rFonts w:cstheme="minorHAnsi"/>
          <w:kern w:val="0"/>
          <w:sz w:val="24"/>
          <w:szCs w:val="24"/>
          <w14:ligatures w14:val="none"/>
        </w:rPr>
        <w:t xml:space="preserve">APA and ACP were encouraged to see that ERCOT </w:t>
      </w:r>
      <w:r w:rsidR="00114B83" w:rsidRPr="00267206">
        <w:rPr>
          <w:rFonts w:cstheme="minorHAnsi"/>
          <w:kern w:val="0"/>
          <w:sz w:val="24"/>
          <w:szCs w:val="24"/>
          <w14:ligatures w14:val="none"/>
        </w:rPr>
        <w:t xml:space="preserve">is </w:t>
      </w:r>
      <w:r w:rsidRPr="00267206">
        <w:rPr>
          <w:rFonts w:cstheme="minorHAnsi"/>
          <w:kern w:val="0"/>
          <w:sz w:val="24"/>
          <w:szCs w:val="24"/>
          <w14:ligatures w14:val="none"/>
        </w:rPr>
        <w:t xml:space="preserve">considering </w:t>
      </w:r>
      <w:r w:rsidR="00114B83" w:rsidRPr="00267206">
        <w:rPr>
          <w:rFonts w:cstheme="minorHAnsi"/>
          <w:kern w:val="0"/>
          <w:sz w:val="24"/>
          <w:szCs w:val="24"/>
          <w14:ligatures w14:val="none"/>
        </w:rPr>
        <w:t xml:space="preserve">such a combination of reliability metrics at its recent workshop on reliability. </w:t>
      </w:r>
      <w:r w:rsidR="003D3CD2">
        <w:rPr>
          <w:rFonts w:cstheme="minorHAnsi"/>
          <w:kern w:val="0"/>
          <w:sz w:val="24"/>
          <w:szCs w:val="24"/>
          <w14:ligatures w14:val="none"/>
        </w:rPr>
        <w:t xml:space="preserve"> </w:t>
      </w:r>
      <w:r w:rsidR="00114B83" w:rsidRPr="00267206">
        <w:rPr>
          <w:rFonts w:cstheme="minorHAnsi"/>
          <w:kern w:val="0"/>
          <w:sz w:val="24"/>
          <w:szCs w:val="24"/>
          <w14:ligatures w14:val="none"/>
        </w:rPr>
        <w:t xml:space="preserve">However, </w:t>
      </w:r>
      <w:r w:rsidR="000D3813" w:rsidRPr="00267206">
        <w:rPr>
          <w:rFonts w:cstheme="minorHAnsi"/>
          <w:kern w:val="0"/>
          <w:sz w:val="24"/>
          <w:szCs w:val="24"/>
          <w14:ligatures w14:val="none"/>
        </w:rPr>
        <w:t xml:space="preserve">ERCOT </w:t>
      </w:r>
      <w:r w:rsidR="00114B83" w:rsidRPr="00267206">
        <w:rPr>
          <w:rFonts w:cstheme="minorHAnsi"/>
          <w:kern w:val="0"/>
          <w:sz w:val="24"/>
          <w:szCs w:val="24"/>
          <w14:ligatures w14:val="none"/>
        </w:rPr>
        <w:t xml:space="preserve">should avoid </w:t>
      </w:r>
      <w:r w:rsidR="00BA3BC6" w:rsidRPr="00267206">
        <w:rPr>
          <w:rFonts w:cstheme="minorHAnsi"/>
          <w:kern w:val="0"/>
          <w:sz w:val="24"/>
          <w:szCs w:val="24"/>
          <w14:ligatures w14:val="none"/>
        </w:rPr>
        <w:t xml:space="preserve">adopting a hard cap on load shed events. </w:t>
      </w:r>
      <w:r w:rsidR="003D3CD2">
        <w:rPr>
          <w:rFonts w:cstheme="minorHAnsi"/>
          <w:kern w:val="0"/>
          <w:sz w:val="24"/>
          <w:szCs w:val="24"/>
          <w14:ligatures w14:val="none"/>
        </w:rPr>
        <w:t xml:space="preserve"> </w:t>
      </w:r>
      <w:r w:rsidR="00BA3BC6" w:rsidRPr="00267206">
        <w:rPr>
          <w:rFonts w:cstheme="minorHAnsi"/>
          <w:kern w:val="0"/>
          <w:sz w:val="24"/>
          <w:szCs w:val="24"/>
          <w14:ligatures w14:val="none"/>
        </w:rPr>
        <w:t xml:space="preserve">Specifically, ERCOT </w:t>
      </w:r>
      <w:r w:rsidR="000D3813" w:rsidRPr="00267206">
        <w:rPr>
          <w:rFonts w:cstheme="minorHAnsi"/>
          <w:kern w:val="0"/>
          <w:sz w:val="24"/>
          <w:szCs w:val="24"/>
          <w14:ligatures w14:val="none"/>
        </w:rPr>
        <w:t xml:space="preserve">discussed the possibility of establishing a maximum amount of load to be shed in any given hour, and a maximum duration of any load shed event. </w:t>
      </w:r>
      <w:r w:rsidR="003D3CD2">
        <w:rPr>
          <w:rFonts w:cstheme="minorHAnsi"/>
          <w:kern w:val="0"/>
          <w:sz w:val="24"/>
          <w:szCs w:val="24"/>
          <w14:ligatures w14:val="none"/>
        </w:rPr>
        <w:t xml:space="preserve"> </w:t>
      </w:r>
      <w:r w:rsidR="000D3813" w:rsidRPr="00267206">
        <w:rPr>
          <w:rFonts w:cstheme="minorHAnsi"/>
          <w:kern w:val="0"/>
          <w:sz w:val="24"/>
          <w:szCs w:val="24"/>
          <w14:ligatures w14:val="none"/>
        </w:rPr>
        <w:t xml:space="preserve">However, limits placed on any one hour may be too limiting overall. </w:t>
      </w:r>
      <w:r w:rsidR="003D3CD2">
        <w:rPr>
          <w:rFonts w:cstheme="minorHAnsi"/>
          <w:kern w:val="0"/>
          <w:sz w:val="24"/>
          <w:szCs w:val="24"/>
          <w14:ligatures w14:val="none"/>
        </w:rPr>
        <w:t xml:space="preserve"> </w:t>
      </w:r>
      <w:r w:rsidR="000D3813" w:rsidRPr="00267206">
        <w:rPr>
          <w:rFonts w:cstheme="minorHAnsi"/>
          <w:kern w:val="0"/>
          <w:sz w:val="24"/>
          <w:szCs w:val="24"/>
          <w14:ligatures w14:val="none"/>
        </w:rPr>
        <w:t xml:space="preserve">For example, if a 10-hour limit were to be adopted, and ERCOT had to shed 10 MW of load every hour for 11 hours, that would fail the standard. </w:t>
      </w:r>
      <w:r w:rsidR="003D3CD2">
        <w:rPr>
          <w:rFonts w:cstheme="minorHAnsi"/>
          <w:kern w:val="0"/>
          <w:sz w:val="24"/>
          <w:szCs w:val="24"/>
          <w14:ligatures w14:val="none"/>
        </w:rPr>
        <w:t xml:space="preserve"> </w:t>
      </w:r>
      <w:r w:rsidR="000D3813" w:rsidRPr="00267206">
        <w:rPr>
          <w:rFonts w:cstheme="minorHAnsi"/>
          <w:kern w:val="0"/>
          <w:sz w:val="24"/>
          <w:szCs w:val="24"/>
          <w14:ligatures w14:val="none"/>
        </w:rPr>
        <w:t xml:space="preserve">However, it is clear that a 10 MW load shed for every hour for 11 hours does not amount to a large load-shed event and it would be unnecessarily costly to consumers to plan additional investments to prevent such small events. </w:t>
      </w:r>
      <w:r w:rsidR="003D3CD2">
        <w:rPr>
          <w:rFonts w:cstheme="minorHAnsi"/>
          <w:kern w:val="0"/>
          <w:sz w:val="24"/>
          <w:szCs w:val="24"/>
          <w14:ligatures w14:val="none"/>
        </w:rPr>
        <w:t xml:space="preserve"> </w:t>
      </w:r>
      <w:r w:rsidR="000D3813" w:rsidRPr="00267206">
        <w:rPr>
          <w:rFonts w:cstheme="minorHAnsi"/>
          <w:kern w:val="0"/>
          <w:sz w:val="24"/>
          <w:szCs w:val="24"/>
          <w14:ligatures w14:val="none"/>
        </w:rPr>
        <w:t xml:space="preserve">It is important to balance reliability with total system costs and EUE measures unserved energy </w:t>
      </w:r>
      <w:r w:rsidR="00267206" w:rsidRPr="00267206">
        <w:rPr>
          <w:rFonts w:cstheme="minorHAnsi"/>
          <w:kern w:val="0"/>
          <w:sz w:val="24"/>
          <w:szCs w:val="24"/>
          <w14:ligatures w14:val="none"/>
        </w:rPr>
        <w:t>risk more</w:t>
      </w:r>
      <w:r w:rsidR="005A64EF" w:rsidRPr="00267206">
        <w:rPr>
          <w:rFonts w:cstheme="minorHAnsi"/>
          <w:kern w:val="0"/>
          <w:sz w:val="24"/>
          <w:szCs w:val="24"/>
          <w14:ligatures w14:val="none"/>
        </w:rPr>
        <w:t xml:space="preserve"> accurately</w:t>
      </w:r>
      <w:r w:rsidR="000D3813"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000D3813" w:rsidRPr="00267206">
        <w:rPr>
          <w:rFonts w:cstheme="minorHAnsi"/>
          <w:kern w:val="0"/>
          <w:sz w:val="24"/>
          <w:szCs w:val="24"/>
          <w14:ligatures w14:val="none"/>
        </w:rPr>
        <w:t>Further, ERCOT should quantify the value of lost load to improve analysis of optimal economic reserve margins and understand the cost-benefit tradeoffs as the system continues to evolve.</w:t>
      </w:r>
    </w:p>
    <w:p w14:paraId="37DD0D23" w14:textId="77777777" w:rsidR="009A1B84" w:rsidRDefault="009A1B84" w:rsidP="00267206">
      <w:pPr>
        <w:spacing w:after="0" w:line="360" w:lineRule="auto"/>
        <w:ind w:firstLine="720"/>
        <w:rPr>
          <w:rFonts w:cstheme="minorHAnsi"/>
          <w:kern w:val="0"/>
          <w:sz w:val="24"/>
          <w:szCs w:val="24"/>
          <w14:ligatures w14:val="none"/>
        </w:rPr>
      </w:pPr>
    </w:p>
    <w:p w14:paraId="695BBC87" w14:textId="52CBD513" w:rsidR="000D3813" w:rsidRPr="00267206" w:rsidRDefault="000D3813" w:rsidP="00267206">
      <w:pPr>
        <w:spacing w:after="0" w:line="360" w:lineRule="auto"/>
        <w:ind w:firstLine="720"/>
        <w:rPr>
          <w:rFonts w:cstheme="minorHAnsi"/>
          <w:kern w:val="0"/>
          <w:sz w:val="24"/>
          <w:szCs w:val="24"/>
          <w14:ligatures w14:val="none"/>
        </w:rPr>
      </w:pPr>
      <w:bookmarkStart w:id="6" w:name="_Hlk130993360"/>
      <w:r w:rsidRPr="00267206">
        <w:rPr>
          <w:rFonts w:cstheme="minorHAnsi"/>
          <w:kern w:val="0"/>
          <w:sz w:val="24"/>
          <w:szCs w:val="24"/>
          <w14:ligatures w14:val="none"/>
        </w:rPr>
        <w:t xml:space="preserve">It is important for ERCOT to conduct detailed analysis to help the Commission determine an appropriate EUE standard.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This standard should balance sufficient reliability and expected cost to ensure such reliability.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A starting point in this analysis could be to determine the economic value of lost load ("VOLL").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Once established, the VOLL can be used as an effective economic metric for cost-benefit analysis of optimal reserve margin calculations.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APA and ACP also recommend studying and updating </w:t>
      </w:r>
      <w:r w:rsidR="002D2F43" w:rsidRPr="00267206">
        <w:rPr>
          <w:rFonts w:cstheme="minorHAnsi"/>
          <w:kern w:val="0"/>
          <w:sz w:val="24"/>
          <w:szCs w:val="24"/>
          <w14:ligatures w14:val="none"/>
        </w:rPr>
        <w:t xml:space="preserve">the VOLL </w:t>
      </w:r>
      <w:r w:rsidRPr="00267206">
        <w:rPr>
          <w:rFonts w:cstheme="minorHAnsi"/>
          <w:kern w:val="0"/>
          <w:sz w:val="24"/>
          <w:szCs w:val="24"/>
          <w14:ligatures w14:val="none"/>
        </w:rPr>
        <w:t xml:space="preserve">on a regular basis to maintain accuracy.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These metrics, working in tandem, will allow the market to respond and achieve the desired reliability goals from both a frequency (LOLE) and duration (EUE) of event perspective.  </w:t>
      </w:r>
    </w:p>
    <w:bookmarkEnd w:id="6"/>
    <w:p w14:paraId="7F5C8212" w14:textId="77777777" w:rsidR="000D3813" w:rsidRPr="00267206" w:rsidRDefault="000D3813" w:rsidP="000D3813">
      <w:pPr>
        <w:spacing w:after="0" w:line="240" w:lineRule="auto"/>
        <w:rPr>
          <w:rFonts w:cstheme="minorHAnsi"/>
          <w:b/>
          <w:bCs/>
          <w:kern w:val="0"/>
          <w:sz w:val="24"/>
          <w:szCs w:val="24"/>
          <w14:ligatures w14:val="none"/>
        </w:rPr>
      </w:pPr>
    </w:p>
    <w:p w14:paraId="1AF6F67C" w14:textId="77777777" w:rsidR="000D3813" w:rsidRPr="00267206" w:rsidRDefault="000D3813" w:rsidP="000D3813">
      <w:pPr>
        <w:spacing w:after="0" w:line="240" w:lineRule="auto"/>
        <w:rPr>
          <w:rFonts w:cstheme="minorHAnsi"/>
          <w:b/>
          <w:bCs/>
          <w:kern w:val="0"/>
          <w:sz w:val="24"/>
          <w:szCs w:val="24"/>
          <w14:ligatures w14:val="none"/>
        </w:rPr>
      </w:pPr>
      <w:r w:rsidRPr="00267206">
        <w:rPr>
          <w:rFonts w:cstheme="minorHAnsi"/>
          <w:b/>
          <w:bCs/>
          <w:kern w:val="0"/>
          <w:sz w:val="24"/>
          <w:szCs w:val="24"/>
          <w14:ligatures w14:val="none"/>
        </w:rPr>
        <w:t xml:space="preserve">(2) What is the most effective way that the Commission can include deliverability in the reliability standard? </w:t>
      </w:r>
    </w:p>
    <w:p w14:paraId="0F5AB5F6" w14:textId="77777777" w:rsidR="000D3813" w:rsidRPr="00267206" w:rsidRDefault="000D3813" w:rsidP="000D3813">
      <w:pPr>
        <w:spacing w:after="0" w:line="360" w:lineRule="auto"/>
        <w:rPr>
          <w:rFonts w:cstheme="minorHAnsi"/>
          <w:kern w:val="0"/>
          <w:sz w:val="24"/>
          <w:szCs w:val="24"/>
          <w14:ligatures w14:val="none"/>
        </w:rPr>
      </w:pPr>
    </w:p>
    <w:p w14:paraId="260359B6" w14:textId="77777777" w:rsidR="000D3813" w:rsidRPr="00267206" w:rsidRDefault="000D3813" w:rsidP="000D3813">
      <w:pPr>
        <w:spacing w:after="0" w:line="360" w:lineRule="auto"/>
        <w:rPr>
          <w:rFonts w:cstheme="minorHAnsi"/>
          <w:b/>
          <w:bCs/>
          <w:kern w:val="0"/>
          <w:sz w:val="24"/>
          <w:szCs w:val="24"/>
          <w14:ligatures w14:val="none"/>
        </w:rPr>
      </w:pPr>
      <w:r w:rsidRPr="00267206">
        <w:rPr>
          <w:rFonts w:cstheme="minorHAnsi"/>
          <w:b/>
          <w:bCs/>
          <w:kern w:val="0"/>
          <w:sz w:val="24"/>
          <w:szCs w:val="24"/>
          <w14:ligatures w14:val="none"/>
        </w:rPr>
        <w:t>APA/ACP RESPONSE:</w:t>
      </w:r>
    </w:p>
    <w:p w14:paraId="791F29BE" w14:textId="1C42BA74" w:rsidR="009A1B84" w:rsidRDefault="000D3813" w:rsidP="000D3813">
      <w:pPr>
        <w:spacing w:after="0" w:line="360" w:lineRule="auto"/>
        <w:ind w:firstLine="720"/>
        <w:rPr>
          <w:rFonts w:cstheme="minorHAnsi"/>
          <w:kern w:val="0"/>
          <w:sz w:val="24"/>
          <w:szCs w:val="24"/>
          <w14:ligatures w14:val="none"/>
        </w:rPr>
      </w:pPr>
      <w:bookmarkStart w:id="7" w:name="_Hlk130993390"/>
      <w:r w:rsidRPr="00267206">
        <w:rPr>
          <w:rFonts w:cstheme="minorHAnsi"/>
          <w:kern w:val="0"/>
          <w:sz w:val="24"/>
          <w:szCs w:val="24"/>
          <w14:ligatures w14:val="none"/>
        </w:rPr>
        <w:t xml:space="preserve">Deliverability is a critical component in the consideration of the contribution a resource can provide to </w:t>
      </w:r>
      <w:r w:rsidR="001260CC">
        <w:rPr>
          <w:rFonts w:cstheme="minorHAnsi"/>
          <w:kern w:val="0"/>
          <w:sz w:val="24"/>
          <w:szCs w:val="24"/>
          <w14:ligatures w14:val="none"/>
        </w:rPr>
        <w:t xml:space="preserve">the </w:t>
      </w:r>
      <w:r w:rsidRPr="00267206">
        <w:rPr>
          <w:rFonts w:cstheme="minorHAnsi"/>
          <w:kern w:val="0"/>
          <w:sz w:val="24"/>
          <w:szCs w:val="24"/>
          <w14:ligatures w14:val="none"/>
        </w:rPr>
        <w:t xml:space="preserve">system’s overall resource adequacy framework.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During Winter Storm Uri, there were megawatts of generation trapped behind constraints that could have served load but for transmission congestion. </w:t>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Even with adequate generation, bottlenecks in the transmission system interfere with the reliable, efficient, and affordable delivery of electric power. </w:t>
      </w:r>
      <w:r w:rsidR="003D3CD2">
        <w:rPr>
          <w:rFonts w:cstheme="minorHAnsi"/>
          <w:kern w:val="0"/>
          <w:sz w:val="24"/>
          <w:szCs w:val="24"/>
          <w14:ligatures w14:val="none"/>
        </w:rPr>
        <w:t xml:space="preserve"> </w:t>
      </w:r>
      <w:r w:rsidRPr="00267206">
        <w:rPr>
          <w:rFonts w:cstheme="minorHAnsi"/>
          <w:kern w:val="0"/>
          <w:sz w:val="24"/>
          <w:szCs w:val="24"/>
          <w14:ligatures w14:val="none"/>
        </w:rPr>
        <w:t>It is critical to include quantifiable transmission benefits in the transmission planning process to meet economic planning test thresholds to ensure adequate delivery of available resource output to load.</w:t>
      </w:r>
    </w:p>
    <w:bookmarkEnd w:id="7"/>
    <w:p w14:paraId="1B99906A" w14:textId="77777777" w:rsidR="009A1B84" w:rsidRDefault="009A1B84" w:rsidP="000D3813">
      <w:pPr>
        <w:spacing w:after="0" w:line="360" w:lineRule="auto"/>
        <w:ind w:firstLine="720"/>
        <w:rPr>
          <w:rFonts w:cstheme="minorHAnsi"/>
          <w:kern w:val="0"/>
          <w:sz w:val="24"/>
          <w:szCs w:val="24"/>
          <w14:ligatures w14:val="none"/>
        </w:rPr>
      </w:pPr>
    </w:p>
    <w:p w14:paraId="69956F8F" w14:textId="48C691A2" w:rsidR="000D3813" w:rsidRPr="00267206" w:rsidRDefault="000D3813" w:rsidP="000D3813">
      <w:pPr>
        <w:spacing w:after="0" w:line="360" w:lineRule="auto"/>
        <w:ind w:firstLine="720"/>
        <w:rPr>
          <w:rFonts w:cstheme="minorHAnsi"/>
          <w:kern w:val="0"/>
          <w:sz w:val="24"/>
          <w:szCs w:val="24"/>
          <w14:ligatures w14:val="none"/>
        </w:rPr>
      </w:pPr>
      <w:bookmarkStart w:id="8" w:name="_Hlk130993445"/>
      <w:r w:rsidRPr="00267206">
        <w:rPr>
          <w:rFonts w:cstheme="minorHAnsi"/>
          <w:kern w:val="0"/>
          <w:sz w:val="24"/>
          <w:szCs w:val="24"/>
          <w14:ligatures w14:val="none"/>
        </w:rPr>
        <w:t>The transmission system provides an effective bulwark against threats to the generation fleet through the diversification of resources and multiple pathways for power to flow ultimately to customers.</w:t>
      </w:r>
      <w:r w:rsidR="00E13645">
        <w:rPr>
          <w:rStyle w:val="FootnoteReference"/>
          <w:rFonts w:cstheme="minorHAnsi"/>
          <w:kern w:val="0"/>
          <w:sz w:val="24"/>
          <w:szCs w:val="24"/>
          <w14:ligatures w14:val="none"/>
        </w:rPr>
        <w:footnoteReference w:id="6"/>
      </w:r>
      <w:r w:rsidRPr="00267206">
        <w:rPr>
          <w:rFonts w:cstheme="minorHAnsi"/>
          <w:kern w:val="0"/>
          <w:sz w:val="24"/>
          <w:szCs w:val="24"/>
          <w14:ligatures w14:val="none"/>
        </w:rPr>
        <w:t xml:space="preserve"> </w:t>
      </w:r>
      <w:r w:rsidR="003D3CD2">
        <w:rPr>
          <w:rFonts w:cstheme="minorHAnsi"/>
          <w:kern w:val="0"/>
          <w:sz w:val="24"/>
          <w:szCs w:val="24"/>
          <w14:ligatures w14:val="none"/>
        </w:rPr>
        <w:t xml:space="preserve"> </w:t>
      </w:r>
      <w:r w:rsidRPr="00267206">
        <w:rPr>
          <w:rFonts w:cstheme="minorHAnsi"/>
          <w:kern w:val="0"/>
          <w:sz w:val="24"/>
          <w:szCs w:val="24"/>
          <w14:ligatures w14:val="none"/>
        </w:rPr>
        <w:t>By providing customers access to generation resources with diverse geography, technology, and fuel sources, the transmission network buffers customers against extreme weather events that affect a specific geographic location or some external phenomenon such as unavailability of fuel and physical or cyber-attacks that affect only a portion of the generating units.</w:t>
      </w:r>
      <w:r w:rsidR="00E13645">
        <w:rPr>
          <w:rStyle w:val="FootnoteReference"/>
          <w:rFonts w:cstheme="minorHAnsi"/>
          <w:kern w:val="0"/>
          <w:sz w:val="24"/>
          <w:szCs w:val="24"/>
          <w14:ligatures w14:val="none"/>
        </w:rPr>
        <w:footnoteReference w:id="7"/>
      </w:r>
      <w:r w:rsidR="003D3CD2">
        <w:rPr>
          <w:rFonts w:cstheme="minorHAnsi"/>
          <w:kern w:val="0"/>
          <w:sz w:val="24"/>
          <w:szCs w:val="24"/>
          <w14:ligatures w14:val="none"/>
        </w:rPr>
        <w:t xml:space="preserve"> </w:t>
      </w:r>
      <w:r w:rsidRPr="00267206">
        <w:rPr>
          <w:rFonts w:cstheme="minorHAnsi"/>
          <w:kern w:val="0"/>
          <w:sz w:val="24"/>
          <w:szCs w:val="24"/>
          <w14:ligatures w14:val="none"/>
        </w:rPr>
        <w:t xml:space="preserve"> A robust transmission system supports resilience, reliability, and efficiency.</w:t>
      </w:r>
    </w:p>
    <w:p w14:paraId="1A5AF4DA" w14:textId="77777777" w:rsidR="00267206" w:rsidRDefault="00267206" w:rsidP="00561D51">
      <w:pPr>
        <w:spacing w:after="0" w:line="360" w:lineRule="auto"/>
        <w:ind w:firstLine="720"/>
        <w:rPr>
          <w:rFonts w:cstheme="minorHAnsi"/>
          <w:kern w:val="0"/>
          <w:sz w:val="24"/>
          <w:szCs w:val="24"/>
          <w14:ligatures w14:val="none"/>
        </w:rPr>
      </w:pPr>
    </w:p>
    <w:p w14:paraId="2E9E081B" w14:textId="0FE530DC" w:rsidR="005A64EF" w:rsidRPr="00267206" w:rsidRDefault="00545D95" w:rsidP="00561D51">
      <w:pPr>
        <w:spacing w:after="0" w:line="360" w:lineRule="auto"/>
        <w:ind w:firstLine="720"/>
        <w:rPr>
          <w:rFonts w:cstheme="minorHAnsi"/>
          <w:kern w:val="0"/>
          <w:sz w:val="24"/>
          <w:szCs w:val="24"/>
          <w14:ligatures w14:val="none"/>
        </w:rPr>
      </w:pPr>
      <w:r w:rsidRPr="00267206">
        <w:rPr>
          <w:rFonts w:cstheme="minorHAnsi"/>
          <w:kern w:val="0"/>
          <w:sz w:val="24"/>
          <w:szCs w:val="24"/>
          <w14:ligatures w14:val="none"/>
        </w:rPr>
        <w:t>While deliverability must be con</w:t>
      </w:r>
      <w:r w:rsidR="001260CC">
        <w:rPr>
          <w:rFonts w:cstheme="minorHAnsi"/>
          <w:kern w:val="0"/>
          <w:sz w:val="24"/>
          <w:szCs w:val="24"/>
          <w14:ligatures w14:val="none"/>
        </w:rPr>
        <w:t>sidered</w:t>
      </w:r>
      <w:r w:rsidRPr="00267206">
        <w:rPr>
          <w:rFonts w:cstheme="minorHAnsi"/>
          <w:kern w:val="0"/>
          <w:sz w:val="24"/>
          <w:szCs w:val="24"/>
          <w14:ligatures w14:val="none"/>
        </w:rPr>
        <w:t xml:space="preserve"> during reliability analysis</w:t>
      </w:r>
      <w:r w:rsidR="005654F0" w:rsidRPr="00267206">
        <w:rPr>
          <w:rFonts w:cstheme="minorHAnsi"/>
          <w:kern w:val="0"/>
          <w:sz w:val="24"/>
          <w:szCs w:val="24"/>
          <w14:ligatures w14:val="none"/>
        </w:rPr>
        <w:t xml:space="preserve"> to accurately measure how much generation can be delivered to load</w:t>
      </w:r>
      <w:r w:rsidR="00EC25CD" w:rsidRPr="00267206">
        <w:rPr>
          <w:rFonts w:cstheme="minorHAnsi"/>
          <w:kern w:val="0"/>
          <w:sz w:val="24"/>
          <w:szCs w:val="24"/>
          <w14:ligatures w14:val="none"/>
        </w:rPr>
        <w:t>, the Commission should avoid imposing onerous firm transmission requirements on generators.</w:t>
      </w:r>
      <w:r w:rsidR="003D3CD2">
        <w:rPr>
          <w:rFonts w:cstheme="minorHAnsi"/>
          <w:kern w:val="0"/>
          <w:sz w:val="24"/>
          <w:szCs w:val="24"/>
          <w14:ligatures w14:val="none"/>
        </w:rPr>
        <w:t xml:space="preserve"> </w:t>
      </w:r>
      <w:r w:rsidR="00EC25CD" w:rsidRPr="00267206">
        <w:rPr>
          <w:rFonts w:cstheme="minorHAnsi"/>
          <w:kern w:val="0"/>
          <w:sz w:val="24"/>
          <w:szCs w:val="24"/>
          <w14:ligatures w14:val="none"/>
        </w:rPr>
        <w:t xml:space="preserve"> Deliverability analysis </w:t>
      </w:r>
      <w:r w:rsidR="005D660A" w:rsidRPr="00267206">
        <w:rPr>
          <w:rFonts w:cstheme="minorHAnsi"/>
          <w:kern w:val="0"/>
          <w:sz w:val="24"/>
          <w:szCs w:val="24"/>
          <w14:ligatures w14:val="none"/>
        </w:rPr>
        <w:t xml:space="preserve">and requirements to perform network upgrades to ensure firm transmission service </w:t>
      </w:r>
      <w:r w:rsidR="00FA3780" w:rsidRPr="00267206">
        <w:rPr>
          <w:rFonts w:cstheme="minorHAnsi"/>
          <w:kern w:val="0"/>
          <w:sz w:val="24"/>
          <w:szCs w:val="24"/>
          <w14:ligatures w14:val="none"/>
        </w:rPr>
        <w:t xml:space="preserve">have caused interconnection queue bottlenecks in other RTOs that will not be resolved for many years. </w:t>
      </w:r>
      <w:r w:rsidR="003D3CD2">
        <w:rPr>
          <w:rFonts w:cstheme="minorHAnsi"/>
          <w:kern w:val="0"/>
          <w:sz w:val="24"/>
          <w:szCs w:val="24"/>
          <w14:ligatures w14:val="none"/>
        </w:rPr>
        <w:t xml:space="preserve"> </w:t>
      </w:r>
      <w:r w:rsidR="00F62F09" w:rsidRPr="00267206">
        <w:rPr>
          <w:rFonts w:cstheme="minorHAnsi"/>
          <w:kern w:val="0"/>
          <w:sz w:val="24"/>
          <w:szCs w:val="24"/>
          <w14:ligatures w14:val="none"/>
        </w:rPr>
        <w:t xml:space="preserve">Texas remains an attractive market for new investment in generation capacity </w:t>
      </w:r>
      <w:r w:rsidR="0035161D" w:rsidRPr="00267206">
        <w:rPr>
          <w:rFonts w:cstheme="minorHAnsi"/>
          <w:kern w:val="0"/>
          <w:sz w:val="24"/>
          <w:szCs w:val="24"/>
          <w14:ligatures w14:val="none"/>
        </w:rPr>
        <w:t>in large part because it has not adopted deliverability requirements</w:t>
      </w:r>
      <w:r w:rsidR="005654F0" w:rsidRPr="00267206">
        <w:rPr>
          <w:rFonts w:cstheme="minorHAnsi"/>
          <w:kern w:val="0"/>
          <w:sz w:val="24"/>
          <w:szCs w:val="24"/>
          <w14:ligatures w14:val="none"/>
        </w:rPr>
        <w:t xml:space="preserve"> and associated studies</w:t>
      </w:r>
      <w:r w:rsidR="00DA2692" w:rsidRPr="00267206">
        <w:rPr>
          <w:rFonts w:cstheme="minorHAnsi"/>
          <w:kern w:val="0"/>
          <w:sz w:val="24"/>
          <w:szCs w:val="24"/>
          <w14:ligatures w14:val="none"/>
        </w:rPr>
        <w:t xml:space="preserve"> and upgrades</w:t>
      </w:r>
      <w:r w:rsidR="0035161D" w:rsidRPr="00267206">
        <w:rPr>
          <w:rFonts w:cstheme="minorHAnsi"/>
          <w:kern w:val="0"/>
          <w:sz w:val="24"/>
          <w:szCs w:val="24"/>
          <w14:ligatures w14:val="none"/>
        </w:rPr>
        <w:t xml:space="preserve"> as a condition for interconnection. </w:t>
      </w:r>
      <w:r w:rsidR="003D3CD2">
        <w:rPr>
          <w:rFonts w:cstheme="minorHAnsi"/>
          <w:kern w:val="0"/>
          <w:sz w:val="24"/>
          <w:szCs w:val="24"/>
          <w14:ligatures w14:val="none"/>
        </w:rPr>
        <w:t xml:space="preserve"> </w:t>
      </w:r>
      <w:r w:rsidR="0035161D" w:rsidRPr="00267206">
        <w:rPr>
          <w:rFonts w:cstheme="minorHAnsi"/>
          <w:kern w:val="0"/>
          <w:sz w:val="24"/>
          <w:szCs w:val="24"/>
          <w14:ligatures w14:val="none"/>
        </w:rPr>
        <w:t xml:space="preserve">To the extent the Commission is concerned about attracting investment in new generation, the Commission </w:t>
      </w:r>
      <w:r w:rsidR="003016DB" w:rsidRPr="00267206">
        <w:rPr>
          <w:rFonts w:cstheme="minorHAnsi"/>
          <w:kern w:val="0"/>
          <w:sz w:val="24"/>
          <w:szCs w:val="24"/>
          <w14:ligatures w14:val="none"/>
        </w:rPr>
        <w:t xml:space="preserve">should be wary of inadvertently creating bottlenecks in its interconnection process. </w:t>
      </w:r>
    </w:p>
    <w:p w14:paraId="7FA9B524" w14:textId="417E29A0" w:rsidR="005A64EF" w:rsidRPr="00267206" w:rsidRDefault="005A64EF" w:rsidP="005A64EF">
      <w:pPr>
        <w:spacing w:before="100" w:beforeAutospacing="1" w:after="100" w:afterAutospacing="1" w:line="360" w:lineRule="auto"/>
        <w:ind w:firstLine="720"/>
        <w:rPr>
          <w:rFonts w:cstheme="minorHAnsi"/>
          <w:sz w:val="24"/>
          <w:szCs w:val="24"/>
        </w:rPr>
      </w:pPr>
      <w:r w:rsidRPr="00267206">
        <w:rPr>
          <w:rFonts w:cstheme="minorHAnsi"/>
          <w:sz w:val="24"/>
          <w:szCs w:val="24"/>
        </w:rPr>
        <w:t xml:space="preserve">In order to promote deliverability, APA </w:t>
      </w:r>
      <w:r w:rsidR="001260CC">
        <w:rPr>
          <w:rFonts w:cstheme="minorHAnsi"/>
          <w:sz w:val="24"/>
          <w:szCs w:val="24"/>
        </w:rPr>
        <w:t xml:space="preserve">and ACP </w:t>
      </w:r>
      <w:r w:rsidRPr="00267206">
        <w:rPr>
          <w:rFonts w:cstheme="minorHAnsi"/>
          <w:sz w:val="24"/>
          <w:szCs w:val="24"/>
        </w:rPr>
        <w:t xml:space="preserve">suggest the </w:t>
      </w:r>
      <w:r w:rsidRPr="00267206">
        <w:rPr>
          <w:rFonts w:cstheme="minorHAnsi"/>
          <w:sz w:val="24"/>
          <w:szCs w:val="24"/>
        </w:rPr>
        <w:t>Commission</w:t>
      </w:r>
      <w:r w:rsidRPr="00267206">
        <w:rPr>
          <w:rFonts w:cstheme="minorHAnsi"/>
          <w:sz w:val="24"/>
          <w:szCs w:val="24"/>
        </w:rPr>
        <w:t xml:space="preserve"> evaluate outage requirements. </w:t>
      </w:r>
      <w:r w:rsidR="003D3CD2">
        <w:rPr>
          <w:rFonts w:cstheme="minorHAnsi"/>
          <w:sz w:val="24"/>
          <w:szCs w:val="24"/>
        </w:rPr>
        <w:t xml:space="preserve"> </w:t>
      </w:r>
      <w:r w:rsidRPr="00267206">
        <w:rPr>
          <w:rFonts w:cstheme="minorHAnsi"/>
          <w:sz w:val="24"/>
          <w:szCs w:val="24"/>
        </w:rPr>
        <w:t>The market has witnessed increasing episodes of Operating Condition Notice</w:t>
      </w:r>
      <w:r w:rsidR="009A1B84">
        <w:rPr>
          <w:rFonts w:cstheme="minorHAnsi"/>
          <w:sz w:val="24"/>
          <w:szCs w:val="24"/>
        </w:rPr>
        <w:t>s</w:t>
      </w:r>
      <w:r w:rsidRPr="00267206">
        <w:rPr>
          <w:rFonts w:cstheme="minorHAnsi"/>
          <w:sz w:val="24"/>
          <w:szCs w:val="24"/>
        </w:rPr>
        <w:t xml:space="preserve"> (OCN) and Energy Emergency Alert</w:t>
      </w:r>
      <w:r w:rsidR="009A1B84">
        <w:rPr>
          <w:rFonts w:cstheme="minorHAnsi"/>
          <w:sz w:val="24"/>
          <w:szCs w:val="24"/>
        </w:rPr>
        <w:t>s</w:t>
      </w:r>
      <w:r w:rsidRPr="00267206">
        <w:rPr>
          <w:rFonts w:cstheme="minorHAnsi"/>
          <w:sz w:val="24"/>
          <w:szCs w:val="24"/>
        </w:rPr>
        <w:t xml:space="preserve"> (EEA) during certain seasons that substantially impact delivering low cost, available power to consumers. </w:t>
      </w:r>
      <w:r w:rsidR="003D3CD2">
        <w:rPr>
          <w:rFonts w:cstheme="minorHAnsi"/>
          <w:sz w:val="24"/>
          <w:szCs w:val="24"/>
        </w:rPr>
        <w:t xml:space="preserve"> </w:t>
      </w:r>
      <w:r w:rsidRPr="00267206">
        <w:rPr>
          <w:rFonts w:cstheme="minorHAnsi"/>
          <w:sz w:val="24"/>
          <w:szCs w:val="24"/>
        </w:rPr>
        <w:t xml:space="preserve">Additionally, the available transmission lines face increased constraints due to rerouting of power limiting deliverability.   </w:t>
      </w:r>
    </w:p>
    <w:bookmarkEnd w:id="8"/>
    <w:p w14:paraId="70CE6B98" w14:textId="57E4DEAA" w:rsidR="005A64EF" w:rsidRPr="00267206" w:rsidRDefault="005A64EF" w:rsidP="00267206">
      <w:pPr>
        <w:spacing w:after="0" w:line="360" w:lineRule="auto"/>
        <w:ind w:firstLine="720"/>
        <w:rPr>
          <w:rFonts w:cstheme="minorHAnsi"/>
          <w:kern w:val="0"/>
          <w:sz w:val="24"/>
          <w:szCs w:val="24"/>
          <w14:ligatures w14:val="none"/>
        </w:rPr>
      </w:pPr>
      <w:r w:rsidRPr="00267206">
        <w:rPr>
          <w:rFonts w:cstheme="minorHAnsi"/>
          <w:iCs/>
          <w:sz w:val="24"/>
          <w:szCs w:val="24"/>
        </w:rPr>
        <w:t>Finally, it is of utmost importance that all potential resources be fully and properly considered with appropriate</w:t>
      </w:r>
      <w:r w:rsidR="00D57F4B">
        <w:rPr>
          <w:rFonts w:cstheme="minorHAnsi"/>
          <w:iCs/>
          <w:sz w:val="24"/>
          <w:szCs w:val="24"/>
        </w:rPr>
        <w:t xml:space="preserve"> and </w:t>
      </w:r>
      <w:r w:rsidRPr="00267206">
        <w:rPr>
          <w:rFonts w:cstheme="minorHAnsi"/>
          <w:iCs/>
          <w:sz w:val="24"/>
          <w:szCs w:val="24"/>
        </w:rPr>
        <w:t xml:space="preserve">accurate reliability factors established for each </w:t>
      </w:r>
      <w:r w:rsidR="001260CC">
        <w:rPr>
          <w:rFonts w:cstheme="minorHAnsi"/>
          <w:iCs/>
          <w:sz w:val="24"/>
          <w:szCs w:val="24"/>
        </w:rPr>
        <w:t>re</w:t>
      </w:r>
      <w:r w:rsidRPr="00267206">
        <w:rPr>
          <w:rFonts w:cstheme="minorHAnsi"/>
          <w:iCs/>
          <w:sz w:val="24"/>
          <w:szCs w:val="24"/>
        </w:rPr>
        <w:t>source type, with those factors based on a rigorous and in-depth review of each one using up-to-date data.</w:t>
      </w:r>
    </w:p>
    <w:p w14:paraId="24E5B5FD" w14:textId="77777777" w:rsidR="000D3813" w:rsidRPr="00267206" w:rsidRDefault="000D3813" w:rsidP="000D3813">
      <w:pPr>
        <w:spacing w:after="0" w:line="360" w:lineRule="auto"/>
        <w:rPr>
          <w:rFonts w:cstheme="minorHAnsi"/>
          <w:kern w:val="0"/>
          <w:sz w:val="24"/>
          <w:szCs w:val="24"/>
          <w14:ligatures w14:val="none"/>
        </w:rPr>
      </w:pPr>
    </w:p>
    <w:p w14:paraId="1B837A1D" w14:textId="77777777" w:rsidR="000D3813" w:rsidRPr="00267206" w:rsidRDefault="000D3813" w:rsidP="000D3813">
      <w:pPr>
        <w:spacing w:after="0" w:line="240" w:lineRule="auto"/>
        <w:rPr>
          <w:rFonts w:cstheme="minorHAnsi"/>
          <w:b/>
          <w:bCs/>
          <w:kern w:val="0"/>
          <w:sz w:val="24"/>
          <w:szCs w:val="24"/>
          <w14:ligatures w14:val="none"/>
        </w:rPr>
      </w:pPr>
      <w:r w:rsidRPr="00267206">
        <w:rPr>
          <w:rFonts w:cstheme="minorHAnsi"/>
          <w:b/>
          <w:bCs/>
          <w:kern w:val="0"/>
          <w:sz w:val="24"/>
          <w:szCs w:val="24"/>
          <w14:ligatures w14:val="none"/>
        </w:rPr>
        <w:t xml:space="preserve">(3) Additional considerations in establishing the reliability standard in the ERCOT power region. - Should the reliability standard include a locational requirement? - Should the reliability standard include a seasonal component? - How can extreme events be captured in a reliability standard? - How can the value of distributed energy and load resources be captured in a reliability standard? </w:t>
      </w:r>
    </w:p>
    <w:p w14:paraId="1DF05DCA" w14:textId="77777777" w:rsidR="000D3813" w:rsidRPr="00267206" w:rsidRDefault="000D3813" w:rsidP="000D3813">
      <w:pPr>
        <w:spacing w:after="0" w:line="360" w:lineRule="auto"/>
        <w:rPr>
          <w:rFonts w:cstheme="minorHAnsi"/>
          <w:kern w:val="0"/>
          <w:sz w:val="24"/>
          <w:szCs w:val="24"/>
          <w14:ligatures w14:val="none"/>
        </w:rPr>
      </w:pPr>
    </w:p>
    <w:p w14:paraId="294ACB27" w14:textId="77777777" w:rsidR="000D3813" w:rsidRPr="00267206" w:rsidRDefault="000D3813" w:rsidP="000D3813">
      <w:pPr>
        <w:spacing w:after="0" w:line="360" w:lineRule="auto"/>
        <w:rPr>
          <w:rFonts w:cstheme="minorHAnsi"/>
          <w:b/>
          <w:bCs/>
          <w:kern w:val="0"/>
          <w:sz w:val="24"/>
          <w:szCs w:val="24"/>
          <w14:ligatures w14:val="none"/>
        </w:rPr>
      </w:pPr>
      <w:r w:rsidRPr="00267206">
        <w:rPr>
          <w:rFonts w:cstheme="minorHAnsi"/>
          <w:b/>
          <w:bCs/>
          <w:kern w:val="0"/>
          <w:sz w:val="24"/>
          <w:szCs w:val="24"/>
          <w14:ligatures w14:val="none"/>
        </w:rPr>
        <w:t>APA/ACP RESPONSE:</w:t>
      </w:r>
    </w:p>
    <w:p w14:paraId="18641285" w14:textId="009CB672" w:rsidR="0011063E" w:rsidRDefault="0011063E" w:rsidP="0011063E">
      <w:pPr>
        <w:spacing w:after="0" w:line="360" w:lineRule="auto"/>
        <w:ind w:firstLine="720"/>
        <w:rPr>
          <w:rFonts w:eastAsia="Times New Roman" w:cstheme="minorHAnsi"/>
          <w:kern w:val="0"/>
          <w:sz w:val="24"/>
          <w:szCs w:val="24"/>
          <w14:ligatures w14:val="none"/>
        </w:rPr>
      </w:pPr>
      <w:r>
        <w:rPr>
          <w:rFonts w:eastAsia="Times New Roman" w:cstheme="minorHAnsi"/>
          <w:kern w:val="0"/>
          <w:sz w:val="24"/>
          <w:szCs w:val="24"/>
          <w14:ligatures w14:val="none"/>
        </w:rPr>
        <w:t>APA and ACP believe the most appropriate method to analyze loss of load risk is via probabilistic loss of load studies.</w:t>
      </w:r>
      <w:r w:rsidR="003D3CD2">
        <w:rPr>
          <w:rFonts w:eastAsia="Times New Roman" w:cstheme="minorHAnsi"/>
          <w:kern w:val="0"/>
          <w:sz w:val="24"/>
          <w:szCs w:val="24"/>
          <w14:ligatures w14:val="none"/>
        </w:rPr>
        <w:t xml:space="preserve"> </w:t>
      </w:r>
      <w:r>
        <w:rPr>
          <w:rFonts w:eastAsia="Times New Roman" w:cstheme="minorHAnsi"/>
          <w:kern w:val="0"/>
          <w:sz w:val="24"/>
          <w:szCs w:val="24"/>
          <w14:ligatures w14:val="none"/>
        </w:rPr>
        <w:t xml:space="preserve"> ERCOT has experience using the strategic energy and risk valuation model (SERVM) to conduct probabilistic simulations for reserve margin and loss of load studies, and APA and ACP believe this tool should be used to study various scenarios and assess potential loss of load risk.</w:t>
      </w:r>
      <w:r>
        <w:rPr>
          <w:rStyle w:val="FootnoteReference"/>
          <w:rFonts w:eastAsia="Times New Roman" w:cstheme="minorHAnsi"/>
          <w:kern w:val="0"/>
          <w:sz w:val="24"/>
          <w:szCs w:val="24"/>
          <w14:ligatures w14:val="none"/>
        </w:rPr>
        <w:footnoteReference w:id="8"/>
      </w:r>
      <w:r>
        <w:rPr>
          <w:rFonts w:eastAsia="Times New Roman" w:cstheme="minorHAnsi"/>
          <w:kern w:val="0"/>
          <w:sz w:val="24"/>
          <w:szCs w:val="24"/>
          <w14:ligatures w14:val="none"/>
        </w:rPr>
        <w:t xml:space="preserve"> </w:t>
      </w:r>
      <w:r w:rsidR="003D3CD2">
        <w:rPr>
          <w:rFonts w:eastAsia="Times New Roman" w:cstheme="minorHAnsi"/>
          <w:kern w:val="0"/>
          <w:sz w:val="24"/>
          <w:szCs w:val="24"/>
          <w14:ligatures w14:val="none"/>
        </w:rPr>
        <w:t xml:space="preserve"> </w:t>
      </w:r>
      <w:r>
        <w:rPr>
          <w:rFonts w:eastAsia="Times New Roman" w:cstheme="minorHAnsi"/>
          <w:kern w:val="0"/>
          <w:sz w:val="24"/>
          <w:szCs w:val="24"/>
          <w14:ligatures w14:val="none"/>
        </w:rPr>
        <w:t>The results of these studies can be benchmarked against the reliability standard adopted by the Commission, and the Commission may then make policy decisions necessary to achieve the standard if the studies demonstrate insufficient resource capabilities.</w:t>
      </w:r>
    </w:p>
    <w:p w14:paraId="7A2DF440" w14:textId="51FA9C3F" w:rsidR="0011063E" w:rsidRDefault="0011063E" w:rsidP="0011063E">
      <w:pPr>
        <w:spacing w:after="0" w:line="360" w:lineRule="auto"/>
        <w:ind w:firstLine="720"/>
        <w:rPr>
          <w:rFonts w:eastAsia="Times New Roman" w:cstheme="minorHAnsi"/>
          <w:kern w:val="0"/>
          <w:sz w:val="24"/>
          <w:szCs w:val="24"/>
          <w14:ligatures w14:val="none"/>
        </w:rPr>
      </w:pPr>
    </w:p>
    <w:p w14:paraId="50002798" w14:textId="585E8765" w:rsidR="0011063E" w:rsidRDefault="0011063E" w:rsidP="0011063E">
      <w:pPr>
        <w:spacing w:after="0" w:line="360" w:lineRule="auto"/>
        <w:ind w:firstLine="720"/>
        <w:rPr>
          <w:rFonts w:eastAsia="Times New Roman" w:cstheme="minorHAnsi"/>
          <w:kern w:val="0"/>
          <w:sz w:val="24"/>
          <w:szCs w:val="24"/>
          <w14:ligatures w14:val="none"/>
        </w:rPr>
      </w:pPr>
      <w:r>
        <w:rPr>
          <w:rFonts w:eastAsia="Times New Roman" w:cstheme="minorHAnsi"/>
          <w:kern w:val="0"/>
          <w:sz w:val="24"/>
          <w:szCs w:val="24"/>
          <w14:ligatures w14:val="none"/>
        </w:rPr>
        <w:t>A reliability standard could include a locational requirement to assess if there are sufficient resources to deliver energy to serve load across the ERCOT transmission system.</w:t>
      </w:r>
      <w:r w:rsidR="003D3CD2">
        <w:rPr>
          <w:rFonts w:eastAsia="Times New Roman" w:cstheme="minorHAnsi"/>
          <w:kern w:val="0"/>
          <w:sz w:val="24"/>
          <w:szCs w:val="24"/>
          <w14:ligatures w14:val="none"/>
        </w:rPr>
        <w:t xml:space="preserve"> </w:t>
      </w:r>
      <w:r>
        <w:rPr>
          <w:rFonts w:eastAsia="Times New Roman" w:cstheme="minorHAnsi"/>
          <w:kern w:val="0"/>
          <w:sz w:val="24"/>
          <w:szCs w:val="24"/>
          <w14:ligatures w14:val="none"/>
        </w:rPr>
        <w:t xml:space="preserve"> This would require ERCOT to analyze transfer capability across the transmission system and identify different zones that could be served by local resources or resources outside the zones via transmission delivery. </w:t>
      </w:r>
      <w:r w:rsidR="003D3CD2">
        <w:rPr>
          <w:rFonts w:eastAsia="Times New Roman" w:cstheme="minorHAnsi"/>
          <w:kern w:val="0"/>
          <w:sz w:val="24"/>
          <w:szCs w:val="24"/>
          <w14:ligatures w14:val="none"/>
        </w:rPr>
        <w:t xml:space="preserve"> </w:t>
      </w:r>
      <w:r>
        <w:rPr>
          <w:rFonts w:eastAsia="Times New Roman" w:cstheme="minorHAnsi"/>
          <w:kern w:val="0"/>
          <w:sz w:val="24"/>
          <w:szCs w:val="24"/>
          <w14:ligatures w14:val="none"/>
        </w:rPr>
        <w:t xml:space="preserve">The ability of a new transmission project to increase transfer capability and facilitate the integration of new resources to meet the reliability standard would be a reliability benefit that should be assessed in the transmission planning process.      </w:t>
      </w:r>
    </w:p>
    <w:p w14:paraId="77D67879" w14:textId="77777777" w:rsidR="0011063E" w:rsidRDefault="0011063E" w:rsidP="0011063E">
      <w:pPr>
        <w:spacing w:after="0" w:line="360" w:lineRule="auto"/>
        <w:ind w:firstLine="720"/>
        <w:rPr>
          <w:rFonts w:eastAsia="Times New Roman" w:cstheme="minorHAnsi"/>
          <w:kern w:val="0"/>
          <w:sz w:val="24"/>
          <w:szCs w:val="24"/>
          <w14:ligatures w14:val="none"/>
        </w:rPr>
      </w:pPr>
    </w:p>
    <w:p w14:paraId="1808A07C" w14:textId="3D7D22C4" w:rsidR="0011063E" w:rsidRDefault="0011063E" w:rsidP="0011063E">
      <w:pPr>
        <w:spacing w:after="0" w:line="360" w:lineRule="auto"/>
        <w:ind w:firstLine="720"/>
        <w:rPr>
          <w:rFonts w:eastAsia="Times New Roman" w:cstheme="minorHAnsi"/>
          <w:kern w:val="0"/>
          <w:sz w:val="24"/>
          <w:szCs w:val="24"/>
          <w14:ligatures w14:val="none"/>
        </w:rPr>
      </w:pPr>
      <w:r w:rsidRPr="000D3813">
        <w:rPr>
          <w:rFonts w:eastAsia="Times New Roman" w:cstheme="minorHAnsi"/>
          <w:kern w:val="0"/>
          <w:sz w:val="24"/>
          <w:szCs w:val="24"/>
          <w14:ligatures w14:val="none"/>
        </w:rPr>
        <w:t xml:space="preserve">A seasonal component to more accurately model and assess load shed risk that is different across seasons may be the most beneficial. </w:t>
      </w:r>
      <w:r w:rsidR="003D3CD2">
        <w:rPr>
          <w:rFonts w:eastAsia="Times New Roman" w:cstheme="minorHAnsi"/>
          <w:kern w:val="0"/>
          <w:sz w:val="24"/>
          <w:szCs w:val="24"/>
          <w14:ligatures w14:val="none"/>
        </w:rPr>
        <w:t xml:space="preserve"> </w:t>
      </w:r>
      <w:r w:rsidRPr="000D3813">
        <w:rPr>
          <w:rFonts w:eastAsia="Times New Roman" w:cstheme="minorHAnsi"/>
          <w:kern w:val="0"/>
          <w:sz w:val="24"/>
          <w:szCs w:val="24"/>
          <w14:ligatures w14:val="none"/>
        </w:rPr>
        <w:t>However, while seasonal may be more accurate than an annual model, it is more complex to model and administer.</w:t>
      </w:r>
    </w:p>
    <w:p w14:paraId="559A060E" w14:textId="77777777" w:rsidR="0011063E" w:rsidRDefault="0011063E" w:rsidP="0011063E">
      <w:pPr>
        <w:spacing w:after="0" w:line="360" w:lineRule="auto"/>
        <w:ind w:firstLine="720"/>
        <w:rPr>
          <w:rFonts w:eastAsia="Times New Roman" w:cstheme="minorHAnsi"/>
          <w:kern w:val="0"/>
          <w:sz w:val="24"/>
          <w:szCs w:val="24"/>
          <w14:ligatures w14:val="none"/>
        </w:rPr>
      </w:pPr>
    </w:p>
    <w:p w14:paraId="3560568F" w14:textId="04AB9F1C" w:rsidR="000D3813" w:rsidRPr="00267206" w:rsidRDefault="0011063E" w:rsidP="0011063E">
      <w:pPr>
        <w:spacing w:after="0" w:line="360" w:lineRule="auto"/>
        <w:ind w:firstLine="720"/>
        <w:rPr>
          <w:rFonts w:eastAsia="Times New Roman" w:cstheme="minorHAnsi"/>
          <w:kern w:val="0"/>
          <w:sz w:val="24"/>
          <w:szCs w:val="24"/>
          <w14:ligatures w14:val="none"/>
        </w:rPr>
      </w:pPr>
      <w:r>
        <w:rPr>
          <w:rFonts w:eastAsia="Times New Roman" w:cstheme="minorHAnsi"/>
          <w:kern w:val="0"/>
          <w:sz w:val="24"/>
          <w:szCs w:val="24"/>
          <w14:ligatures w14:val="none"/>
        </w:rPr>
        <w:t xml:space="preserve">Finally, ERCOT’s probabilistic studies should model extreme weather events and correlated outage risk of resources during extreme weather events, which have demonstrated increased risk of high forced outage risk for resources during extreme cold temperatures.  </w:t>
      </w:r>
      <w:r w:rsidR="003D3CD2">
        <w:rPr>
          <w:rFonts w:eastAsia="Times New Roman" w:cstheme="minorHAnsi"/>
          <w:kern w:val="0"/>
          <w:sz w:val="24"/>
          <w:szCs w:val="24"/>
          <w14:ligatures w14:val="none"/>
        </w:rPr>
        <w:t xml:space="preserve"> </w:t>
      </w:r>
      <w:r>
        <w:rPr>
          <w:rFonts w:eastAsia="Times New Roman" w:cstheme="minorHAnsi"/>
          <w:kern w:val="0"/>
          <w:sz w:val="24"/>
          <w:szCs w:val="24"/>
          <w14:ligatures w14:val="none"/>
        </w:rPr>
        <w:t>Additional review is likely needed to determine appropriate ways to incorporate the potential risks posed by extreme weather events.</w:t>
      </w:r>
    </w:p>
    <w:p w14:paraId="4BE5790D" w14:textId="77777777" w:rsidR="000D3813" w:rsidRPr="00267206" w:rsidRDefault="000D3813" w:rsidP="000D3813">
      <w:pPr>
        <w:spacing w:after="0" w:line="360" w:lineRule="auto"/>
        <w:rPr>
          <w:rFonts w:cstheme="minorHAnsi"/>
          <w:kern w:val="0"/>
          <w:sz w:val="24"/>
          <w:szCs w:val="24"/>
          <w14:ligatures w14:val="none"/>
        </w:rPr>
      </w:pPr>
    </w:p>
    <w:p w14:paraId="3D61BE0A" w14:textId="77777777" w:rsidR="000D3813" w:rsidRPr="00267206" w:rsidRDefault="000D3813" w:rsidP="000D3813">
      <w:pPr>
        <w:spacing w:after="0" w:line="240" w:lineRule="auto"/>
        <w:rPr>
          <w:rFonts w:cstheme="minorHAnsi"/>
          <w:b/>
          <w:bCs/>
          <w:kern w:val="0"/>
          <w:sz w:val="24"/>
          <w:szCs w:val="24"/>
          <w14:ligatures w14:val="none"/>
        </w:rPr>
      </w:pPr>
      <w:r w:rsidRPr="00267206">
        <w:rPr>
          <w:rFonts w:cstheme="minorHAnsi"/>
          <w:b/>
          <w:bCs/>
          <w:kern w:val="0"/>
          <w:sz w:val="24"/>
          <w:szCs w:val="24"/>
          <w14:ligatures w14:val="none"/>
        </w:rPr>
        <w:t>(4) How frequently should the Commission update the calculation of the requirement necessary to meet the reliability standard? - What criteria should help determine the frequency of the update?</w:t>
      </w:r>
    </w:p>
    <w:p w14:paraId="69C4690F" w14:textId="77777777" w:rsidR="000D3813" w:rsidRPr="00267206" w:rsidRDefault="000D3813" w:rsidP="000D3813">
      <w:pPr>
        <w:spacing w:after="0" w:line="360" w:lineRule="auto"/>
        <w:rPr>
          <w:rFonts w:cstheme="minorHAnsi"/>
          <w:b/>
          <w:bCs/>
          <w:kern w:val="0"/>
          <w:sz w:val="24"/>
          <w:szCs w:val="24"/>
          <w14:ligatures w14:val="none"/>
        </w:rPr>
      </w:pPr>
    </w:p>
    <w:p w14:paraId="2EFF6614" w14:textId="77777777" w:rsidR="000D3813" w:rsidRPr="00267206" w:rsidRDefault="000D3813" w:rsidP="000D3813">
      <w:pPr>
        <w:spacing w:after="0" w:line="360" w:lineRule="auto"/>
        <w:rPr>
          <w:rFonts w:cstheme="minorHAnsi"/>
          <w:b/>
          <w:bCs/>
          <w:kern w:val="0"/>
          <w:sz w:val="24"/>
          <w:szCs w:val="24"/>
          <w14:ligatures w14:val="none"/>
        </w:rPr>
      </w:pPr>
      <w:r w:rsidRPr="00267206">
        <w:rPr>
          <w:rFonts w:cstheme="minorHAnsi"/>
          <w:b/>
          <w:bCs/>
          <w:kern w:val="0"/>
          <w:sz w:val="24"/>
          <w:szCs w:val="24"/>
          <w14:ligatures w14:val="none"/>
        </w:rPr>
        <w:t>APA/ACP RESPONSE:</w:t>
      </w:r>
    </w:p>
    <w:p w14:paraId="16FBC9E3" w14:textId="4703A9D9" w:rsidR="000D3813" w:rsidRPr="00267206" w:rsidRDefault="000D3813" w:rsidP="00267206">
      <w:pPr>
        <w:spacing w:after="0" w:line="360" w:lineRule="auto"/>
        <w:ind w:firstLine="720"/>
        <w:rPr>
          <w:rFonts w:cstheme="minorHAnsi"/>
          <w:kern w:val="0"/>
          <w:sz w:val="24"/>
          <w:szCs w:val="24"/>
          <w14:ligatures w14:val="none"/>
        </w:rPr>
      </w:pPr>
      <w:r w:rsidRPr="00267206">
        <w:rPr>
          <w:rFonts w:cstheme="minorHAnsi"/>
          <w:kern w:val="0"/>
          <w:sz w:val="24"/>
          <w:szCs w:val="24"/>
          <w14:ligatures w14:val="none"/>
        </w:rPr>
        <w:t>Consistency in resource adequacy analysis and reporting will provide better insight on what shortfall events look like across the system and will help the industry better understand how resource adequacy risks shift with changes in the resource mix of increased variable renewable energy, energy storage, and load flexibility of modern power systems.</w:t>
      </w:r>
      <w:r w:rsidRPr="00267206">
        <w:rPr>
          <w:rFonts w:cstheme="minorHAnsi"/>
          <w:kern w:val="0"/>
          <w:sz w:val="24"/>
          <w:szCs w:val="24"/>
          <w:vertAlign w:val="superscript"/>
          <w14:ligatures w14:val="none"/>
        </w:rPr>
        <w:footnoteReference w:id="9"/>
      </w:r>
      <w:r w:rsidRPr="00267206">
        <w:rPr>
          <w:rFonts w:cstheme="minorHAnsi"/>
          <w:kern w:val="0"/>
          <w:sz w:val="24"/>
          <w:szCs w:val="24"/>
          <w14:ligatures w14:val="none"/>
        </w:rPr>
        <w:t xml:space="preserve">  We believe the Commission could start with a biennial review and evaluate the need for more or less frequent analysis. </w:t>
      </w:r>
      <w:r w:rsidR="003D3CD2">
        <w:rPr>
          <w:rFonts w:cstheme="minorHAnsi"/>
          <w:kern w:val="0"/>
          <w:sz w:val="24"/>
          <w:szCs w:val="24"/>
          <w14:ligatures w14:val="none"/>
        </w:rPr>
        <w:t xml:space="preserve"> </w:t>
      </w:r>
      <w:r w:rsidRPr="00267206">
        <w:rPr>
          <w:rFonts w:cstheme="minorHAnsi"/>
          <w:kern w:val="0"/>
          <w:sz w:val="24"/>
          <w:szCs w:val="24"/>
          <w14:ligatures w14:val="none"/>
        </w:rPr>
        <w:t>The Commission should also consider utilization of the metrics to develop detailed statistics of the shortfall events themselves in order to better characterize the size, frequency, duration, and timing of events so that mitigation measures can be properly sized.</w:t>
      </w:r>
      <w:r w:rsidRPr="00267206">
        <w:rPr>
          <w:rFonts w:cstheme="minorHAnsi"/>
          <w:kern w:val="0"/>
          <w:sz w:val="24"/>
          <w:szCs w:val="24"/>
          <w:vertAlign w:val="superscript"/>
          <w14:ligatures w14:val="none"/>
        </w:rPr>
        <w:footnoteReference w:id="10"/>
      </w:r>
      <w:r w:rsidRPr="00267206">
        <w:rPr>
          <w:rFonts w:cstheme="minorHAnsi"/>
          <w:kern w:val="0"/>
          <w:sz w:val="24"/>
          <w:szCs w:val="24"/>
          <w14:ligatures w14:val="none"/>
        </w:rPr>
        <w:t xml:space="preserve"> </w:t>
      </w:r>
    </w:p>
    <w:p w14:paraId="544AE25C" w14:textId="77777777" w:rsidR="00267206" w:rsidRDefault="00267206" w:rsidP="00267206">
      <w:pPr>
        <w:spacing w:after="0" w:line="360" w:lineRule="auto"/>
        <w:ind w:firstLine="720"/>
        <w:jc w:val="both"/>
        <w:rPr>
          <w:rFonts w:cstheme="minorHAnsi"/>
          <w:iCs/>
          <w:sz w:val="24"/>
          <w:szCs w:val="24"/>
        </w:rPr>
      </w:pPr>
    </w:p>
    <w:p w14:paraId="011B5037" w14:textId="12983A2A" w:rsidR="008B6F73" w:rsidRPr="00267206" w:rsidRDefault="008B6F73" w:rsidP="00267206">
      <w:pPr>
        <w:spacing w:after="0" w:line="360" w:lineRule="auto"/>
        <w:ind w:firstLine="720"/>
        <w:jc w:val="both"/>
        <w:rPr>
          <w:rFonts w:cstheme="minorHAnsi"/>
          <w:iCs/>
          <w:sz w:val="24"/>
          <w:szCs w:val="24"/>
        </w:rPr>
      </w:pPr>
      <w:r w:rsidRPr="00267206">
        <w:rPr>
          <w:rFonts w:cstheme="minorHAnsi"/>
          <w:iCs/>
          <w:sz w:val="24"/>
          <w:szCs w:val="24"/>
        </w:rPr>
        <w:t xml:space="preserve">In line with the above, a permanent working group should be established to monitor the progress or the lack thereof in effectively utilizing these standards. </w:t>
      </w:r>
      <w:r w:rsidR="003D3CD2">
        <w:rPr>
          <w:rFonts w:cstheme="minorHAnsi"/>
          <w:iCs/>
          <w:sz w:val="24"/>
          <w:szCs w:val="24"/>
        </w:rPr>
        <w:t xml:space="preserve"> </w:t>
      </w:r>
      <w:r w:rsidRPr="00267206">
        <w:rPr>
          <w:rFonts w:cstheme="minorHAnsi"/>
          <w:iCs/>
          <w:sz w:val="24"/>
          <w:szCs w:val="24"/>
        </w:rPr>
        <w:t xml:space="preserve">This is particularly important during this early phase of the transition that is currently underway to ensure reliability standards include sufficient resource adequacy for meeting reliability rules. </w:t>
      </w:r>
      <w:r w:rsidR="003D3CD2">
        <w:rPr>
          <w:rFonts w:cstheme="minorHAnsi"/>
          <w:iCs/>
          <w:sz w:val="24"/>
          <w:szCs w:val="24"/>
        </w:rPr>
        <w:t xml:space="preserve"> </w:t>
      </w:r>
      <w:r w:rsidRPr="00267206">
        <w:rPr>
          <w:rFonts w:cstheme="minorHAnsi"/>
          <w:iCs/>
          <w:sz w:val="24"/>
          <w:szCs w:val="24"/>
        </w:rPr>
        <w:t xml:space="preserve">This, coupled with extreme weather and uncertainty issues, makes resource adequacy a top priority. </w:t>
      </w:r>
      <w:r w:rsidR="003D3CD2">
        <w:rPr>
          <w:rFonts w:cstheme="minorHAnsi"/>
          <w:iCs/>
          <w:sz w:val="24"/>
          <w:szCs w:val="24"/>
        </w:rPr>
        <w:t xml:space="preserve"> </w:t>
      </w:r>
      <w:r w:rsidRPr="00267206">
        <w:rPr>
          <w:rFonts w:cstheme="minorHAnsi"/>
          <w:iCs/>
          <w:sz w:val="24"/>
          <w:szCs w:val="24"/>
        </w:rPr>
        <w:t xml:space="preserve">This working group would monitor relevant resource adequacy assessments by ERCOT and advise the PUCT, when appropriate, as to its insights regarding resource adequacy matters. </w:t>
      </w:r>
    </w:p>
    <w:p w14:paraId="547CBAEB" w14:textId="77777777" w:rsidR="000D3813" w:rsidRPr="00267206" w:rsidRDefault="000D3813" w:rsidP="00267206">
      <w:pPr>
        <w:spacing w:after="0" w:line="360" w:lineRule="auto"/>
        <w:rPr>
          <w:rFonts w:cstheme="minorHAnsi"/>
          <w:kern w:val="0"/>
          <w:sz w:val="24"/>
          <w:szCs w:val="24"/>
          <w14:ligatures w14:val="none"/>
        </w:rPr>
      </w:pPr>
      <w:r w:rsidRPr="00267206">
        <w:rPr>
          <w:rFonts w:cstheme="minorHAnsi"/>
          <w:kern w:val="0"/>
          <w:sz w:val="24"/>
          <w:szCs w:val="24"/>
          <w14:ligatures w14:val="none"/>
        </w:rPr>
        <w:t xml:space="preserve"> </w:t>
      </w:r>
    </w:p>
    <w:p w14:paraId="501B9EB7" w14:textId="77777777" w:rsidR="000D3813" w:rsidRPr="00267206" w:rsidRDefault="000D3813" w:rsidP="000D3813">
      <w:pPr>
        <w:spacing w:after="0" w:line="240" w:lineRule="auto"/>
        <w:rPr>
          <w:rFonts w:cstheme="minorHAnsi"/>
          <w:b/>
          <w:bCs/>
          <w:kern w:val="0"/>
          <w:sz w:val="24"/>
          <w:szCs w:val="24"/>
          <w:u w:val="single"/>
          <w14:ligatures w14:val="none"/>
        </w:rPr>
      </w:pPr>
      <w:r w:rsidRPr="00267206">
        <w:rPr>
          <w:rFonts w:cstheme="minorHAnsi"/>
          <w:b/>
          <w:bCs/>
          <w:kern w:val="0"/>
          <w:sz w:val="24"/>
          <w:szCs w:val="24"/>
          <w14:ligatures w14:val="none"/>
        </w:rPr>
        <w:t>(5) If you have any industry or academic papers on the topic and best practices that you believe the Commission should review while establishing the reliability standard for the ERCOT power region, please provide them.</w:t>
      </w:r>
    </w:p>
    <w:p w14:paraId="4EA4A80C" w14:textId="77777777" w:rsidR="000D3813" w:rsidRPr="00267206" w:rsidRDefault="000D3813" w:rsidP="000D3813">
      <w:pPr>
        <w:spacing w:after="0" w:line="360" w:lineRule="auto"/>
        <w:rPr>
          <w:rFonts w:cstheme="minorHAnsi"/>
          <w:b/>
          <w:bCs/>
          <w:kern w:val="0"/>
          <w:sz w:val="24"/>
          <w:szCs w:val="24"/>
          <w:u w:val="single"/>
          <w14:ligatures w14:val="none"/>
        </w:rPr>
      </w:pPr>
    </w:p>
    <w:p w14:paraId="4D7CDEB1" w14:textId="4955E7BF" w:rsidR="008B6F73" w:rsidRPr="00267206" w:rsidRDefault="000D3813" w:rsidP="00267206">
      <w:pPr>
        <w:spacing w:after="0" w:line="360" w:lineRule="auto"/>
        <w:rPr>
          <w:rFonts w:cstheme="minorHAnsi"/>
          <w:kern w:val="0"/>
          <w:sz w:val="24"/>
          <w:szCs w:val="24"/>
          <w14:ligatures w14:val="none"/>
        </w:rPr>
      </w:pPr>
      <w:r w:rsidRPr="00267206">
        <w:rPr>
          <w:rFonts w:cstheme="minorHAnsi"/>
          <w:b/>
          <w:bCs/>
          <w:kern w:val="0"/>
          <w:sz w:val="24"/>
          <w:szCs w:val="24"/>
          <w14:ligatures w14:val="none"/>
        </w:rPr>
        <w:t>APA/ACP RESPONSE:</w:t>
      </w:r>
    </w:p>
    <w:p w14:paraId="23F104A3" w14:textId="2071C487" w:rsidR="000755FF" w:rsidRPr="000755FF" w:rsidRDefault="000755FF" w:rsidP="00267206">
      <w:pPr>
        <w:spacing w:after="0" w:line="240" w:lineRule="auto"/>
        <w:rPr>
          <w:rFonts w:cstheme="minorHAnsi"/>
          <w:b/>
          <w:bCs/>
          <w:color w:val="2E2E2E"/>
          <w:sz w:val="24"/>
          <w:szCs w:val="24"/>
        </w:rPr>
      </w:pPr>
      <w:r w:rsidRPr="000755FF">
        <w:rPr>
          <w:b/>
          <w:bCs/>
          <w:sz w:val="24"/>
          <w:szCs w:val="24"/>
        </w:rPr>
        <w:t>Energy Systems Integration Group. 2021. Redefining Resource Adequacy for Modern Power Systems. A Report of the Redefining Resource Adequacy Task Force. Reston, VA.</w:t>
      </w:r>
      <w:r w:rsidRPr="000755FF">
        <w:rPr>
          <w:sz w:val="24"/>
          <w:szCs w:val="24"/>
        </w:rPr>
        <w:t xml:space="preserve"> https://www.esia.eneray/resource-adequacy-for-modern-power-systems.</w:t>
      </w:r>
      <w:r w:rsidR="00057573">
        <w:rPr>
          <w:sz w:val="24"/>
          <w:szCs w:val="24"/>
        </w:rPr>
        <w:t>/</w:t>
      </w:r>
    </w:p>
    <w:p w14:paraId="220C5403" w14:textId="77777777" w:rsidR="000755FF" w:rsidRDefault="000755FF" w:rsidP="00267206">
      <w:pPr>
        <w:spacing w:after="0" w:line="240" w:lineRule="auto"/>
        <w:rPr>
          <w:rFonts w:cstheme="minorHAnsi"/>
          <w:b/>
          <w:bCs/>
          <w:color w:val="2E2E2E"/>
          <w:sz w:val="24"/>
          <w:szCs w:val="24"/>
        </w:rPr>
      </w:pPr>
    </w:p>
    <w:p w14:paraId="54190ECF" w14:textId="704BABD7" w:rsidR="008B6F73" w:rsidRPr="00267206" w:rsidRDefault="008B6F73" w:rsidP="00267206">
      <w:pPr>
        <w:spacing w:after="0" w:line="240" w:lineRule="auto"/>
        <w:rPr>
          <w:rFonts w:cstheme="minorHAnsi"/>
          <w:sz w:val="24"/>
          <w:szCs w:val="24"/>
        </w:rPr>
      </w:pPr>
      <w:r w:rsidRPr="00267206">
        <w:rPr>
          <w:rFonts w:cstheme="minorHAnsi"/>
          <w:b/>
          <w:bCs/>
          <w:color w:val="2E2E2E"/>
          <w:sz w:val="24"/>
          <w:szCs w:val="24"/>
        </w:rPr>
        <w:t>Resource Adequacies Metrics and Their Applications</w:t>
      </w:r>
      <w:r w:rsidRPr="00267206">
        <w:rPr>
          <w:rFonts w:cstheme="minorHAnsi"/>
          <w:color w:val="2E2E2E"/>
          <w:sz w:val="24"/>
          <w:szCs w:val="24"/>
        </w:rPr>
        <w:t xml:space="preserve"> </w:t>
      </w:r>
      <w:r w:rsidRPr="00267206">
        <w:rPr>
          <w:rFonts w:cstheme="minorHAnsi"/>
          <w:sz w:val="24"/>
          <w:szCs w:val="24"/>
        </w:rPr>
        <w:t>https://www.nysrc.org/PDF/Reports/Resource%20Adequacy%20Metric%20Report%20Final%204-20-2020%5B6431%5D.pdf</w:t>
      </w:r>
    </w:p>
    <w:p w14:paraId="39A85501" w14:textId="77777777" w:rsidR="00267206" w:rsidRDefault="00267206" w:rsidP="00267206">
      <w:pPr>
        <w:spacing w:after="0" w:line="240" w:lineRule="auto"/>
        <w:rPr>
          <w:rFonts w:cstheme="minorHAnsi"/>
          <w:sz w:val="24"/>
          <w:szCs w:val="24"/>
        </w:rPr>
      </w:pPr>
    </w:p>
    <w:p w14:paraId="1F2309FD" w14:textId="103AC51B" w:rsidR="00267206" w:rsidRPr="00267206" w:rsidRDefault="008B6F73" w:rsidP="00267206">
      <w:pPr>
        <w:spacing w:after="0" w:line="240" w:lineRule="auto"/>
        <w:rPr>
          <w:rFonts w:cstheme="minorHAnsi"/>
          <w:b/>
          <w:bCs/>
          <w:sz w:val="24"/>
          <w:szCs w:val="24"/>
        </w:rPr>
      </w:pPr>
      <w:r w:rsidRPr="00267206">
        <w:rPr>
          <w:rFonts w:cstheme="minorHAnsi"/>
          <w:b/>
          <w:bCs/>
          <w:sz w:val="24"/>
          <w:szCs w:val="24"/>
        </w:rPr>
        <w:t>Effective Load Carrying Capability</w:t>
      </w:r>
    </w:p>
    <w:p w14:paraId="5FD4B2EA" w14:textId="42EAF061" w:rsidR="008B6F73" w:rsidRPr="00267206" w:rsidRDefault="008B6F73" w:rsidP="00267206">
      <w:pPr>
        <w:spacing w:after="0" w:line="240" w:lineRule="auto"/>
        <w:rPr>
          <w:rFonts w:cstheme="minorHAnsi"/>
          <w:sz w:val="24"/>
          <w:szCs w:val="24"/>
        </w:rPr>
      </w:pPr>
      <w:r w:rsidRPr="00267206">
        <w:rPr>
          <w:rFonts w:cstheme="minorHAnsi"/>
          <w:sz w:val="24"/>
          <w:szCs w:val="24"/>
        </w:rPr>
        <w:t>http://www.caiso.com/Documents/IssuePaper-GenerationDeliverabilityAssessment.pdf</w:t>
      </w:r>
    </w:p>
    <w:p w14:paraId="528E8EC0" w14:textId="77777777" w:rsidR="00267206" w:rsidRDefault="00267206" w:rsidP="00267206">
      <w:pPr>
        <w:spacing w:after="0" w:line="240" w:lineRule="auto"/>
        <w:rPr>
          <w:rFonts w:cstheme="minorHAnsi"/>
          <w:color w:val="2E2E2E"/>
          <w:sz w:val="24"/>
          <w:szCs w:val="24"/>
        </w:rPr>
      </w:pPr>
    </w:p>
    <w:p w14:paraId="7DE0B0A4" w14:textId="6E9483BB" w:rsidR="008B6F73" w:rsidRPr="00267206" w:rsidRDefault="008B6F73" w:rsidP="00267206">
      <w:pPr>
        <w:spacing w:after="0" w:line="240" w:lineRule="auto"/>
        <w:rPr>
          <w:rFonts w:cstheme="minorHAnsi"/>
          <w:sz w:val="24"/>
          <w:szCs w:val="24"/>
        </w:rPr>
      </w:pPr>
      <w:r w:rsidRPr="00267206">
        <w:rPr>
          <w:rFonts w:cstheme="minorHAnsi"/>
          <w:b/>
          <w:bCs/>
          <w:color w:val="2E2E2E"/>
          <w:sz w:val="24"/>
          <w:szCs w:val="24"/>
        </w:rPr>
        <w:t xml:space="preserve">Three probabilistic metrics for adequacy assessment of the Pacific Northwest power system </w:t>
      </w:r>
      <w:r w:rsidRPr="00267206">
        <w:rPr>
          <w:rFonts w:cstheme="minorHAnsi"/>
          <w:sz w:val="24"/>
          <w:szCs w:val="24"/>
        </w:rPr>
        <w:t>https://www.sciencedirect.com/science/article/pii/S0378779619301713</w:t>
      </w:r>
    </w:p>
    <w:p w14:paraId="299CCDA5" w14:textId="77777777" w:rsidR="000D3813" w:rsidRPr="00267206" w:rsidRDefault="000D3813" w:rsidP="00267206">
      <w:pPr>
        <w:spacing w:after="0" w:line="240" w:lineRule="auto"/>
        <w:rPr>
          <w:rFonts w:cstheme="minorHAnsi"/>
          <w:b/>
          <w:bCs/>
          <w:kern w:val="0"/>
          <w:sz w:val="24"/>
          <w:szCs w:val="24"/>
          <w:u w:val="single"/>
          <w14:ligatures w14:val="none"/>
        </w:rPr>
      </w:pPr>
    </w:p>
    <w:p w14:paraId="7F8A079B" w14:textId="77777777" w:rsidR="000D3813" w:rsidRPr="00267206" w:rsidRDefault="000D3813" w:rsidP="000D3813">
      <w:pPr>
        <w:spacing w:after="0" w:line="360" w:lineRule="auto"/>
        <w:rPr>
          <w:rFonts w:cstheme="minorHAnsi"/>
          <w:kern w:val="0"/>
          <w:sz w:val="24"/>
          <w:szCs w:val="24"/>
          <w14:ligatures w14:val="none"/>
        </w:rPr>
      </w:pPr>
    </w:p>
    <w:p w14:paraId="1CE5B387" w14:textId="3C4F6D79" w:rsidR="000D3813" w:rsidRPr="00FD5CFE" w:rsidRDefault="000D3813" w:rsidP="000D3813">
      <w:pPr>
        <w:numPr>
          <w:ilvl w:val="0"/>
          <w:numId w:val="1"/>
        </w:numPr>
        <w:spacing w:after="0" w:line="360" w:lineRule="auto"/>
        <w:jc w:val="center"/>
        <w:rPr>
          <w:rFonts w:eastAsiaTheme="minorEastAsia" w:cstheme="minorHAnsi"/>
          <w:b/>
          <w:bCs/>
          <w:kern w:val="0"/>
          <w:sz w:val="24"/>
          <w:szCs w:val="24"/>
          <w:u w:val="single"/>
          <w14:ligatures w14:val="none"/>
        </w:rPr>
      </w:pPr>
      <w:r w:rsidRPr="00267206">
        <w:rPr>
          <w:rFonts w:eastAsiaTheme="minorEastAsia" w:cstheme="minorHAnsi"/>
          <w:b/>
          <w:bCs/>
          <w:kern w:val="0"/>
          <w:sz w:val="24"/>
          <w:szCs w:val="24"/>
          <w:u w:val="single"/>
          <w14:ligatures w14:val="none"/>
        </w:rPr>
        <w:t>CONCLUSION</w:t>
      </w:r>
    </w:p>
    <w:p w14:paraId="2D1C7348" w14:textId="6E0F966F" w:rsidR="000D3813" w:rsidRPr="00267206" w:rsidRDefault="004B7512" w:rsidP="003036AD">
      <w:pPr>
        <w:spacing w:after="0" w:line="360" w:lineRule="auto"/>
        <w:ind w:firstLine="360"/>
        <w:rPr>
          <w:rFonts w:eastAsiaTheme="minorEastAsia" w:cstheme="minorHAnsi"/>
          <w:kern w:val="0"/>
          <w:sz w:val="24"/>
          <w:szCs w:val="24"/>
          <w14:ligatures w14:val="none"/>
        </w:rPr>
      </w:pPr>
      <w:bookmarkStart w:id="9" w:name="_Hlk130824378"/>
      <w:r>
        <w:rPr>
          <w:rFonts w:eastAsiaTheme="minorEastAsia" w:cstheme="minorHAnsi"/>
          <w:kern w:val="0"/>
          <w:sz w:val="24"/>
          <w:szCs w:val="24"/>
          <w14:ligatures w14:val="none"/>
        </w:rPr>
        <w:t xml:space="preserve">The Advanced Power Alliance and the American Clean Power Association appreciate the opportunity to provide comments in this project. </w:t>
      </w:r>
      <w:bookmarkEnd w:id="9"/>
      <w:r>
        <w:rPr>
          <w:rFonts w:eastAsiaTheme="minorEastAsia" w:cstheme="minorHAnsi"/>
          <w:kern w:val="0"/>
          <w:sz w:val="24"/>
          <w:szCs w:val="24"/>
          <w14:ligatures w14:val="none"/>
        </w:rPr>
        <w:t xml:space="preserve">We </w:t>
      </w:r>
      <w:r w:rsidRPr="00267206">
        <w:rPr>
          <w:rFonts w:cstheme="minorHAnsi"/>
          <w:kern w:val="0"/>
          <w:sz w:val="24"/>
          <w:szCs w:val="24"/>
          <w14:ligatures w14:val="none"/>
        </w:rPr>
        <w:t>urge the Commission to carefully consider a variety of metrics rather than adopting and relying upon a single metric.</w:t>
      </w:r>
      <w:r>
        <w:rPr>
          <w:rFonts w:cstheme="minorHAnsi"/>
          <w:kern w:val="0"/>
          <w:sz w:val="24"/>
          <w:szCs w:val="24"/>
          <w14:ligatures w14:val="none"/>
        </w:rPr>
        <w:t xml:space="preserve"> We look forward to continuing to work with the Commission as the Commission determines the reliability standard for the ERCOT </w:t>
      </w:r>
      <w:r w:rsidR="003036AD">
        <w:rPr>
          <w:rFonts w:cstheme="minorHAnsi"/>
          <w:kern w:val="0"/>
          <w:sz w:val="24"/>
          <w:szCs w:val="24"/>
          <w14:ligatures w14:val="none"/>
        </w:rPr>
        <w:t>r</w:t>
      </w:r>
      <w:r>
        <w:rPr>
          <w:rFonts w:cstheme="minorHAnsi"/>
          <w:kern w:val="0"/>
          <w:sz w:val="24"/>
          <w:szCs w:val="24"/>
          <w14:ligatures w14:val="none"/>
        </w:rPr>
        <w:t>egion.</w:t>
      </w:r>
    </w:p>
    <w:p w14:paraId="2BEE24B1" w14:textId="45B86EA0" w:rsidR="000D3813" w:rsidRPr="00FD5CFE" w:rsidRDefault="004B7512" w:rsidP="00FD5CFE">
      <w:pPr>
        <w:jc w:val="center"/>
        <w:rPr>
          <w:rFonts w:eastAsiaTheme="minorEastAsia" w:cstheme="minorHAnsi"/>
          <w:b/>
          <w:bCs/>
          <w:kern w:val="0"/>
          <w:sz w:val="24"/>
          <w:szCs w:val="24"/>
          <w:u w:val="single"/>
          <w14:ligatures w14:val="none"/>
        </w:rPr>
      </w:pPr>
      <w:r>
        <w:rPr>
          <w:rFonts w:eastAsiaTheme="minorEastAsia" w:cstheme="minorHAnsi"/>
          <w:b/>
          <w:bCs/>
          <w:kern w:val="0"/>
          <w:sz w:val="24"/>
          <w:szCs w:val="24"/>
          <w:u w:val="single"/>
          <w14:ligatures w14:val="none"/>
        </w:rPr>
        <w:br w:type="page"/>
      </w:r>
      <w:r w:rsidR="000D3813" w:rsidRPr="00267206">
        <w:rPr>
          <w:rFonts w:eastAsiaTheme="minorEastAsia" w:cstheme="minorHAnsi"/>
          <w:b/>
          <w:bCs/>
          <w:kern w:val="0"/>
          <w:sz w:val="24"/>
          <w:szCs w:val="24"/>
          <w14:ligatures w14:val="none"/>
        </w:rPr>
        <w:t>PROJECT NO. 54584</w:t>
      </w:r>
    </w:p>
    <w:p w14:paraId="6A027064" w14:textId="77777777" w:rsidR="000D3813" w:rsidRPr="00267206" w:rsidRDefault="000D3813" w:rsidP="000D3813">
      <w:pPr>
        <w:spacing w:after="0" w:line="360" w:lineRule="auto"/>
        <w:jc w:val="center"/>
        <w:rPr>
          <w:rFonts w:eastAsiaTheme="minorEastAsia" w:cstheme="minorHAnsi"/>
          <w:b/>
          <w:bCs/>
          <w:kern w:val="0"/>
          <w:sz w:val="24"/>
          <w:szCs w:val="24"/>
          <w:u w:val="single"/>
          <w14:ligatures w14:val="none"/>
        </w:rPr>
      </w:pPr>
      <w:r w:rsidRPr="00267206">
        <w:rPr>
          <w:rFonts w:eastAsiaTheme="minorEastAsia" w:cstheme="minorHAnsi"/>
          <w:b/>
          <w:bCs/>
          <w:kern w:val="0"/>
          <w:sz w:val="24"/>
          <w:szCs w:val="24"/>
          <w:u w:val="single"/>
          <w14:ligatures w14:val="none"/>
        </w:rPr>
        <w:t>EXECUTIVE SUMMARY OF THE ADVANCED POWER ALLIANCE AND AMERICAN CLEAN POWER ASSOCIATION COMMENTS</w:t>
      </w:r>
    </w:p>
    <w:p w14:paraId="7A9EA137" w14:textId="77777777" w:rsidR="000D3813" w:rsidRPr="00267206" w:rsidRDefault="000D3813" w:rsidP="000D3813">
      <w:pPr>
        <w:spacing w:after="0" w:line="360" w:lineRule="auto"/>
        <w:rPr>
          <w:rFonts w:eastAsiaTheme="minorEastAsia" w:cstheme="minorHAnsi"/>
          <w:b/>
          <w:bCs/>
          <w:kern w:val="0"/>
          <w:sz w:val="24"/>
          <w:szCs w:val="24"/>
          <w:u w:val="single"/>
          <w14:ligatures w14:val="none"/>
        </w:rPr>
      </w:pPr>
    </w:p>
    <w:p w14:paraId="0F8C04A5" w14:textId="067F5341" w:rsidR="004B66FF" w:rsidRPr="00683CA5" w:rsidRDefault="004B7512" w:rsidP="004B7512">
      <w:pPr>
        <w:pStyle w:val="ListParagraph"/>
        <w:numPr>
          <w:ilvl w:val="0"/>
          <w:numId w:val="2"/>
        </w:numPr>
        <w:spacing w:after="0" w:line="240" w:lineRule="auto"/>
        <w:contextualSpacing w:val="0"/>
        <w:rPr>
          <w:rFonts w:cstheme="minorHAnsi"/>
          <w:sz w:val="24"/>
          <w:szCs w:val="24"/>
        </w:rPr>
      </w:pPr>
      <w:r>
        <w:rPr>
          <w:rFonts w:eastAsia="Times New Roman" w:cstheme="minorHAnsi"/>
          <w:color w:val="000000"/>
          <w:kern w:val="0"/>
          <w:sz w:val="24"/>
          <w:szCs w:val="24"/>
          <w14:ligatures w14:val="none"/>
        </w:rPr>
        <w:t>T</w:t>
      </w:r>
      <w:r w:rsidRPr="004B7512">
        <w:rPr>
          <w:rFonts w:eastAsia="Times New Roman" w:cstheme="minorHAnsi"/>
          <w:color w:val="000000"/>
          <w:kern w:val="0"/>
          <w:sz w:val="24"/>
          <w:szCs w:val="24"/>
          <w14:ligatures w14:val="none"/>
        </w:rPr>
        <w:t xml:space="preserve">he changing nature of both supply and demand-side resources and more extreme weather warrant the use of </w:t>
      </w:r>
      <w:r w:rsidR="003E607B">
        <w:rPr>
          <w:rFonts w:eastAsia="Times New Roman" w:cstheme="minorHAnsi"/>
          <w:color w:val="000000"/>
          <w:kern w:val="0"/>
          <w:sz w:val="24"/>
          <w:szCs w:val="24"/>
          <w14:ligatures w14:val="none"/>
        </w:rPr>
        <w:t>a broader set of reliability metrics to ensure resource adequacy to meet demand.</w:t>
      </w:r>
    </w:p>
    <w:p w14:paraId="5C5A9F5A" w14:textId="25CE11BA" w:rsidR="00683CA5" w:rsidRDefault="00683CA5" w:rsidP="00683CA5">
      <w:pPr>
        <w:spacing w:after="0" w:line="240" w:lineRule="auto"/>
        <w:rPr>
          <w:rFonts w:cstheme="minorHAnsi"/>
          <w:sz w:val="24"/>
          <w:szCs w:val="24"/>
        </w:rPr>
      </w:pPr>
    </w:p>
    <w:p w14:paraId="60F02197" w14:textId="653CE66B" w:rsidR="003E607B" w:rsidRDefault="008270AC" w:rsidP="00683CA5">
      <w:pPr>
        <w:pStyle w:val="ListParagraph"/>
        <w:numPr>
          <w:ilvl w:val="0"/>
          <w:numId w:val="2"/>
        </w:numPr>
        <w:spacing w:after="0" w:line="240" w:lineRule="auto"/>
        <w:contextualSpacing w:val="0"/>
        <w:rPr>
          <w:rFonts w:eastAsia="Times New Roman" w:cstheme="minorHAnsi"/>
          <w:color w:val="000000"/>
          <w:kern w:val="0"/>
          <w:sz w:val="24"/>
          <w:szCs w:val="24"/>
          <w14:ligatures w14:val="none"/>
        </w:rPr>
      </w:pPr>
      <w:r>
        <w:rPr>
          <w:rFonts w:eastAsia="Times New Roman" w:cstheme="minorHAnsi"/>
          <w:color w:val="000000"/>
          <w:kern w:val="0"/>
          <w:sz w:val="24"/>
          <w:szCs w:val="24"/>
          <w14:ligatures w14:val="none"/>
        </w:rPr>
        <w:t xml:space="preserve">A </w:t>
      </w:r>
      <w:r w:rsidR="003E607B">
        <w:rPr>
          <w:rFonts w:eastAsia="Times New Roman" w:cstheme="minorHAnsi"/>
          <w:color w:val="000000"/>
          <w:kern w:val="0"/>
          <w:sz w:val="24"/>
          <w:szCs w:val="24"/>
          <w14:ligatures w14:val="none"/>
        </w:rPr>
        <w:t xml:space="preserve">reliability standard that considers </w:t>
      </w:r>
      <w:r w:rsidR="00683CA5" w:rsidRPr="00267206">
        <w:rPr>
          <w:rFonts w:eastAsia="Times New Roman" w:cstheme="minorHAnsi"/>
          <w:color w:val="000000"/>
          <w:kern w:val="0"/>
          <w:sz w:val="24"/>
          <w:szCs w:val="24"/>
          <w14:ligatures w14:val="none"/>
        </w:rPr>
        <w:t>the size, frequency, duration, and timing of potential shortfalls is essential to finding the right resource solutions.</w:t>
      </w:r>
    </w:p>
    <w:p w14:paraId="77457B96" w14:textId="77777777" w:rsidR="003E607B" w:rsidRPr="003E607B" w:rsidRDefault="003E607B" w:rsidP="003E607B">
      <w:pPr>
        <w:pStyle w:val="ListParagraph"/>
        <w:rPr>
          <w:rFonts w:eastAsia="Times New Roman" w:cstheme="minorHAnsi"/>
          <w:color w:val="000000"/>
          <w:kern w:val="0"/>
          <w:sz w:val="24"/>
          <w:szCs w:val="24"/>
          <w14:ligatures w14:val="none"/>
        </w:rPr>
      </w:pPr>
    </w:p>
    <w:p w14:paraId="0E1DC73F" w14:textId="44927FBB" w:rsidR="004B7512" w:rsidRDefault="00683CA5" w:rsidP="00E425D2">
      <w:pPr>
        <w:pStyle w:val="ListParagraph"/>
        <w:numPr>
          <w:ilvl w:val="0"/>
          <w:numId w:val="2"/>
        </w:numPr>
        <w:spacing w:after="0" w:line="240" w:lineRule="auto"/>
        <w:contextualSpacing w:val="0"/>
        <w:rPr>
          <w:rFonts w:eastAsia="Times New Roman" w:cstheme="minorHAnsi"/>
          <w:color w:val="000000"/>
          <w:kern w:val="0"/>
          <w:sz w:val="24"/>
          <w:szCs w:val="24"/>
          <w14:ligatures w14:val="none"/>
        </w:rPr>
      </w:pPr>
      <w:r w:rsidRPr="003E607B">
        <w:rPr>
          <w:rFonts w:eastAsia="Times New Roman" w:cstheme="minorHAnsi"/>
          <w:color w:val="000000"/>
          <w:kern w:val="0"/>
          <w:sz w:val="24"/>
          <w:szCs w:val="24"/>
          <w14:ligatures w14:val="none"/>
        </w:rPr>
        <w:t>LOLE is an inadequate metric on its own because it provides limited information on a shortfall’s event size and duration.  This makes it difficult to know the true impact of potential shortfalls and nearly impossible to determine the types of resources necessary to reduce the number of shortfalls.</w:t>
      </w:r>
    </w:p>
    <w:p w14:paraId="11C076A3" w14:textId="77777777" w:rsidR="00683CA5" w:rsidRPr="00683CA5" w:rsidRDefault="00683CA5" w:rsidP="00683CA5">
      <w:pPr>
        <w:spacing w:after="0" w:line="240" w:lineRule="auto"/>
        <w:rPr>
          <w:rFonts w:eastAsia="Times New Roman" w:cstheme="minorHAnsi"/>
          <w:color w:val="000000"/>
          <w:kern w:val="0"/>
          <w:sz w:val="24"/>
          <w:szCs w:val="24"/>
          <w14:ligatures w14:val="none"/>
        </w:rPr>
      </w:pPr>
    </w:p>
    <w:p w14:paraId="49784444" w14:textId="17FF2207" w:rsidR="004B7512" w:rsidRPr="003E607B" w:rsidRDefault="004B7512" w:rsidP="00707BC8">
      <w:pPr>
        <w:pStyle w:val="ListParagraph"/>
        <w:numPr>
          <w:ilvl w:val="0"/>
          <w:numId w:val="2"/>
        </w:numPr>
        <w:spacing w:after="0" w:line="240" w:lineRule="auto"/>
        <w:contextualSpacing w:val="0"/>
        <w:rPr>
          <w:rFonts w:cstheme="minorHAnsi"/>
          <w:kern w:val="0"/>
          <w:sz w:val="24"/>
          <w:szCs w:val="24"/>
          <w14:ligatures w14:val="none"/>
        </w:rPr>
      </w:pPr>
      <w:r w:rsidRPr="003E607B">
        <w:rPr>
          <w:rFonts w:eastAsia="Times New Roman" w:cstheme="minorHAnsi"/>
          <w:color w:val="000000"/>
          <w:kern w:val="0"/>
          <w:sz w:val="24"/>
          <w:szCs w:val="24"/>
          <w14:ligatures w14:val="none"/>
        </w:rPr>
        <w:t>A recent study performed by Southwest Power Pool (SPP) showed that under certain conditions, the number of outages (i.e., LOLE) could remain low even as the magnitude of those outages (i.e., expected unserved energy or EUE) increased exponentially concluding that the one day in ten years metric might not be appropriate to apply to a system with a high penetration of renewables</w:t>
      </w:r>
      <w:r w:rsidR="003E607B">
        <w:rPr>
          <w:rFonts w:eastAsia="Times New Roman" w:cstheme="minorHAnsi"/>
          <w:color w:val="000000"/>
          <w:kern w:val="0"/>
          <w:sz w:val="24"/>
          <w:szCs w:val="24"/>
          <w14:ligatures w14:val="none"/>
        </w:rPr>
        <w:t>.</w:t>
      </w:r>
    </w:p>
    <w:p w14:paraId="31C928B5" w14:textId="77777777" w:rsidR="003E607B" w:rsidRPr="003E607B" w:rsidRDefault="003E607B" w:rsidP="003E607B">
      <w:pPr>
        <w:spacing w:after="0" w:line="240" w:lineRule="auto"/>
        <w:rPr>
          <w:rFonts w:cstheme="minorHAnsi"/>
          <w:kern w:val="0"/>
          <w:sz w:val="24"/>
          <w:szCs w:val="24"/>
          <w14:ligatures w14:val="none"/>
        </w:rPr>
      </w:pPr>
    </w:p>
    <w:p w14:paraId="06FF2BE2" w14:textId="40CB05B7" w:rsidR="00831427" w:rsidRPr="008270AC" w:rsidRDefault="004B7512" w:rsidP="008270AC">
      <w:pPr>
        <w:pStyle w:val="ListParagraph"/>
        <w:numPr>
          <w:ilvl w:val="0"/>
          <w:numId w:val="2"/>
        </w:numPr>
        <w:spacing w:after="0" w:line="240" w:lineRule="auto"/>
        <w:contextualSpacing w:val="0"/>
        <w:rPr>
          <w:rFonts w:eastAsia="Times New Roman" w:cstheme="minorHAnsi"/>
          <w:color w:val="000000"/>
          <w:kern w:val="0"/>
          <w:sz w:val="24"/>
          <w:szCs w:val="24"/>
          <w14:ligatures w14:val="none"/>
        </w:rPr>
      </w:pPr>
      <w:r w:rsidRPr="003E607B">
        <w:rPr>
          <w:rFonts w:cstheme="minorHAnsi"/>
          <w:kern w:val="0"/>
          <w:sz w:val="24"/>
          <w:szCs w:val="24"/>
          <w14:ligatures w14:val="none"/>
        </w:rPr>
        <w:t xml:space="preserve">According to E3, the energy-only market in Texas in 2022 achieved a LOLE target of 0.03 days per year, remarkably better than the industry standard of 0.1 days per year. </w:t>
      </w:r>
      <w:r w:rsidRPr="003E607B">
        <w:rPr>
          <w:rFonts w:cstheme="minorHAnsi"/>
          <w:kern w:val="0"/>
          <w:sz w:val="24"/>
          <w:szCs w:val="24"/>
          <w14:ligatures w14:val="none"/>
        </w:rPr>
        <w:t xml:space="preserve"> </w:t>
      </w:r>
      <w:r w:rsidRPr="003E607B">
        <w:rPr>
          <w:rFonts w:cstheme="minorHAnsi"/>
          <w:kern w:val="0"/>
          <w:sz w:val="24"/>
          <w:szCs w:val="24"/>
          <w14:ligatures w14:val="none"/>
        </w:rPr>
        <w:t>However, during calendar year 2022, ERCOT operated on the brink of power outages multiple times and yet, the LOLE metric failed to capture these occurrences</w:t>
      </w:r>
      <w:r w:rsidR="003E607B">
        <w:rPr>
          <w:rFonts w:cstheme="minorHAnsi"/>
          <w:kern w:val="0"/>
          <w:sz w:val="24"/>
          <w:szCs w:val="24"/>
          <w14:ligatures w14:val="none"/>
        </w:rPr>
        <w:t>.</w:t>
      </w:r>
    </w:p>
    <w:p w14:paraId="47A713DF" w14:textId="77777777" w:rsidR="008270AC" w:rsidRPr="008270AC" w:rsidRDefault="008270AC" w:rsidP="008270AC">
      <w:pPr>
        <w:spacing w:after="0" w:line="240" w:lineRule="auto"/>
        <w:rPr>
          <w:rFonts w:eastAsia="Times New Roman" w:cstheme="minorHAnsi"/>
          <w:color w:val="000000"/>
          <w:kern w:val="0"/>
          <w:sz w:val="24"/>
          <w:szCs w:val="24"/>
          <w14:ligatures w14:val="none"/>
        </w:rPr>
      </w:pPr>
    </w:p>
    <w:p w14:paraId="5AD5074A" w14:textId="436B16CB" w:rsidR="00831427" w:rsidRPr="00E56E13" w:rsidRDefault="00831427" w:rsidP="00E56E13">
      <w:pPr>
        <w:pStyle w:val="ListParagraph"/>
        <w:numPr>
          <w:ilvl w:val="0"/>
          <w:numId w:val="2"/>
        </w:numPr>
        <w:spacing w:after="0" w:line="240" w:lineRule="auto"/>
        <w:contextualSpacing w:val="0"/>
        <w:rPr>
          <w:rFonts w:eastAsia="Times New Roman" w:cstheme="minorHAnsi"/>
          <w:color w:val="000000"/>
          <w:kern w:val="0"/>
          <w:sz w:val="24"/>
          <w:szCs w:val="24"/>
          <w14:ligatures w14:val="none"/>
        </w:rPr>
      </w:pPr>
      <w:r w:rsidRPr="00831427">
        <w:rPr>
          <w:rFonts w:eastAsia="Times New Roman" w:cstheme="minorHAnsi"/>
          <w:color w:val="000000"/>
          <w:kern w:val="0"/>
          <w:sz w:val="24"/>
          <w:szCs w:val="24"/>
          <w14:ligatures w14:val="none"/>
        </w:rPr>
        <w:t>Even with adequate generation, bottlenecks in the transmission system interfere with the reliable, efficient, and affordable delivery of electric power.  It is critical to include quantifiable transmission benefits in the transmission planning process to meet economic planning test thresholds to ensure adequate delivery of available resource output to load.</w:t>
      </w:r>
    </w:p>
    <w:p w14:paraId="209F7E4A" w14:textId="77777777" w:rsidR="00E56E13" w:rsidRPr="00E56E13" w:rsidRDefault="00E56E13" w:rsidP="00E56E13">
      <w:pPr>
        <w:pStyle w:val="ListParagraph"/>
        <w:rPr>
          <w:rFonts w:eastAsia="Times New Roman" w:cstheme="minorHAnsi"/>
          <w:color w:val="000000"/>
          <w:kern w:val="0"/>
          <w:sz w:val="24"/>
          <w:szCs w:val="24"/>
          <w14:ligatures w14:val="none"/>
        </w:rPr>
      </w:pPr>
    </w:p>
    <w:p w14:paraId="1DA4C992" w14:textId="42BCC34E" w:rsidR="00301FCE" w:rsidRPr="008270AC" w:rsidRDefault="00E56E13" w:rsidP="008270AC">
      <w:pPr>
        <w:pStyle w:val="ListParagraph"/>
        <w:numPr>
          <w:ilvl w:val="0"/>
          <w:numId w:val="2"/>
        </w:numPr>
        <w:spacing w:after="0" w:line="240" w:lineRule="auto"/>
        <w:rPr>
          <w:rFonts w:eastAsia="Times New Roman" w:cstheme="minorHAnsi"/>
          <w:color w:val="000000"/>
          <w:kern w:val="0"/>
          <w:sz w:val="24"/>
          <w:szCs w:val="24"/>
          <w14:ligatures w14:val="none"/>
        </w:rPr>
      </w:pPr>
      <w:r w:rsidRPr="00E56E13">
        <w:rPr>
          <w:rFonts w:eastAsia="Times New Roman" w:cstheme="minorHAnsi"/>
          <w:color w:val="000000"/>
          <w:kern w:val="0"/>
          <w:sz w:val="24"/>
          <w:szCs w:val="24"/>
          <w14:ligatures w14:val="none"/>
        </w:rPr>
        <w:t xml:space="preserve">In order to promote deliverability, APA </w:t>
      </w:r>
      <w:r w:rsidR="001260CC">
        <w:rPr>
          <w:rFonts w:eastAsia="Times New Roman" w:cstheme="minorHAnsi"/>
          <w:color w:val="000000"/>
          <w:kern w:val="0"/>
          <w:sz w:val="24"/>
          <w:szCs w:val="24"/>
          <w14:ligatures w14:val="none"/>
        </w:rPr>
        <w:t xml:space="preserve">and ACP </w:t>
      </w:r>
      <w:r w:rsidRPr="00E56E13">
        <w:rPr>
          <w:rFonts w:eastAsia="Times New Roman" w:cstheme="minorHAnsi"/>
          <w:color w:val="000000"/>
          <w:kern w:val="0"/>
          <w:sz w:val="24"/>
          <w:szCs w:val="24"/>
          <w14:ligatures w14:val="none"/>
        </w:rPr>
        <w:t>suggest the Commission evaluate outage requirements.  The market has witnessed increasing episodes of Operating Condition Notices (OCN) and Energy Emergency Alerts (EEA) during certain seasons that substantially impact delivering low cost, available power to consumers.  Additionally, the available transmission lines face increased constraints due to rerouting of power limiting deliverability.</w:t>
      </w:r>
    </w:p>
    <w:sectPr w:rsidR="00301FCE" w:rsidRPr="008270A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7669" w14:textId="77777777" w:rsidR="007D4808" w:rsidRDefault="007D4808" w:rsidP="000D3813">
      <w:pPr>
        <w:spacing w:after="0" w:line="240" w:lineRule="auto"/>
      </w:pPr>
      <w:r>
        <w:separator/>
      </w:r>
    </w:p>
  </w:endnote>
  <w:endnote w:type="continuationSeparator" w:id="0">
    <w:p w14:paraId="06462C76" w14:textId="77777777" w:rsidR="007D4808" w:rsidRDefault="007D4808" w:rsidP="000D3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8404073"/>
      <w:docPartObj>
        <w:docPartGallery w:val="Page Numbers (Bottom of Page)"/>
        <w:docPartUnique/>
      </w:docPartObj>
    </w:sdtPr>
    <w:sdtEndPr>
      <w:rPr>
        <w:noProof/>
      </w:rPr>
    </w:sdtEndPr>
    <w:sdtContent>
      <w:p w14:paraId="018BE194" w14:textId="77777777" w:rsidR="00DB3FBD" w:rsidRDefault="0000000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599014" w14:textId="77777777" w:rsidR="00DB3FBD"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7F806" w14:textId="77777777" w:rsidR="007D4808" w:rsidRDefault="007D4808" w:rsidP="000D3813">
      <w:pPr>
        <w:spacing w:after="0" w:line="240" w:lineRule="auto"/>
      </w:pPr>
      <w:r>
        <w:separator/>
      </w:r>
    </w:p>
  </w:footnote>
  <w:footnote w:type="continuationSeparator" w:id="0">
    <w:p w14:paraId="19283712" w14:textId="77777777" w:rsidR="007D4808" w:rsidRDefault="007D4808" w:rsidP="000D3813">
      <w:pPr>
        <w:spacing w:after="0" w:line="240" w:lineRule="auto"/>
      </w:pPr>
      <w:r>
        <w:continuationSeparator/>
      </w:r>
    </w:p>
  </w:footnote>
  <w:footnote w:id="1">
    <w:p w14:paraId="17B9F63E" w14:textId="31C67F66" w:rsidR="000D3813" w:rsidRDefault="000D3813" w:rsidP="000D3813">
      <w:pPr>
        <w:pStyle w:val="FootnoteText"/>
      </w:pPr>
      <w:r>
        <w:rPr>
          <w:rStyle w:val="FootnoteReference"/>
        </w:rPr>
        <w:footnoteRef/>
      </w:r>
      <w:r>
        <w:t xml:space="preserve"> Redefining Resource Adequacy Task Force 2021</w:t>
      </w:r>
      <w:r w:rsidR="007445A1">
        <w:t>,</w:t>
      </w:r>
      <w:r>
        <w:t xml:space="preserve"> </w:t>
      </w:r>
      <w:r w:rsidRPr="007445A1">
        <w:rPr>
          <w:i/>
          <w:iCs/>
        </w:rPr>
        <w:t>Redefining Resource Adequacy</w:t>
      </w:r>
      <w:r w:rsidR="007445A1" w:rsidRPr="007445A1">
        <w:rPr>
          <w:i/>
          <w:iCs/>
        </w:rPr>
        <w:t xml:space="preserve"> for Modern Power Systems</w:t>
      </w:r>
      <w:r w:rsidR="007445A1">
        <w:t xml:space="preserve">, </w:t>
      </w:r>
      <w:r>
        <w:t>Reston VA: Energy Systems integration Group</w:t>
      </w:r>
      <w:r w:rsidR="00267567">
        <w:t xml:space="preserve"> (ESIG)</w:t>
      </w:r>
      <w:r w:rsidR="007445A1">
        <w:t>, p. 10</w:t>
      </w:r>
      <w:r>
        <w:t>.</w:t>
      </w:r>
    </w:p>
  </w:footnote>
  <w:footnote w:id="2">
    <w:p w14:paraId="3CE3F586" w14:textId="54A3E3A8" w:rsidR="008C1473" w:rsidRDefault="008C1473">
      <w:pPr>
        <w:pStyle w:val="FootnoteText"/>
      </w:pPr>
      <w:r>
        <w:rPr>
          <w:rStyle w:val="FootnoteReference"/>
        </w:rPr>
        <w:footnoteRef/>
      </w:r>
      <w:r>
        <w:t xml:space="preserve"> </w:t>
      </w:r>
      <w:r>
        <w:t xml:space="preserve">Southwest Power </w:t>
      </w:r>
      <w:r w:rsidR="00DB6EC1">
        <w:t>Pool,</w:t>
      </w:r>
      <w:r>
        <w:t xml:space="preserve"> Expected Unserved Energy </w:t>
      </w:r>
      <w:proofErr w:type="gramStart"/>
      <w:r>
        <w:t>( EUE</w:t>
      </w:r>
      <w:proofErr w:type="gramEnd"/>
      <w:r>
        <w:t xml:space="preserve"> ), November SAWG Meeting , available at https://spp.org/Documents/68194/sawg%20agenda%20&amp;%20background%20materials%202022 1109-10.zip.</w:t>
      </w:r>
    </w:p>
  </w:footnote>
  <w:footnote w:id="3">
    <w:p w14:paraId="10F232AC" w14:textId="22DE6A30" w:rsidR="008C1473" w:rsidRDefault="008C1473">
      <w:pPr>
        <w:pStyle w:val="FootnoteText"/>
      </w:pPr>
      <w:r>
        <w:rPr>
          <w:rStyle w:val="FootnoteReference"/>
        </w:rPr>
        <w:footnoteRef/>
      </w:r>
      <w:r>
        <w:t xml:space="preserve"> </w:t>
      </w:r>
      <w:r>
        <w:t>Patrick Milligin, Winter Storms FFreak Havoc on ERCOT Grid, ICF Insights / Energy, (Feb. 23, 2021), available at https://www. icf. com/insights/energy/winter-storms-ercot-grid.</w:t>
      </w:r>
    </w:p>
  </w:footnote>
  <w:footnote w:id="4">
    <w:p w14:paraId="307EAF44" w14:textId="3785C6E3" w:rsidR="00F6359B" w:rsidRDefault="00F6359B">
      <w:pPr>
        <w:pStyle w:val="FootnoteText"/>
      </w:pPr>
      <w:r>
        <w:rPr>
          <w:rStyle w:val="FootnoteReference"/>
        </w:rPr>
        <w:footnoteRef/>
      </w:r>
      <w:r>
        <w:t xml:space="preserve"> </w:t>
      </w:r>
      <w:r>
        <w:t>E3 Report at 126</w:t>
      </w:r>
      <w:r>
        <w:t>.</w:t>
      </w:r>
    </w:p>
  </w:footnote>
  <w:footnote w:id="5">
    <w:p w14:paraId="48E7EFD0" w14:textId="77C6178D" w:rsidR="00267567" w:rsidRPr="00267567" w:rsidRDefault="00267567">
      <w:pPr>
        <w:pStyle w:val="FootnoteText"/>
      </w:pPr>
      <w:r>
        <w:rPr>
          <w:rStyle w:val="FootnoteReference"/>
        </w:rPr>
        <w:footnoteRef/>
      </w:r>
      <w:r>
        <w:t xml:space="preserve"> The Brattle Group, </w:t>
      </w:r>
      <w:r w:rsidRPr="00267567">
        <w:rPr>
          <w:i/>
          <w:iCs/>
        </w:rPr>
        <w:t>Estimating the Economically Optimal Reserve Margin in ERCO</w:t>
      </w:r>
      <w:r>
        <w:rPr>
          <w:i/>
          <w:iCs/>
        </w:rPr>
        <w:t>T</w:t>
      </w:r>
      <w:r>
        <w:t xml:space="preserve"> (Jan. 2014) at V.</w:t>
      </w:r>
    </w:p>
  </w:footnote>
  <w:footnote w:id="6">
    <w:p w14:paraId="67333650" w14:textId="32B79B1E" w:rsidR="00E13645" w:rsidRDefault="00E13645">
      <w:pPr>
        <w:pStyle w:val="FootnoteText"/>
      </w:pPr>
      <w:r>
        <w:rPr>
          <w:rStyle w:val="FootnoteReference"/>
        </w:rPr>
        <w:footnoteRef/>
      </w:r>
      <w:r>
        <w:t xml:space="preserve"> The Brattle Group, </w:t>
      </w:r>
      <w:r>
        <w:t>Chupka (2018), “Recognizing the Role of Transmission in Electric System Resilience,” p.3.</w:t>
      </w:r>
    </w:p>
  </w:footnote>
  <w:footnote w:id="7">
    <w:p w14:paraId="04CDD57D" w14:textId="1BCA8C24" w:rsidR="00E13645" w:rsidRPr="00E13645" w:rsidRDefault="00E13645">
      <w:pPr>
        <w:pStyle w:val="FootnoteText"/>
        <w:rPr>
          <w:i/>
          <w:iCs/>
        </w:rPr>
      </w:pPr>
      <w:r>
        <w:rPr>
          <w:rStyle w:val="FootnoteReference"/>
        </w:rPr>
        <w:footnoteRef/>
      </w:r>
      <w:r>
        <w:t xml:space="preserve"> </w:t>
      </w:r>
      <w:r>
        <w:rPr>
          <w:i/>
          <w:iCs/>
        </w:rPr>
        <w:t>Id.</w:t>
      </w:r>
    </w:p>
  </w:footnote>
  <w:footnote w:id="8">
    <w:p w14:paraId="77CAD2E9" w14:textId="77777777" w:rsidR="0011063E" w:rsidRDefault="0011063E" w:rsidP="0011063E">
      <w:pPr>
        <w:pStyle w:val="FootnoteText"/>
      </w:pPr>
      <w:r>
        <w:rPr>
          <w:rStyle w:val="FootnoteReference"/>
        </w:rPr>
        <w:footnoteRef/>
      </w:r>
      <w:r>
        <w:t xml:space="preserve"> See “Workshop on ERCOT’s Proposed Reliability Standard Study Framework” presented by ERCOT at a workshop on March 15, 2023.</w:t>
      </w:r>
    </w:p>
  </w:footnote>
  <w:footnote w:id="9">
    <w:p w14:paraId="2DB142E7" w14:textId="6B5BEB97" w:rsidR="000D3813" w:rsidRDefault="000D3813" w:rsidP="000D3813">
      <w:pPr>
        <w:pStyle w:val="FootnoteText"/>
      </w:pPr>
      <w:r>
        <w:rPr>
          <w:rStyle w:val="FootnoteReference"/>
        </w:rPr>
        <w:footnoteRef/>
      </w:r>
      <w:r>
        <w:t xml:space="preserve"> ESIG</w:t>
      </w:r>
      <w:r w:rsidR="00267567">
        <w:t xml:space="preserve"> at</w:t>
      </w:r>
      <w:r>
        <w:t xml:space="preserve"> 29.</w:t>
      </w:r>
    </w:p>
  </w:footnote>
  <w:footnote w:id="10">
    <w:p w14:paraId="0460683F" w14:textId="21038FD4" w:rsidR="000D3813" w:rsidRPr="00267567" w:rsidRDefault="000D3813" w:rsidP="000D3813">
      <w:pPr>
        <w:pStyle w:val="FootnoteText"/>
      </w:pPr>
      <w:r>
        <w:rPr>
          <w:rStyle w:val="FootnoteReference"/>
        </w:rPr>
        <w:footnoteRef/>
      </w:r>
      <w:r>
        <w:t xml:space="preserve"> </w:t>
      </w:r>
      <w:r w:rsidR="00267567">
        <w:rPr>
          <w:i/>
          <w:iCs/>
        </w:rPr>
        <w:t xml:space="preserve">Id </w:t>
      </w:r>
      <w:r w:rsidR="00267567">
        <w:t>at 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86F05"/>
    <w:multiLevelType w:val="hybridMultilevel"/>
    <w:tmpl w:val="B970AF08"/>
    <w:lvl w:ilvl="0" w:tplc="55A28F7A">
      <w:start w:val="1"/>
      <w:numFmt w:val="upperRoman"/>
      <w:lvlText w:val="%1."/>
      <w:lvlJc w:val="left"/>
      <w:pPr>
        <w:ind w:left="108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11FBB"/>
    <w:multiLevelType w:val="hybridMultilevel"/>
    <w:tmpl w:val="3F40F0C0"/>
    <w:lvl w:ilvl="0" w:tplc="1DAA7796">
      <w:numFmt w:val="bullet"/>
      <w:lvlText w:val="-"/>
      <w:lvlJc w:val="left"/>
      <w:pPr>
        <w:ind w:left="720" w:hanging="360"/>
      </w:pPr>
      <w:rPr>
        <w:rFonts w:ascii="Calibri" w:eastAsia="Times New Roman"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2093">
    <w:abstractNumId w:val="0"/>
  </w:num>
  <w:num w:numId="2" w16cid:durableId="1980570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813"/>
    <w:rsid w:val="00004239"/>
    <w:rsid w:val="00045175"/>
    <w:rsid w:val="00057573"/>
    <w:rsid w:val="000755FF"/>
    <w:rsid w:val="00080C1A"/>
    <w:rsid w:val="000A0C6B"/>
    <w:rsid w:val="000D3813"/>
    <w:rsid w:val="000D49E5"/>
    <w:rsid w:val="0011063E"/>
    <w:rsid w:val="00114B83"/>
    <w:rsid w:val="001260CC"/>
    <w:rsid w:val="001354F4"/>
    <w:rsid w:val="00163BBD"/>
    <w:rsid w:val="00181988"/>
    <w:rsid w:val="001F09FC"/>
    <w:rsid w:val="00267206"/>
    <w:rsid w:val="00267567"/>
    <w:rsid w:val="002B0BBC"/>
    <w:rsid w:val="002D2F43"/>
    <w:rsid w:val="002F3AB2"/>
    <w:rsid w:val="003016DB"/>
    <w:rsid w:val="00301FCE"/>
    <w:rsid w:val="003036AD"/>
    <w:rsid w:val="00314FC9"/>
    <w:rsid w:val="0035161D"/>
    <w:rsid w:val="003C1A99"/>
    <w:rsid w:val="003D3CD2"/>
    <w:rsid w:val="003E607B"/>
    <w:rsid w:val="004B66FF"/>
    <w:rsid w:val="004B7512"/>
    <w:rsid w:val="00545D95"/>
    <w:rsid w:val="0055204D"/>
    <w:rsid w:val="00561D51"/>
    <w:rsid w:val="00563147"/>
    <w:rsid w:val="005654F0"/>
    <w:rsid w:val="00566694"/>
    <w:rsid w:val="005868AD"/>
    <w:rsid w:val="005A64EF"/>
    <w:rsid w:val="005C249C"/>
    <w:rsid w:val="005D660A"/>
    <w:rsid w:val="00683CA5"/>
    <w:rsid w:val="007445A1"/>
    <w:rsid w:val="007B6277"/>
    <w:rsid w:val="007D437B"/>
    <w:rsid w:val="007D4808"/>
    <w:rsid w:val="007F3AD0"/>
    <w:rsid w:val="008270AC"/>
    <w:rsid w:val="00831427"/>
    <w:rsid w:val="00887F32"/>
    <w:rsid w:val="008B6F73"/>
    <w:rsid w:val="008C1473"/>
    <w:rsid w:val="00910AC1"/>
    <w:rsid w:val="00956D0A"/>
    <w:rsid w:val="009A1B84"/>
    <w:rsid w:val="00A837BE"/>
    <w:rsid w:val="00AC298A"/>
    <w:rsid w:val="00AF554D"/>
    <w:rsid w:val="00B7744B"/>
    <w:rsid w:val="00BA3BC6"/>
    <w:rsid w:val="00C06D0C"/>
    <w:rsid w:val="00CB6491"/>
    <w:rsid w:val="00D0061B"/>
    <w:rsid w:val="00D011EB"/>
    <w:rsid w:val="00D02F68"/>
    <w:rsid w:val="00D57F4B"/>
    <w:rsid w:val="00DA2692"/>
    <w:rsid w:val="00DB6EC1"/>
    <w:rsid w:val="00DF05B9"/>
    <w:rsid w:val="00E13645"/>
    <w:rsid w:val="00E56E13"/>
    <w:rsid w:val="00E829FF"/>
    <w:rsid w:val="00EC25CD"/>
    <w:rsid w:val="00F62F09"/>
    <w:rsid w:val="00F6359B"/>
    <w:rsid w:val="00FA3780"/>
    <w:rsid w:val="00FD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A702D"/>
  <w15:chartTrackingRefBased/>
  <w15:docId w15:val="{8D860911-B1ED-422A-A9E9-C743B07B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D3813"/>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D3813"/>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D3813"/>
    <w:rPr>
      <w:vertAlign w:val="superscript"/>
    </w:rPr>
  </w:style>
  <w:style w:type="paragraph" w:styleId="Footer">
    <w:name w:val="footer"/>
    <w:basedOn w:val="Normal"/>
    <w:link w:val="FooterChar"/>
    <w:uiPriority w:val="99"/>
    <w:unhideWhenUsed/>
    <w:rsid w:val="000D3813"/>
    <w:pPr>
      <w:tabs>
        <w:tab w:val="center" w:pos="4680"/>
        <w:tab w:val="right" w:pos="9360"/>
      </w:tabs>
      <w:spacing w:after="0" w:line="240" w:lineRule="auto"/>
    </w:pPr>
    <w:rPr>
      <w:rFonts w:ascii="Calibri" w:hAnsi="Calibri" w:cs="Calibri"/>
      <w:kern w:val="0"/>
      <w14:ligatures w14:val="none"/>
    </w:rPr>
  </w:style>
  <w:style w:type="character" w:customStyle="1" w:styleId="FooterChar">
    <w:name w:val="Footer Char"/>
    <w:basedOn w:val="DefaultParagraphFont"/>
    <w:link w:val="Footer"/>
    <w:uiPriority w:val="99"/>
    <w:rsid w:val="000D3813"/>
    <w:rPr>
      <w:rFonts w:ascii="Calibri" w:hAnsi="Calibri" w:cs="Calibri"/>
      <w:kern w:val="0"/>
      <w14:ligatures w14:val="none"/>
    </w:rPr>
  </w:style>
  <w:style w:type="paragraph" w:styleId="Revision">
    <w:name w:val="Revision"/>
    <w:hidden/>
    <w:uiPriority w:val="99"/>
    <w:semiHidden/>
    <w:rsid w:val="00910AC1"/>
    <w:pPr>
      <w:spacing w:after="0" w:line="240" w:lineRule="auto"/>
    </w:pPr>
  </w:style>
  <w:style w:type="character" w:styleId="CommentReference">
    <w:name w:val="annotation reference"/>
    <w:basedOn w:val="DefaultParagraphFont"/>
    <w:uiPriority w:val="99"/>
    <w:semiHidden/>
    <w:unhideWhenUsed/>
    <w:rsid w:val="005C249C"/>
    <w:rPr>
      <w:sz w:val="16"/>
      <w:szCs w:val="16"/>
    </w:rPr>
  </w:style>
  <w:style w:type="paragraph" w:styleId="CommentText">
    <w:name w:val="annotation text"/>
    <w:basedOn w:val="Normal"/>
    <w:link w:val="CommentTextChar"/>
    <w:uiPriority w:val="99"/>
    <w:unhideWhenUsed/>
    <w:rsid w:val="005C249C"/>
    <w:pPr>
      <w:spacing w:line="240" w:lineRule="auto"/>
    </w:pPr>
    <w:rPr>
      <w:sz w:val="20"/>
      <w:szCs w:val="20"/>
    </w:rPr>
  </w:style>
  <w:style w:type="character" w:customStyle="1" w:styleId="CommentTextChar">
    <w:name w:val="Comment Text Char"/>
    <w:basedOn w:val="DefaultParagraphFont"/>
    <w:link w:val="CommentText"/>
    <w:uiPriority w:val="99"/>
    <w:rsid w:val="005C249C"/>
    <w:rPr>
      <w:sz w:val="20"/>
      <w:szCs w:val="20"/>
    </w:rPr>
  </w:style>
  <w:style w:type="paragraph" w:styleId="CommentSubject">
    <w:name w:val="annotation subject"/>
    <w:basedOn w:val="CommentText"/>
    <w:next w:val="CommentText"/>
    <w:link w:val="CommentSubjectChar"/>
    <w:uiPriority w:val="99"/>
    <w:semiHidden/>
    <w:unhideWhenUsed/>
    <w:rsid w:val="005C249C"/>
    <w:rPr>
      <w:b/>
      <w:bCs/>
    </w:rPr>
  </w:style>
  <w:style w:type="character" w:customStyle="1" w:styleId="CommentSubjectChar">
    <w:name w:val="Comment Subject Char"/>
    <w:basedOn w:val="CommentTextChar"/>
    <w:link w:val="CommentSubject"/>
    <w:uiPriority w:val="99"/>
    <w:semiHidden/>
    <w:rsid w:val="005C249C"/>
    <w:rPr>
      <w:b/>
      <w:bCs/>
      <w:sz w:val="20"/>
      <w:szCs w:val="20"/>
    </w:rPr>
  </w:style>
  <w:style w:type="character" w:styleId="Hyperlink">
    <w:name w:val="Hyperlink"/>
    <w:basedOn w:val="DefaultParagraphFont"/>
    <w:uiPriority w:val="99"/>
    <w:semiHidden/>
    <w:unhideWhenUsed/>
    <w:rsid w:val="00267567"/>
    <w:rPr>
      <w:color w:val="0000FF"/>
      <w:u w:val="single"/>
    </w:rPr>
  </w:style>
  <w:style w:type="paragraph" w:styleId="ListParagraph">
    <w:name w:val="List Paragraph"/>
    <w:basedOn w:val="Normal"/>
    <w:uiPriority w:val="34"/>
    <w:qFormat/>
    <w:rsid w:val="004B75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223943">
      <w:bodyDiv w:val="1"/>
      <w:marLeft w:val="0"/>
      <w:marRight w:val="0"/>
      <w:marTop w:val="0"/>
      <w:marBottom w:val="0"/>
      <w:divBdr>
        <w:top w:val="none" w:sz="0" w:space="0" w:color="auto"/>
        <w:left w:val="none" w:sz="0" w:space="0" w:color="auto"/>
        <w:bottom w:val="none" w:sz="0" w:space="0" w:color="auto"/>
        <w:right w:val="none" w:sz="0" w:space="0" w:color="auto"/>
      </w:divBdr>
    </w:div>
    <w:div w:id="469707812">
      <w:bodyDiv w:val="1"/>
      <w:marLeft w:val="0"/>
      <w:marRight w:val="0"/>
      <w:marTop w:val="0"/>
      <w:marBottom w:val="0"/>
      <w:divBdr>
        <w:top w:val="none" w:sz="0" w:space="0" w:color="auto"/>
        <w:left w:val="none" w:sz="0" w:space="0" w:color="auto"/>
        <w:bottom w:val="none" w:sz="0" w:space="0" w:color="auto"/>
        <w:right w:val="none" w:sz="0" w:space="0" w:color="auto"/>
      </w:divBdr>
    </w:div>
    <w:div w:id="487595181">
      <w:bodyDiv w:val="1"/>
      <w:marLeft w:val="0"/>
      <w:marRight w:val="0"/>
      <w:marTop w:val="0"/>
      <w:marBottom w:val="0"/>
      <w:divBdr>
        <w:top w:val="none" w:sz="0" w:space="0" w:color="auto"/>
        <w:left w:val="none" w:sz="0" w:space="0" w:color="auto"/>
        <w:bottom w:val="none" w:sz="0" w:space="0" w:color="auto"/>
        <w:right w:val="none" w:sz="0" w:space="0" w:color="auto"/>
      </w:divBdr>
    </w:div>
    <w:div w:id="138402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0D40-FC96-4EDD-8907-AD0699D28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2923</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cp:lastPrinted>2023-03-29T20:30:00Z</cp:lastPrinted>
  <dcterms:created xsi:type="dcterms:W3CDTF">2023-03-29T20:54:00Z</dcterms:created>
  <dcterms:modified xsi:type="dcterms:W3CDTF">2023-03-29T20:54:00Z</dcterms:modified>
</cp:coreProperties>
</file>