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350A65AA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50A659C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50A659B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350A65A6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350A659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2D2A1E" w:rsidP="002D2A1E" w14:paraId="350A659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2D2A1E">
                    <w:rPr>
                      <w:rFonts w:ascii="Arial" w:hAnsi="Arial"/>
                    </w:rPr>
                    <w:t>In reference to Schedule II-I, please provide in detail the breakdown of the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2D2A1E">
                    <w:rPr>
                      <w:rFonts w:ascii="Arial" w:hAnsi="Arial"/>
                    </w:rPr>
                    <w:t>revenues included in each of the following FERC accounts:</w:t>
                  </w:r>
                </w:p>
                <w:p w:rsidR="002D2A1E" w:rsidRPr="002D2A1E" w:rsidP="002D2A1E" w14:paraId="350A659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E2620" w14:paraId="350A65A0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2D2A1E">
                    <w:rPr>
                      <w:rFonts w:ascii="Arial" w:hAnsi="Arial"/>
                    </w:rPr>
                    <w:t xml:space="preserve">FERC A442 Power Factor for the DIST </w:t>
                  </w:r>
                  <w:r w:rsidRPr="002D2A1E">
                    <w:rPr>
                      <w:rFonts w:ascii="Arial" w:hAnsi="Arial"/>
                    </w:rPr>
                    <w:t>function: $17,616,778</w:t>
                  </w:r>
                </w:p>
                <w:p w:rsidR="00CE2620" w14:paraId="350A65A1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2D2A1E">
                    <w:rPr>
                      <w:rFonts w:ascii="Arial" w:hAnsi="Arial"/>
                    </w:rPr>
                    <w:t>FERC A451 Misc. Revenue Discretionary for the DIST function: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2D2A1E">
                    <w:rPr>
                      <w:rFonts w:ascii="Arial" w:hAnsi="Arial"/>
                    </w:rPr>
                    <w:t>$17,168,858</w:t>
                  </w:r>
                </w:p>
                <w:p w:rsidR="00CE2620" w14:paraId="350A65A2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2D2A1E">
                    <w:rPr>
                      <w:rFonts w:ascii="Arial" w:hAnsi="Arial"/>
                    </w:rPr>
                    <w:t>FERC A451 Misc. Revenue Discretionary for the METER function: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2D2A1E">
                    <w:rPr>
                      <w:rFonts w:ascii="Arial" w:hAnsi="Arial"/>
                    </w:rPr>
                    <w:t>$5,094,631</w:t>
                  </w:r>
                </w:p>
                <w:p w:rsidR="00CE2620" w14:paraId="350A65A3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2D2A1E">
                    <w:rPr>
                      <w:rFonts w:ascii="Arial" w:hAnsi="Arial"/>
                    </w:rPr>
                    <w:t>FERC A451 Misc. Revenue Discretionary for the BILL/CS function: $205,015</w:t>
                  </w:r>
                </w:p>
                <w:p w:rsidR="00CE2620" w14:paraId="350A65A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e.</w:t>
                  </w:r>
                  <w:r>
                    <w:rPr>
                      <w:rFonts w:ascii="Arial" w:hAnsi="Arial"/>
                    </w:rPr>
                    <w:tab/>
                  </w:r>
                  <w:r w:rsidRPr="002D2A1E">
                    <w:rPr>
                      <w:rFonts w:ascii="Arial" w:hAnsi="Arial"/>
                    </w:rPr>
                    <w:t>FERC A45</w:t>
                  </w:r>
                  <w:r>
                    <w:rPr>
                      <w:rFonts w:ascii="Arial" w:hAnsi="Arial"/>
                    </w:rPr>
                    <w:t>1</w:t>
                  </w:r>
                  <w:r w:rsidRPr="002D2A1E">
                    <w:rPr>
                      <w:rFonts w:ascii="Arial" w:hAnsi="Arial"/>
                    </w:rPr>
                    <w:t xml:space="preserve"> Misc. Revenue Other for the DIST function: $456,565</w:t>
                  </w:r>
                </w:p>
                <w:p w:rsidR="00CE2620" w14:paraId="350A65A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f.</w:t>
                  </w:r>
                  <w:r>
                    <w:rPr>
                      <w:rFonts w:ascii="Arial" w:hAnsi="Arial"/>
                    </w:rPr>
                    <w:tab/>
                  </w:r>
                  <w:r w:rsidRPr="002D2A1E">
                    <w:rPr>
                      <w:rFonts w:ascii="Arial" w:hAnsi="Arial"/>
                    </w:rPr>
                    <w:t>FERC A456 Other Electric Revenue for the DIST function: $6,086,808</w:t>
                  </w:r>
                </w:p>
              </w:tc>
            </w:tr>
            <w:tr w14:paraId="350A65A8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350A65A7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350A65A9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350A65BA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50A65AC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50A65AB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350A65B8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350A65A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350A65A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</w:t>
                  </w:r>
                  <w:r>
                    <w:rPr>
                      <w:rFonts w:ascii="Arial" w:hAnsi="Arial"/>
                    </w:rPr>
                    <w:t>W. Alan Ledbetter</w:t>
                  </w:r>
                  <w:r>
                    <w:rPr>
                      <w:rFonts w:ascii="Arial" w:hAnsi="Arial"/>
                    </w:rPr>
                    <w:t xml:space="preserve">, Darryl E. </w:t>
                  </w:r>
                  <w:r>
                    <w:rPr>
                      <w:rFonts w:ascii="Arial" w:hAnsi="Arial"/>
                    </w:rPr>
                    <w:t>Nelson,</w:t>
                  </w:r>
                  <w:r>
                    <w:rPr>
                      <w:rFonts w:ascii="Arial" w:hAnsi="Arial"/>
                    </w:rPr>
                    <w:t xml:space="preserve"> and </w:t>
                  </w:r>
                  <w:r w:rsidRPr="005F6683">
                    <w:rPr>
                      <w:rFonts w:ascii="Arial" w:hAnsi="Arial"/>
                    </w:rPr>
                    <w:t>Matthew A. Troxle</w:t>
                  </w:r>
                  <w:r>
                    <w:rPr>
                      <w:rFonts w:ascii="Arial" w:hAnsi="Arial"/>
                    </w:rPr>
                    <w:t>, t</w:t>
                  </w:r>
                  <w:r>
                    <w:rPr>
                      <w:rFonts w:ascii="Arial" w:hAnsi="Arial"/>
                    </w:rPr>
                    <w:t>he sponsoring witnesses for this response.</w:t>
                  </w:r>
                </w:p>
                <w:p w:rsidR="00B51225" w:rsidP="004637B2" w14:paraId="350A65A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B51225" w:rsidP="004637B2" w14:paraId="350A65B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In addition to rate filing package </w:t>
                  </w:r>
                  <w:r>
                    <w:rPr>
                      <w:rFonts w:ascii="Arial" w:hAnsi="Arial"/>
                    </w:rPr>
                    <w:t xml:space="preserve">(“RFP”) </w:t>
                  </w:r>
                  <w:r>
                    <w:rPr>
                      <w:rFonts w:ascii="Arial" w:hAnsi="Arial"/>
                    </w:rPr>
                    <w:t xml:space="preserve">Schedule II-E-5 (Bates pages 3080-3081) and </w:t>
                  </w:r>
                  <w:r>
                    <w:rPr>
                      <w:rFonts w:ascii="Arial" w:hAnsi="Arial"/>
                    </w:rPr>
                    <w:t>p</w:t>
                  </w:r>
                  <w:r>
                    <w:rPr>
                      <w:rFonts w:ascii="Arial" w:hAnsi="Arial"/>
                    </w:rPr>
                    <w:t>age 33 of 33 of workpaper WP/II-</w:t>
                  </w:r>
                  <w:r>
                    <w:rPr>
                      <w:rFonts w:ascii="Arial" w:hAnsi="Arial"/>
                    </w:rPr>
                    <w:t>I-2.1f (Bates pages 3590-3622)</w:t>
                  </w:r>
                  <w:r>
                    <w:rPr>
                      <w:rFonts w:ascii="Arial" w:hAnsi="Arial"/>
                    </w:rPr>
                    <w:t xml:space="preserve">, please refer to the </w:t>
                  </w:r>
                  <w:r>
                    <w:rPr>
                      <w:rFonts w:ascii="Arial" w:hAnsi="Arial"/>
                    </w:rPr>
                    <w:t>following testimony, schedule, and</w:t>
                  </w:r>
                  <w:r>
                    <w:rPr>
                      <w:rFonts w:ascii="Arial" w:hAnsi="Arial"/>
                    </w:rPr>
                    <w:t>/or</w:t>
                  </w:r>
                  <w:r>
                    <w:rPr>
                      <w:rFonts w:ascii="Arial" w:hAnsi="Arial"/>
                    </w:rPr>
                    <w:t xml:space="preserve"> workpaper references for information responsive to this request:</w:t>
                  </w:r>
                </w:p>
                <w:p w:rsidR="00695A33" w:rsidP="004637B2" w14:paraId="350A65B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E2620" w14:paraId="350A65B2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>S</w:t>
                  </w:r>
                  <w:r>
                    <w:rPr>
                      <w:rFonts w:ascii="Arial" w:hAnsi="Arial"/>
                    </w:rPr>
                    <w:t xml:space="preserve">ee </w:t>
                  </w:r>
                  <w:r>
                    <w:rPr>
                      <w:rFonts w:ascii="Arial" w:hAnsi="Arial"/>
                    </w:rPr>
                    <w:t>page</w:t>
                  </w:r>
                  <w:r>
                    <w:rPr>
                      <w:rFonts w:ascii="Arial" w:hAnsi="Arial"/>
                    </w:rPr>
                    <w:t>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16-19 of Mr. Nelson’s direct testimony (Bates pages 1863-1866) for information relating to power factor revenues at present rates.  See page </w:t>
                  </w:r>
                  <w:r>
                    <w:rPr>
                      <w:rFonts w:ascii="Arial" w:hAnsi="Arial"/>
                    </w:rPr>
                    <w:t xml:space="preserve">12 of Mr. Troxle’s </w:t>
                  </w:r>
                  <w:r>
                    <w:rPr>
                      <w:rFonts w:ascii="Arial" w:hAnsi="Arial"/>
                    </w:rPr>
                    <w:t xml:space="preserve">direct testimony </w:t>
                  </w:r>
                  <w:r>
                    <w:rPr>
                      <w:rFonts w:ascii="Arial" w:hAnsi="Arial"/>
                    </w:rPr>
                    <w:t xml:space="preserve">(lines 4-8 of Bates page 1800) </w:t>
                  </w:r>
                  <w:r>
                    <w:rPr>
                      <w:rFonts w:ascii="Arial" w:hAnsi="Arial"/>
                    </w:rPr>
                    <w:t xml:space="preserve">for discussion </w:t>
                  </w:r>
                  <w:r>
                    <w:rPr>
                      <w:rFonts w:ascii="Arial" w:hAnsi="Arial"/>
                    </w:rPr>
                    <w:t xml:space="preserve">regarding </w:t>
                  </w:r>
                  <w:r>
                    <w:rPr>
                      <w:rFonts w:ascii="Arial" w:hAnsi="Arial"/>
                    </w:rPr>
                    <w:t>the power factor revenu</w:t>
                  </w:r>
                  <w:r>
                    <w:rPr>
                      <w:rFonts w:ascii="Arial" w:hAnsi="Arial"/>
                    </w:rPr>
                    <w:t>e credit</w:t>
                  </w:r>
                  <w:r>
                    <w:rPr>
                      <w:rFonts w:ascii="Arial" w:hAnsi="Arial"/>
                    </w:rPr>
                    <w:t xml:space="preserve"> at proposed rates</w:t>
                  </w:r>
                  <w:r>
                    <w:rPr>
                      <w:rFonts w:ascii="Arial" w:hAnsi="Arial"/>
                    </w:rPr>
                    <w:t>.  Also see workpaper WP/IV-J-7/1 page 15 of 18 (</w:t>
                  </w:r>
                  <w:r>
                    <w:rPr>
                      <w:rFonts w:ascii="Arial" w:hAnsi="Arial"/>
                    </w:rPr>
                    <w:t xml:space="preserve">Bates page </w:t>
                  </w:r>
                  <w:r>
                    <w:rPr>
                      <w:rFonts w:ascii="Arial" w:hAnsi="Arial"/>
                    </w:rPr>
                    <w:t>4943</w:t>
                  </w:r>
                  <w:r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 xml:space="preserve"> for the rate class breakdown of the </w:t>
                  </w:r>
                  <w:r>
                    <w:rPr>
                      <w:rFonts w:ascii="Arial" w:hAnsi="Arial"/>
                    </w:rPr>
                    <w:t xml:space="preserve">proposed </w:t>
                  </w:r>
                  <w:r>
                    <w:rPr>
                      <w:rFonts w:ascii="Arial" w:hAnsi="Arial"/>
                    </w:rPr>
                    <w:t xml:space="preserve">power factor revenue of </w:t>
                  </w:r>
                  <w:r>
                    <w:rPr>
                      <w:rFonts w:ascii="Arial" w:hAnsi="Arial"/>
                    </w:rPr>
                    <w:t>$17,616,778.</w:t>
                  </w:r>
                </w:p>
                <w:p w:rsidR="00CE2620" w14:paraId="350A65B3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>S</w:t>
                  </w:r>
                  <w:r>
                    <w:rPr>
                      <w:rFonts w:ascii="Arial" w:hAnsi="Arial"/>
                    </w:rPr>
                    <w:t xml:space="preserve">ee </w:t>
                  </w:r>
                  <w:r>
                    <w:rPr>
                      <w:rFonts w:ascii="Arial" w:hAnsi="Arial"/>
                    </w:rPr>
                    <w:t xml:space="preserve">page 30 of Mr. Troxle’s </w:t>
                  </w:r>
                  <w:r>
                    <w:rPr>
                      <w:rFonts w:ascii="Arial" w:hAnsi="Arial"/>
                    </w:rPr>
                    <w:t xml:space="preserve">direct testimony </w:t>
                  </w:r>
                  <w:r>
                    <w:rPr>
                      <w:rFonts w:ascii="Arial" w:hAnsi="Arial"/>
                    </w:rPr>
                    <w:t>(l</w:t>
                  </w:r>
                  <w:r>
                    <w:rPr>
                      <w:rFonts w:ascii="Arial" w:hAnsi="Arial"/>
                    </w:rPr>
                    <w:t>ines 2</w:t>
                  </w:r>
                  <w:r>
                    <w:rPr>
                      <w:rFonts w:ascii="Arial" w:hAnsi="Arial"/>
                    </w:rPr>
                    <w:t xml:space="preserve">-24 of </w:t>
                  </w:r>
                  <w:r>
                    <w:rPr>
                      <w:rFonts w:ascii="Arial" w:hAnsi="Arial"/>
                    </w:rPr>
                    <w:t xml:space="preserve">Bates page 1818) for discussion </w:t>
                  </w:r>
                  <w:r>
                    <w:rPr>
                      <w:rFonts w:ascii="Arial" w:hAnsi="Arial"/>
                    </w:rPr>
                    <w:t>regarding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r</w:t>
                  </w:r>
                  <w:r>
                    <w:rPr>
                      <w:rFonts w:ascii="Arial" w:hAnsi="Arial"/>
                    </w:rPr>
                    <w:t xml:space="preserve">etail discretionary service charges </w:t>
                  </w:r>
                  <w:r>
                    <w:rPr>
                      <w:rFonts w:ascii="Arial" w:hAnsi="Arial"/>
                    </w:rPr>
                    <w:t xml:space="preserve">totaling </w:t>
                  </w:r>
                  <w:r>
                    <w:rPr>
                      <w:rFonts w:ascii="Arial" w:hAnsi="Arial"/>
                    </w:rPr>
                    <w:t xml:space="preserve">$22,468,503.  </w:t>
                  </w:r>
                  <w:r>
                    <w:rPr>
                      <w:rFonts w:ascii="Arial" w:hAnsi="Arial"/>
                    </w:rPr>
                    <w:t>Also, s</w:t>
                  </w:r>
                  <w:r>
                    <w:rPr>
                      <w:rFonts w:ascii="Arial" w:hAnsi="Arial"/>
                    </w:rPr>
                    <w:t>ee</w:t>
                  </w:r>
                  <w:r>
                    <w:rPr>
                      <w:rFonts w:ascii="Arial" w:hAnsi="Arial"/>
                    </w:rPr>
                    <w:t xml:space="preserve"> RFP Schedule IV-J-2 (Bates pages 3629-3693) and</w:t>
                  </w:r>
                  <w:r>
                    <w:rPr>
                      <w:rFonts w:ascii="Arial" w:hAnsi="Arial"/>
                    </w:rPr>
                    <w:t xml:space="preserve"> workpaper WP/ IV-J-2/1 (Bates pages 4904 and 4905) for the detail breakdown of discretionary ser</w:t>
                  </w:r>
                  <w:r>
                    <w:rPr>
                      <w:rFonts w:ascii="Arial" w:hAnsi="Arial"/>
                    </w:rPr>
                    <w:t>vice revenues.</w:t>
                  </w:r>
                  <w:r>
                    <w:rPr>
                      <w:rFonts w:ascii="Arial" w:hAnsi="Arial"/>
                    </w:rPr>
                    <w:t xml:space="preserve">  Also see</w:t>
                  </w:r>
                  <w:r>
                    <w:rPr>
                      <w:rFonts w:ascii="Arial" w:hAnsi="Arial"/>
                    </w:rPr>
                    <w:t xml:space="preserve"> page 12 of Mr. Troxle’s </w:t>
                  </w:r>
                  <w:r>
                    <w:rPr>
                      <w:rFonts w:ascii="Arial" w:hAnsi="Arial"/>
                    </w:rPr>
                    <w:t xml:space="preserve">direct testimony </w:t>
                  </w:r>
                  <w:r w:rsidRPr="001879E3">
                    <w:rPr>
                      <w:rFonts w:ascii="Arial" w:hAnsi="Arial"/>
                    </w:rPr>
                    <w:t>(Bates page 1800) and</w:t>
                  </w:r>
                  <w:r>
                    <w:rPr>
                      <w:rFonts w:ascii="Arial" w:hAnsi="Arial"/>
                    </w:rPr>
                    <w:t xml:space="preserve"> RFP</w:t>
                  </w:r>
                  <w:r w:rsidRPr="001879E3"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Schedule II-E-5 </w:t>
                  </w:r>
                  <w:r>
                    <w:rPr>
                      <w:rFonts w:ascii="Arial" w:hAnsi="Arial"/>
                    </w:rPr>
                    <w:t>(Bates pages 3</w:t>
                  </w:r>
                  <w:r>
                    <w:rPr>
                      <w:rFonts w:ascii="Arial" w:hAnsi="Arial"/>
                    </w:rPr>
                    <w:t>080-3081)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for the functionalized discretionary service revenues</w:t>
                  </w:r>
                  <w:r>
                    <w:rPr>
                      <w:rFonts w:ascii="Arial" w:hAnsi="Arial"/>
                    </w:rPr>
                    <w:t>.  The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proposed</w:t>
                  </w:r>
                  <w:r>
                    <w:rPr>
                      <w:rFonts w:ascii="Arial" w:hAnsi="Arial"/>
                    </w:rPr>
                    <w:t xml:space="preserve"> discretionary service revenues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were functionalized</w:t>
                  </w:r>
                  <w:r>
                    <w:rPr>
                      <w:rFonts w:ascii="Arial" w:hAnsi="Arial"/>
                    </w:rPr>
                    <w:t xml:space="preserve"> based on customer-related costs, with $17,168,858 being allocated</w:t>
                  </w:r>
                  <w:r>
                    <w:rPr>
                      <w:rFonts w:ascii="Arial" w:hAnsi="Arial"/>
                    </w:rPr>
                    <w:t xml:space="preserve"> to the DIST function</w:t>
                  </w:r>
                  <w:r>
                    <w:rPr>
                      <w:rFonts w:ascii="Arial" w:hAnsi="Arial"/>
                    </w:rPr>
                    <w:t>, $5,094,631</w:t>
                  </w:r>
                  <w:r>
                    <w:rPr>
                      <w:rFonts w:ascii="Arial" w:hAnsi="Arial"/>
                    </w:rPr>
                    <w:t xml:space="preserve"> to the MET function</w:t>
                  </w:r>
                  <w:r>
                    <w:rPr>
                      <w:rFonts w:ascii="Arial" w:hAnsi="Arial"/>
                    </w:rPr>
                    <w:t>, and $205,015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t</w:t>
                  </w:r>
                  <w:r>
                    <w:rPr>
                      <w:rFonts w:ascii="Arial" w:hAnsi="Arial"/>
                    </w:rPr>
                    <w:t>o the TDCS function.</w:t>
                  </w:r>
                  <w:r>
                    <w:rPr>
                      <w:rFonts w:ascii="Arial" w:hAnsi="Arial"/>
                    </w:rPr>
                    <w:t xml:space="preserve">  </w:t>
                  </w:r>
                </w:p>
                <w:p w:rsidR="00CE2620" w14:paraId="350A65B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 xml:space="preserve">Please see </w:t>
                  </w:r>
                  <w:r>
                    <w:rPr>
                      <w:rFonts w:ascii="Arial" w:hAnsi="Arial"/>
                    </w:rPr>
                    <w:t xml:space="preserve">the response to </w:t>
                  </w:r>
                  <w:r>
                    <w:rPr>
                      <w:rFonts w:ascii="Arial" w:hAnsi="Arial"/>
                    </w:rPr>
                    <w:t>part b</w:t>
                  </w:r>
                  <w:r>
                    <w:rPr>
                      <w:rFonts w:ascii="Arial" w:hAnsi="Arial"/>
                    </w:rPr>
                    <w:t>. above for information relating to the Metering function.</w:t>
                  </w:r>
                </w:p>
                <w:p w:rsidR="00CE2620" w14:paraId="350A65B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 xml:space="preserve">Please see </w:t>
                  </w:r>
                  <w:r>
                    <w:rPr>
                      <w:rFonts w:ascii="Arial" w:hAnsi="Arial"/>
                    </w:rPr>
                    <w:t xml:space="preserve">the response to </w:t>
                  </w:r>
                  <w:r>
                    <w:rPr>
                      <w:rFonts w:ascii="Arial" w:hAnsi="Arial"/>
                    </w:rPr>
                    <w:t>part b</w:t>
                  </w:r>
                  <w:r>
                    <w:rPr>
                      <w:rFonts w:ascii="Arial" w:hAnsi="Arial"/>
                    </w:rPr>
                    <w:t>. above for information relating to the billing and customer service function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CE2620" w14:paraId="350A65B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e.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>S</w:t>
                  </w:r>
                  <w:r>
                    <w:rPr>
                      <w:rFonts w:ascii="Arial" w:hAnsi="Arial"/>
                    </w:rPr>
                    <w:t xml:space="preserve">ee </w:t>
                  </w:r>
                  <w:r>
                    <w:rPr>
                      <w:rFonts w:ascii="Arial" w:hAnsi="Arial"/>
                    </w:rPr>
                    <w:t xml:space="preserve">page 111 of Mr. </w:t>
                  </w:r>
                  <w:r>
                    <w:rPr>
                      <w:rFonts w:ascii="Arial" w:hAnsi="Arial"/>
                    </w:rPr>
                    <w:t>Ledbetter</w:t>
                  </w:r>
                  <w:r>
                    <w:rPr>
                      <w:rFonts w:ascii="Arial" w:hAnsi="Arial"/>
                    </w:rPr>
                    <w:t>’s direct testimony (</w:t>
                  </w:r>
                  <w:r>
                    <w:rPr>
                      <w:rFonts w:ascii="Arial" w:hAnsi="Arial"/>
                    </w:rPr>
                    <w:t>lines 7</w:t>
                  </w:r>
                  <w:r>
                    <w:rPr>
                      <w:rFonts w:ascii="Arial" w:hAnsi="Arial"/>
                    </w:rPr>
                    <w:t xml:space="preserve">-18 of </w:t>
                  </w:r>
                  <w:r>
                    <w:rPr>
                      <w:rFonts w:ascii="Arial" w:hAnsi="Arial"/>
                    </w:rPr>
                    <w:t>Bates page 675) for the breakdown of FERC account 451 miscellaneous service r</w:t>
                  </w:r>
                  <w:r>
                    <w:rPr>
                      <w:rFonts w:ascii="Arial" w:hAnsi="Arial"/>
                    </w:rPr>
                    <w:t>evenues</w:t>
                  </w:r>
                  <w:r>
                    <w:rPr>
                      <w:rFonts w:ascii="Arial" w:hAnsi="Arial"/>
                    </w:rPr>
                    <w:t>, as well as page 12 of Mr. Troxle’s</w:t>
                  </w:r>
                  <w:r>
                    <w:rPr>
                      <w:rFonts w:ascii="Arial" w:hAnsi="Arial"/>
                    </w:rPr>
                    <w:t xml:space="preserve"> direct testimony </w:t>
                  </w:r>
                  <w:r>
                    <w:rPr>
                      <w:rFonts w:ascii="Arial" w:hAnsi="Arial"/>
                    </w:rPr>
                    <w:t>(</w:t>
                  </w:r>
                  <w:r>
                    <w:rPr>
                      <w:rFonts w:ascii="Arial" w:hAnsi="Arial"/>
                    </w:rPr>
                    <w:t>lines 19</w:t>
                  </w:r>
                  <w:r>
                    <w:rPr>
                      <w:rFonts w:ascii="Arial" w:hAnsi="Arial"/>
                    </w:rPr>
                    <w:t xml:space="preserve">-21 of </w:t>
                  </w:r>
                  <w:r>
                    <w:rPr>
                      <w:rFonts w:ascii="Arial" w:hAnsi="Arial"/>
                    </w:rPr>
                    <w:t>Bates page 1800).</w:t>
                  </w:r>
                </w:p>
                <w:p w:rsidR="00CE2620" w14:paraId="350A65B7" w14:textId="77777777">
                  <w:pPr>
                    <w:pStyle w:val="NoSpacing"/>
                    <w:tabs>
                      <w:tab w:val="left" w:pos="0"/>
                    </w:tabs>
                    <w:ind w:left="66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f.</w:t>
                  </w:r>
                  <w:r>
                    <w:rPr>
                      <w:rFonts w:ascii="Arial" w:hAnsi="Arial"/>
                    </w:rPr>
                    <w:tab/>
                  </w:r>
                  <w:r>
                    <w:rPr>
                      <w:rFonts w:ascii="Arial" w:hAnsi="Arial"/>
                    </w:rPr>
                    <w:t>S</w:t>
                  </w:r>
                  <w:r w:rsidRPr="00BA1F85">
                    <w:rPr>
                      <w:rFonts w:ascii="Arial" w:hAnsi="Arial"/>
                    </w:rPr>
                    <w:t xml:space="preserve">ee </w:t>
                  </w:r>
                  <w:r>
                    <w:rPr>
                      <w:rFonts w:ascii="Arial" w:hAnsi="Arial"/>
                    </w:rPr>
                    <w:t>pages 113-114 of Mr. Ledbetter’s</w:t>
                  </w:r>
                  <w:r w:rsidRPr="00BA1F85">
                    <w:rPr>
                      <w:rFonts w:ascii="Arial" w:hAnsi="Arial"/>
                    </w:rPr>
                    <w:t xml:space="preserve"> direct testimony </w:t>
                  </w:r>
                  <w:r>
                    <w:rPr>
                      <w:rFonts w:ascii="Arial" w:hAnsi="Arial"/>
                    </w:rPr>
                    <w:t>(Bates pages 677-678)</w:t>
                  </w:r>
                  <w:r w:rsidRPr="00BA1F85">
                    <w:rPr>
                      <w:rFonts w:ascii="Arial" w:hAnsi="Arial"/>
                    </w:rPr>
                    <w:t xml:space="preserve"> for</w:t>
                  </w:r>
                  <w:r>
                    <w:rPr>
                      <w:rFonts w:ascii="Arial" w:hAnsi="Arial"/>
                    </w:rPr>
                    <w:t xml:space="preserve"> discussion of other revenues</w:t>
                  </w:r>
                  <w:r>
                    <w:rPr>
                      <w:rFonts w:ascii="Arial" w:hAnsi="Arial"/>
                    </w:rPr>
                    <w:t xml:space="preserve">, as well as page 12 of Mr. Troxle’s </w:t>
                  </w:r>
                  <w:r w:rsidRPr="00BA1F85">
                    <w:rPr>
                      <w:rFonts w:ascii="Arial" w:hAnsi="Arial"/>
                    </w:rPr>
                    <w:t xml:space="preserve">direct testimony </w:t>
                  </w:r>
                  <w:r>
                    <w:rPr>
                      <w:rFonts w:ascii="Arial" w:hAnsi="Arial"/>
                    </w:rPr>
                    <w:t>(lines 19-21 of Bates page 1800</w:t>
                  </w:r>
                  <w:r w:rsidRPr="00BA1F85">
                    <w:rPr>
                      <w:rFonts w:ascii="Arial" w:hAnsi="Arial"/>
                    </w:rPr>
                    <w:t>).</w:t>
                  </w:r>
                  <w:r>
                    <w:rPr>
                      <w:rFonts w:ascii="Arial" w:hAnsi="Arial"/>
                    </w:rPr>
                    <w:t xml:space="preserve">  Also s</w:t>
                  </w:r>
                  <w:r w:rsidRPr="00BA1F85">
                    <w:rPr>
                      <w:rFonts w:ascii="Arial" w:hAnsi="Arial"/>
                    </w:rPr>
                    <w:t>ee</w:t>
                  </w:r>
                  <w:r w:rsidRPr="00BA1F85">
                    <w:rPr>
                      <w:rFonts w:ascii="Arial" w:hAnsi="Arial"/>
                    </w:rPr>
                    <w:t xml:space="preserve"> </w:t>
                  </w:r>
                  <w:r w:rsidRPr="00BA1F85">
                    <w:rPr>
                      <w:rFonts w:ascii="Arial" w:hAnsi="Arial"/>
                    </w:rPr>
                    <w:t xml:space="preserve">workpaper WP/II-E-5 </w:t>
                  </w:r>
                  <w:r w:rsidRPr="00BA1F85">
                    <w:rPr>
                      <w:rFonts w:ascii="Arial" w:hAnsi="Arial"/>
                    </w:rPr>
                    <w:t>(Bates page 4720)</w:t>
                  </w:r>
                  <w:r>
                    <w:rPr>
                      <w:rFonts w:ascii="Arial" w:hAnsi="Arial"/>
                    </w:rPr>
                    <w:t>, in which the c</w:t>
                  </w:r>
                  <w:r w:rsidRPr="00BA1F85">
                    <w:rPr>
                      <w:rFonts w:ascii="Arial" w:hAnsi="Arial"/>
                    </w:rPr>
                    <w:t xml:space="preserve">olumn </w:t>
                  </w:r>
                  <w:r>
                    <w:rPr>
                      <w:rFonts w:ascii="Arial" w:hAnsi="Arial"/>
                    </w:rPr>
                    <w:t>labeled “</w:t>
                  </w:r>
                  <w:r w:rsidRPr="00BA1F85">
                    <w:rPr>
                      <w:rFonts w:ascii="Arial" w:hAnsi="Arial"/>
                    </w:rPr>
                    <w:t>Distribution Rev Credit</w:t>
                  </w:r>
                  <w:r>
                    <w:rPr>
                      <w:rFonts w:ascii="Arial" w:hAnsi="Arial"/>
                    </w:rPr>
                    <w:t>”</w:t>
                  </w:r>
                  <w:r w:rsidRPr="00BA1F85">
                    <w:rPr>
                      <w:rFonts w:ascii="Arial" w:hAnsi="Arial"/>
                    </w:rPr>
                    <w:t xml:space="preserve"> for </w:t>
                  </w:r>
                  <w:r>
                    <w:rPr>
                      <w:rFonts w:ascii="Arial" w:hAnsi="Arial"/>
                    </w:rPr>
                    <w:t>A</w:t>
                  </w:r>
                  <w:r w:rsidRPr="00BA1F85">
                    <w:rPr>
                      <w:rFonts w:ascii="Arial" w:hAnsi="Arial"/>
                    </w:rPr>
                    <w:t xml:space="preserve">ccount 456 reflects a </w:t>
                  </w:r>
                  <w:r>
                    <w:rPr>
                      <w:rFonts w:ascii="Arial" w:hAnsi="Arial"/>
                    </w:rPr>
                    <w:t>sub-</w:t>
                  </w:r>
                  <w:r w:rsidRPr="00BA1F85">
                    <w:rPr>
                      <w:rFonts w:ascii="Arial" w:hAnsi="Arial"/>
                    </w:rPr>
                    <w:t xml:space="preserve">total of $6,263,313.  </w:t>
                  </w:r>
                  <w:r>
                    <w:rPr>
                      <w:rFonts w:ascii="Arial" w:hAnsi="Arial"/>
                    </w:rPr>
                    <w:t xml:space="preserve">As described on page 114 of Mr. Ledbetter’s </w:t>
                  </w:r>
                  <w:r>
                    <w:rPr>
                      <w:rFonts w:ascii="Arial" w:hAnsi="Arial"/>
                    </w:rPr>
                    <w:t>direct testimony (lines 21-</w:t>
                  </w:r>
                  <w:r>
                    <w:rPr>
                      <w:rFonts w:ascii="Arial" w:hAnsi="Arial"/>
                    </w:rPr>
                    <w:t>27 of Bates page 678)</w:t>
                  </w:r>
                  <w:r>
                    <w:rPr>
                      <w:rFonts w:ascii="Arial" w:hAnsi="Arial"/>
                    </w:rPr>
                    <w:t xml:space="preserve">, this sub-total has been </w:t>
                  </w:r>
                  <w:r>
                    <w:rPr>
                      <w:rFonts w:ascii="Arial" w:hAnsi="Arial"/>
                    </w:rPr>
                    <w:t xml:space="preserve">adjusted </w:t>
                  </w:r>
                  <w:r>
                    <w:rPr>
                      <w:rFonts w:ascii="Arial" w:hAnsi="Arial"/>
                    </w:rPr>
                    <w:t>to remov</w:t>
                  </w:r>
                  <w:r>
                    <w:rPr>
                      <w:rFonts w:ascii="Arial" w:hAnsi="Arial"/>
                    </w:rPr>
                    <w:t>e non-recurring costs</w:t>
                  </w:r>
                  <w:r>
                    <w:rPr>
                      <w:rFonts w:ascii="Arial" w:hAnsi="Arial"/>
                    </w:rPr>
                    <w:t xml:space="preserve"> to arrive at the </w:t>
                  </w:r>
                  <w:r w:rsidRPr="00BA1F85">
                    <w:rPr>
                      <w:rFonts w:ascii="Arial" w:hAnsi="Arial"/>
                    </w:rPr>
                    <w:t xml:space="preserve">adjusted total of $6,086,808 </w:t>
                  </w:r>
                  <w:r>
                    <w:rPr>
                      <w:rFonts w:ascii="Arial" w:hAnsi="Arial"/>
                    </w:rPr>
                    <w:t xml:space="preserve">of other electric revenue credited to the </w:t>
                  </w:r>
                  <w:r w:rsidRPr="00BA1F85">
                    <w:rPr>
                      <w:rFonts w:ascii="Arial" w:hAnsi="Arial"/>
                    </w:rPr>
                    <w:t>DIST function.</w:t>
                  </w:r>
                </w:p>
              </w:tc>
            </w:tr>
          </w:tbl>
          <w:p w:rsidR="009E56FD" w:rsidP="000C0C06" w14:paraId="350A65B9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350A65BB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350A65C0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350A65C1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4</w:t>
    </w:r>
  </w:p>
  <w:p w:rsidR="00373AB7" w:rsidP="00373AB7" w14:paraId="350A65C2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4-06</w:t>
    </w:r>
  </w:p>
  <w:p w:rsidR="00373AB7" w:rsidP="00373AB7" w14:paraId="350A65C3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F50832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F50832">
      <w:rPr>
        <w:rFonts w:ascii="Arial" w:hAnsi="Arial"/>
        <w:noProof/>
      </w:rPr>
      <w:t>2</w:t>
    </w:r>
    <w:r w:rsidRPr="00B5302B">
      <w:rPr>
        <w:rFonts w:ascii="Arial" w:hAnsi="Arial"/>
      </w:rPr>
      <w:fldChar w:fldCharType="end"/>
    </w:r>
  </w:p>
  <w:p w:rsidR="006B6F25" w:rsidP="00373AB7" w14:paraId="350A65C4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879E3"/>
    <w:rsid w:val="002449F4"/>
    <w:rsid w:val="002C63EA"/>
    <w:rsid w:val="002D2A1E"/>
    <w:rsid w:val="00351788"/>
    <w:rsid w:val="00373AB7"/>
    <w:rsid w:val="003B37EC"/>
    <w:rsid w:val="00406AC2"/>
    <w:rsid w:val="004637B2"/>
    <w:rsid w:val="005366A2"/>
    <w:rsid w:val="00540A38"/>
    <w:rsid w:val="005F6683"/>
    <w:rsid w:val="00695A33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1225"/>
    <w:rsid w:val="00B5302B"/>
    <w:rsid w:val="00BA1F85"/>
    <w:rsid w:val="00C75830"/>
    <w:rsid w:val="00C85AC7"/>
    <w:rsid w:val="00CE2620"/>
    <w:rsid w:val="00F36160"/>
    <w:rsid w:val="00F443F8"/>
    <w:rsid w:val="00F50832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0162F6C-903E-4528-B08E-8F14AA1D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2750</Characters>
  <Application>Microsoft Office Word</Application>
  <DocSecurity>0</DocSecurity>
  <Lines>23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