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20170965"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2017095E"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2017095D" w14:textId="77777777">
                  <w:pPr>
                    <w:pStyle w:val="NoSpacing"/>
                    <w:rPr>
                      <w:rFonts w:ascii="Arial" w:hAnsi="Arial"/>
                      <w:b/>
                      <w:color w:val="auto"/>
                      <w:u w:val="single"/>
                      <w:shd w:val="clear" w:color="auto" w:fill="auto"/>
                    </w:rPr>
                  </w:pPr>
                  <w:bookmarkStart w:id="0" w:name="_GoBack"/>
                  <w:bookmarkEnd w:id="0"/>
                  <w:r w:rsidRPr="002449F4">
                    <w:rPr>
                      <w:rFonts w:ascii="Arial" w:hAnsi="Arial"/>
                      <w:b/>
                      <w:u w:val="single"/>
                    </w:rPr>
                    <w:t>Request</w:t>
                  </w:r>
                </w:p>
              </w:tc>
            </w:tr>
            <w:tr w14:paraId="20170961" w14:textId="77777777" w:rsidTr="00A915A9">
              <w:tblPrEx>
                <w:tblW w:w="0" w:type="auto"/>
                <w:tblLook w:val="04A0"/>
              </w:tblPrEx>
              <w:trPr>
                <w:trHeight w:val="251"/>
              </w:trPr>
              <w:tc>
                <w:tcPr>
                  <w:tcW w:w="9345" w:type="dxa"/>
                </w:tcPr>
                <w:p w:rsidR="009E56FD" w:rsidRPr="002449F4" w:rsidP="002449F4" w14:paraId="2017095F" w14:textId="77777777">
                  <w:pPr>
                    <w:pStyle w:val="NoSpacing"/>
                    <w:rPr>
                      <w:rFonts w:ascii="Arial" w:hAnsi="Arial"/>
                      <w:b/>
                      <w:color w:val="auto"/>
                      <w:shd w:val="clear" w:color="auto" w:fill="auto"/>
                    </w:rPr>
                  </w:pPr>
                </w:p>
                <w:p w:rsidR="006B6F25" w:rsidRPr="004637B2" w:rsidP="00447702" w14:paraId="20170960" w14:textId="77777777">
                  <w:pPr>
                    <w:pStyle w:val="NoSpacing"/>
                    <w:framePr w:hSpace="180" w:wrap="around" w:vAnchor="page" w:hAnchor="margin" w:y="1861"/>
                    <w:rPr>
                      <w:rFonts w:ascii="Arial" w:hAnsi="Arial"/>
                      <w:color w:val="auto"/>
                      <w:shd w:val="clear" w:color="auto" w:fill="auto"/>
                    </w:rPr>
                  </w:pPr>
                  <w:r w:rsidRPr="00447702">
                    <w:rPr>
                      <w:rFonts w:ascii="Arial" w:hAnsi="Arial"/>
                    </w:rPr>
                    <w:t>In reference to page 20 of Mr. Matthew's testimony, please explain why Oncor</w:t>
                  </w:r>
                  <w:r>
                    <w:rPr>
                      <w:rFonts w:ascii="Arial" w:hAnsi="Arial"/>
                    </w:rPr>
                    <w:t xml:space="preserve"> </w:t>
                  </w:r>
                  <w:r w:rsidRPr="00447702">
                    <w:rPr>
                      <w:rFonts w:ascii="Arial" w:hAnsi="Arial"/>
                    </w:rPr>
                    <w:t>uses the unadjusted test year average 4CP demand data to allocate the TCRF</w:t>
                  </w:r>
                  <w:r>
                    <w:rPr>
                      <w:rFonts w:ascii="Arial" w:hAnsi="Arial"/>
                    </w:rPr>
                    <w:t xml:space="preserve"> </w:t>
                  </w:r>
                  <w:r w:rsidRPr="00447702">
                    <w:rPr>
                      <w:rFonts w:ascii="Arial" w:hAnsi="Arial"/>
                    </w:rPr>
                    <w:t>revenue requirement and</w:t>
                  </w:r>
                  <w:r w:rsidRPr="00447702">
                    <w:rPr>
                      <w:rFonts w:ascii="Arial" w:hAnsi="Arial"/>
                    </w:rPr>
                    <w:t xml:space="preserve"> confirm that the rate class average 4CP demand data</w:t>
                  </w:r>
                  <w:r>
                    <w:rPr>
                      <w:rFonts w:ascii="Arial" w:hAnsi="Arial"/>
                    </w:rPr>
                    <w:t xml:space="preserve"> </w:t>
                  </w:r>
                  <w:r w:rsidRPr="00447702">
                    <w:rPr>
                      <w:rFonts w:ascii="Arial" w:hAnsi="Arial"/>
                    </w:rPr>
                    <w:t>used to allocate the TCRF revenue does not reflect any customer or weather</w:t>
                  </w:r>
                  <w:r>
                    <w:rPr>
                      <w:rFonts w:ascii="Arial" w:hAnsi="Arial"/>
                    </w:rPr>
                    <w:t xml:space="preserve"> </w:t>
                  </w:r>
                  <w:r w:rsidRPr="00447702">
                    <w:rPr>
                      <w:rFonts w:ascii="Arial" w:hAnsi="Arial"/>
                    </w:rPr>
                    <w:t>adjustments.</w:t>
                  </w:r>
                </w:p>
              </w:tc>
            </w:tr>
            <w:tr w14:paraId="20170963" w14:textId="77777777" w:rsidTr="00A915A9">
              <w:tblPrEx>
                <w:tblW w:w="0" w:type="auto"/>
                <w:tblLook w:val="04A0"/>
              </w:tblPrEx>
              <w:trPr>
                <w:trHeight w:val="251"/>
              </w:trPr>
              <w:tc>
                <w:tcPr>
                  <w:tcW w:w="9345" w:type="dxa"/>
                </w:tcPr>
                <w:p w:rsidR="002449F4" w:rsidP="009E56FD" w14:paraId="20170962" w14:textId="77777777">
                  <w:pPr>
                    <w:spacing w:after="0"/>
                    <w:rPr>
                      <w:b/>
                      <w:color w:val="auto"/>
                      <w:shd w:val="clear" w:color="auto" w:fill="auto"/>
                    </w:rPr>
                  </w:pPr>
                </w:p>
              </w:tc>
            </w:tr>
          </w:tbl>
          <w:p w:rsidR="009E56FD" w:rsidP="000C0C06" w14:paraId="20170964" w14:textId="77777777">
            <w:pPr>
              <w:tabs>
                <w:tab w:val="left" w:pos="3450"/>
                <w:tab w:val="left" w:pos="5445"/>
              </w:tabs>
              <w:rPr>
                <w:b/>
                <w:color w:val="auto"/>
                <w:shd w:val="clear" w:color="auto" w:fill="auto"/>
              </w:rPr>
            </w:pPr>
          </w:p>
        </w:tc>
      </w:tr>
      <w:tr w14:paraId="2017096F"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20170967"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20170966" w14:textId="77777777">
                  <w:pPr>
                    <w:pStyle w:val="NoSpacing"/>
                    <w:rPr>
                      <w:rFonts w:ascii="Arial" w:hAnsi="Arial"/>
                      <w:b/>
                      <w:color w:val="auto"/>
                      <w:u w:val="single"/>
                      <w:shd w:val="clear" w:color="auto" w:fill="auto"/>
                    </w:rPr>
                  </w:pPr>
                  <w:r w:rsidRPr="002449F4">
                    <w:rPr>
                      <w:rFonts w:ascii="Arial" w:hAnsi="Arial"/>
                      <w:b/>
                      <w:u w:val="single"/>
                    </w:rPr>
                    <w:t>Response</w:t>
                  </w:r>
                </w:p>
              </w:tc>
            </w:tr>
            <w:tr w14:paraId="2017096D" w14:textId="77777777" w:rsidTr="00A915A9">
              <w:tblPrEx>
                <w:tblW w:w="0" w:type="auto"/>
                <w:tblLook w:val="04A0"/>
              </w:tblPrEx>
              <w:trPr>
                <w:trHeight w:val="315"/>
              </w:trPr>
              <w:tc>
                <w:tcPr>
                  <w:tcW w:w="9345" w:type="dxa"/>
                </w:tcPr>
                <w:p w:rsidR="009E56FD" w:rsidRPr="002449F4" w:rsidP="002449F4" w14:paraId="20170968" w14:textId="77777777">
                  <w:pPr>
                    <w:pStyle w:val="NoSpacing"/>
                    <w:rPr>
                      <w:rFonts w:ascii="Arial" w:hAnsi="Arial"/>
                      <w:b/>
                      <w:color w:val="auto"/>
                      <w:shd w:val="clear" w:color="auto" w:fill="auto"/>
                    </w:rPr>
                  </w:pPr>
                </w:p>
                <w:p w:rsidR="00792FD1" w:rsidP="00DE12EF" w14:paraId="20170969" w14:textId="77777777">
                  <w:pPr>
                    <w:framePr w:hSpace="180" w:wrap="around" w:vAnchor="page" w:hAnchor="margin" w:y="1861"/>
                    <w:spacing w:after="0" w:line="240" w:lineRule="auto"/>
                    <w:rPr>
                      <w:rFonts w:ascii="Arial" w:eastAsia="Calibri" w:hAnsi="Arial" w:cs="Times New Roman"/>
                      <w:color w:val="auto"/>
                      <w:shd w:val="clear" w:color="auto" w:fill="auto"/>
                    </w:rPr>
                  </w:pPr>
                  <w:r w:rsidRPr="00792FD1">
                    <w:rPr>
                      <w:rFonts w:ascii="Arial" w:hAnsi="Arial"/>
                    </w:rPr>
                    <w:t xml:space="preserve">The following response was prepared by or under the direct supervision of Matthew A. Troxle, the </w:t>
                  </w:r>
                  <w:r w:rsidRPr="00792FD1">
                    <w:rPr>
                      <w:rFonts w:ascii="Arial" w:hAnsi="Arial"/>
                    </w:rPr>
                    <w:t>sponsoring witness for this response.</w:t>
                  </w:r>
                </w:p>
                <w:p w:rsidR="00DE12EF" w:rsidRPr="00792FD1" w:rsidP="00DE12EF" w14:paraId="2017096A" w14:textId="77777777">
                  <w:pPr>
                    <w:framePr w:hSpace="180" w:wrap="around" w:vAnchor="page" w:hAnchor="margin" w:y="1861"/>
                    <w:spacing w:after="0" w:line="240" w:lineRule="auto"/>
                    <w:rPr>
                      <w:rFonts w:ascii="Arial" w:eastAsia="Calibri" w:hAnsi="Arial" w:cs="Times New Roman"/>
                      <w:color w:val="auto"/>
                      <w:shd w:val="clear" w:color="auto" w:fill="auto"/>
                    </w:rPr>
                  </w:pPr>
                </w:p>
                <w:p w:rsidR="00792FD1" w:rsidRPr="00792FD1" w:rsidP="00DE12EF" w14:paraId="2017096B" w14:textId="77777777">
                  <w:pPr>
                    <w:framePr w:hSpace="180" w:wrap="around" w:vAnchor="page" w:hAnchor="margin" w:y="1861"/>
                    <w:spacing w:after="0" w:line="240" w:lineRule="auto"/>
                    <w:rPr>
                      <w:rFonts w:ascii="Arial" w:eastAsia="Calibri" w:hAnsi="Arial" w:cs="Times New Roman"/>
                      <w:color w:val="auto"/>
                      <w:shd w:val="clear" w:color="auto" w:fill="auto"/>
                    </w:rPr>
                  </w:pPr>
                  <w:r w:rsidRPr="00792FD1">
                    <w:rPr>
                      <w:rFonts w:ascii="Arial" w:hAnsi="Arial"/>
                    </w:rPr>
                    <w:t>The use of Unadjusted Test Year Load Data for the 4CP Retail Class allocator is directed by Finding of Fact No. 39 in the Order in Docket No. 38929.  The same methodology was utilized in Docket No. 46957, which was also a settled case, but the Order in Doc</w:t>
                  </w:r>
                  <w:r w:rsidRPr="00792FD1">
                    <w:rPr>
                      <w:rFonts w:ascii="Arial" w:hAnsi="Arial"/>
                    </w:rPr>
                    <w:t xml:space="preserve">ket No. 46957 did not address this issue.  The Unadjusted Test Year Load Data does not reflect customer or weather adjustments.  </w:t>
                  </w:r>
                </w:p>
                <w:p w:rsidR="006B6F25" w:rsidRPr="004637B2" w:rsidP="00DE12EF" w14:paraId="2017096C" w14:textId="77777777">
                  <w:pPr>
                    <w:pStyle w:val="NoSpacing"/>
                    <w:framePr w:hSpace="180" w:wrap="around" w:vAnchor="page" w:hAnchor="margin" w:y="1861"/>
                    <w:rPr>
                      <w:rFonts w:ascii="Arial" w:hAnsi="Arial"/>
                      <w:color w:val="auto"/>
                      <w:shd w:val="clear" w:color="auto" w:fill="auto"/>
                    </w:rPr>
                  </w:pPr>
                </w:p>
              </w:tc>
            </w:tr>
          </w:tbl>
          <w:p w:rsidR="009E56FD" w:rsidP="000C0C06" w14:paraId="2017096E" w14:textId="77777777">
            <w:pPr>
              <w:tabs>
                <w:tab w:val="left" w:pos="3450"/>
                <w:tab w:val="left" w:pos="5445"/>
              </w:tabs>
              <w:rPr>
                <w:b/>
                <w:color w:val="auto"/>
                <w:shd w:val="clear" w:color="auto" w:fill="auto"/>
              </w:rPr>
            </w:pPr>
          </w:p>
        </w:tc>
      </w:tr>
    </w:tbl>
    <w:p w:rsidR="00906A1B" w:rsidP="006B6F25" w14:paraId="20170970" w14:textId="77777777">
      <w:pPr>
        <w:rPr>
          <w:color w:val="auto"/>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20170975"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53601</w:t>
    </w:r>
  </w:p>
  <w:p w:rsidR="00373AB7" w:rsidP="00373AB7" w14:paraId="20170976" w14:textId="77777777">
    <w:pPr>
      <w:pStyle w:val="NoSpacing"/>
      <w:jc w:val="right"/>
      <w:rPr>
        <w:rStyle w:val="Style1"/>
        <w:color w:val="auto"/>
        <w:shd w:val="clear" w:color="auto" w:fill="auto"/>
      </w:rPr>
    </w:pPr>
    <w:r>
      <w:rPr>
        <w:rStyle w:val="Style1"/>
      </w:rPr>
      <w:t>Google RFI Set No. 4</w:t>
    </w:r>
  </w:p>
  <w:p w:rsidR="00373AB7" w:rsidP="00373AB7" w14:paraId="20170977" w14:textId="77777777">
    <w:pPr>
      <w:pStyle w:val="NoSpacing"/>
      <w:jc w:val="right"/>
      <w:rPr>
        <w:rStyle w:val="Style1"/>
        <w:color w:val="auto"/>
        <w:shd w:val="clear" w:color="auto" w:fill="auto"/>
      </w:rPr>
    </w:pPr>
    <w:r>
      <w:rPr>
        <w:rFonts w:ascii="Arial" w:hAnsi="Arial"/>
      </w:rPr>
      <w:t xml:space="preserve">Question No. </w:t>
    </w:r>
    <w:r>
      <w:rPr>
        <w:rStyle w:val="Style1"/>
      </w:rPr>
      <w:t>4-03</w:t>
    </w:r>
  </w:p>
  <w:p w:rsidR="00373AB7" w:rsidP="00373AB7" w14:paraId="20170978"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2C19F2">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2C19F2">
      <w:rPr>
        <w:rFonts w:ascii="Arial" w:hAnsi="Arial"/>
        <w:noProof/>
      </w:rPr>
      <w:t>1</w:t>
    </w:r>
    <w:r w:rsidRPr="00B5302B">
      <w:rPr>
        <w:rFonts w:ascii="Arial" w:hAnsi="Arial"/>
      </w:rPr>
      <w:fldChar w:fldCharType="end"/>
    </w:r>
  </w:p>
  <w:p w:rsidR="006B6F25" w:rsidP="00373AB7" w14:paraId="20170979"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C0C06"/>
    <w:rsid w:val="000E5CA0"/>
    <w:rsid w:val="002449F4"/>
    <w:rsid w:val="002C19F2"/>
    <w:rsid w:val="002C63EA"/>
    <w:rsid w:val="00351788"/>
    <w:rsid w:val="00373AB7"/>
    <w:rsid w:val="003B37EC"/>
    <w:rsid w:val="00406AC2"/>
    <w:rsid w:val="00447702"/>
    <w:rsid w:val="004637B2"/>
    <w:rsid w:val="005366A2"/>
    <w:rsid w:val="00540A38"/>
    <w:rsid w:val="006B6F25"/>
    <w:rsid w:val="00790A22"/>
    <w:rsid w:val="00792FD1"/>
    <w:rsid w:val="007D7F9D"/>
    <w:rsid w:val="00802A57"/>
    <w:rsid w:val="00861C4C"/>
    <w:rsid w:val="008B1A1A"/>
    <w:rsid w:val="008C1348"/>
    <w:rsid w:val="00906A1B"/>
    <w:rsid w:val="009922C2"/>
    <w:rsid w:val="009C608B"/>
    <w:rsid w:val="009E56FD"/>
    <w:rsid w:val="00A649E9"/>
    <w:rsid w:val="00A71CA9"/>
    <w:rsid w:val="00A915A9"/>
    <w:rsid w:val="00AB3EF8"/>
    <w:rsid w:val="00AC0BC4"/>
    <w:rsid w:val="00B4378F"/>
    <w:rsid w:val="00B5302B"/>
    <w:rsid w:val="00C75830"/>
    <w:rsid w:val="00C85AC7"/>
    <w:rsid w:val="00DE12EF"/>
    <w:rsid w:val="00F36160"/>
    <w:rsid w:val="00F443F8"/>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2FD39682-8473-4289-B10F-8466CB85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706</Characters>
  <Application>Microsoft Office Word</Application>
  <DocSecurity>0</DocSecurity>
  <Lines>6</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