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1A237CCC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1A237CBE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1A237CBD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1A237CC8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1A237CB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5951A2" w:rsidP="005951A2" w14:paraId="1A237CC0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5951A2">
                    <w:rPr>
                      <w:rFonts w:ascii="Arial" w:hAnsi="Arial"/>
                    </w:rPr>
                    <w:t>Please refer to all of the schedules associated with Schedule II-D and explain in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5951A2">
                    <w:rPr>
                      <w:rFonts w:ascii="Arial" w:hAnsi="Arial"/>
                    </w:rPr>
                    <w:t>detail the methodologies used to allocate costs included in each of the following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5951A2">
                    <w:rPr>
                      <w:rFonts w:ascii="Arial" w:hAnsi="Arial"/>
                    </w:rPr>
                    <w:t xml:space="preserve">FERC </w:t>
                  </w:r>
                  <w:r w:rsidRPr="005951A2">
                    <w:rPr>
                      <w:rFonts w:ascii="Arial" w:hAnsi="Arial"/>
                    </w:rPr>
                    <w:t>accounts for the different functions (Transmission, Distribution,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5951A2">
                    <w:rPr>
                      <w:rFonts w:ascii="Arial" w:hAnsi="Arial"/>
                    </w:rPr>
                    <w:t>Metering, and Customer Service functions):</w:t>
                  </w:r>
                </w:p>
                <w:p w:rsidR="005951A2" w:rsidRPr="005951A2" w:rsidP="005951A2" w14:paraId="1A237CC1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5951A2" w:rsidRPr="005951A2" w:rsidP="005951A2" w14:paraId="1A237CC2" w14:textId="77777777">
                  <w:pPr>
                    <w:pStyle w:val="NoSpacing"/>
                    <w:framePr w:hSpace="180" w:wrap="around" w:vAnchor="page" w:hAnchor="margin" w:y="1861"/>
                    <w:ind w:left="702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5951A2">
                    <w:rPr>
                      <w:rFonts w:ascii="Arial" w:hAnsi="Arial"/>
                    </w:rPr>
                    <w:t>a)</w:t>
                  </w:r>
                  <w:r>
                    <w:rPr>
                      <w:rFonts w:ascii="Arial" w:hAnsi="Arial"/>
                    </w:rPr>
                    <w:tab/>
                  </w:r>
                  <w:r w:rsidRPr="005951A2">
                    <w:rPr>
                      <w:rFonts w:ascii="Arial" w:hAnsi="Arial"/>
                    </w:rPr>
                    <w:t>A45X</w:t>
                  </w:r>
                </w:p>
                <w:p w:rsidR="005951A2" w:rsidRPr="005951A2" w:rsidP="005951A2" w14:paraId="1A237CC3" w14:textId="77777777">
                  <w:pPr>
                    <w:pStyle w:val="NoSpacing"/>
                    <w:framePr w:hSpace="180" w:wrap="around" w:vAnchor="page" w:hAnchor="margin" w:y="1861"/>
                    <w:ind w:left="702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b)</w:t>
                  </w:r>
                  <w:r>
                    <w:rPr>
                      <w:rFonts w:ascii="Arial" w:hAnsi="Arial"/>
                    </w:rPr>
                    <w:tab/>
                  </w:r>
                  <w:r w:rsidRPr="005951A2">
                    <w:rPr>
                      <w:rFonts w:ascii="Arial" w:hAnsi="Arial"/>
                    </w:rPr>
                    <w:t>A904</w:t>
                  </w:r>
                </w:p>
                <w:p w:rsidR="005951A2" w:rsidP="005951A2" w14:paraId="1A237CC4" w14:textId="77777777">
                  <w:pPr>
                    <w:pStyle w:val="NoSpacing"/>
                    <w:framePr w:hSpace="180" w:wrap="around" w:vAnchor="page" w:hAnchor="margin" w:y="1861"/>
                    <w:ind w:left="702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c)</w:t>
                  </w:r>
                  <w:r>
                    <w:rPr>
                      <w:rFonts w:ascii="Arial" w:hAnsi="Arial"/>
                    </w:rPr>
                    <w:tab/>
                  </w:r>
                  <w:r w:rsidRPr="005951A2">
                    <w:rPr>
                      <w:rFonts w:ascii="Arial" w:hAnsi="Arial"/>
                    </w:rPr>
                    <w:t>A588</w:t>
                  </w:r>
                </w:p>
                <w:p w:rsidR="005951A2" w:rsidP="005951A2" w14:paraId="1A237CC5" w14:textId="77777777">
                  <w:pPr>
                    <w:pStyle w:val="NoSpacing"/>
                    <w:framePr w:hSpace="180" w:wrap="around" w:vAnchor="page" w:hAnchor="margin" w:y="1861"/>
                    <w:ind w:left="702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d)</w:t>
                  </w:r>
                  <w:r>
                    <w:rPr>
                      <w:rFonts w:ascii="Arial" w:hAnsi="Arial"/>
                    </w:rPr>
                    <w:tab/>
                    <w:t>A921</w:t>
                  </w:r>
                </w:p>
                <w:p w:rsidR="005951A2" w:rsidRPr="005951A2" w:rsidP="005951A2" w14:paraId="1A237CC6" w14:textId="77777777">
                  <w:pPr>
                    <w:pStyle w:val="NoSpacing"/>
                    <w:framePr w:hSpace="180" w:wrap="around" w:vAnchor="page" w:hAnchor="margin" w:y="1861"/>
                    <w:ind w:left="702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5951A2">
                    <w:rPr>
                      <w:rFonts w:ascii="Arial" w:hAnsi="Arial"/>
                    </w:rPr>
                    <w:t>e)</w:t>
                  </w:r>
                  <w:r>
                    <w:rPr>
                      <w:rFonts w:ascii="Arial" w:hAnsi="Arial"/>
                    </w:rPr>
                    <w:tab/>
                  </w:r>
                  <w:r w:rsidRPr="005951A2">
                    <w:rPr>
                      <w:rFonts w:ascii="Arial" w:hAnsi="Arial"/>
                    </w:rPr>
                    <w:t>A923</w:t>
                  </w:r>
                </w:p>
                <w:p w:rsidR="006B6F25" w:rsidRPr="004637B2" w:rsidP="005951A2" w14:paraId="1A237CC7" w14:textId="77777777">
                  <w:pPr>
                    <w:pStyle w:val="NoSpacing"/>
                    <w:framePr w:hSpace="180" w:wrap="around" w:vAnchor="page" w:hAnchor="margin" w:y="1861"/>
                    <w:ind w:left="702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5951A2">
                    <w:rPr>
                      <w:rFonts w:ascii="Arial" w:hAnsi="Arial"/>
                    </w:rPr>
                    <w:t>f)</w:t>
                  </w:r>
                  <w:r>
                    <w:rPr>
                      <w:rFonts w:ascii="Arial" w:hAnsi="Arial"/>
                    </w:rPr>
                    <w:tab/>
                  </w:r>
                  <w:r w:rsidRPr="005951A2">
                    <w:rPr>
                      <w:rFonts w:ascii="Arial" w:hAnsi="Arial"/>
                    </w:rPr>
                    <w:t>A930.2</w:t>
                  </w:r>
                </w:p>
              </w:tc>
            </w:tr>
            <w:tr w14:paraId="1A237CCA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1A237CC9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1A237CCB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1A237CDD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1A237CCE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1A237CCD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1A237CDB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1A237CC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4637B2" w14:paraId="1A237CD0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The following response was prepared by or under the direct supervision of W. </w:t>
                  </w:r>
                  <w:r>
                    <w:rPr>
                      <w:rFonts w:ascii="Arial" w:hAnsi="Arial"/>
                    </w:rPr>
                    <w:t>Alan Ledbetter, the sponsoring witness for this response.</w:t>
                  </w:r>
                </w:p>
                <w:p w:rsidR="00E23F54" w:rsidP="004637B2" w14:paraId="1A237CD1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26055D" w:rsidP="0026055D" w14:paraId="1A237CD2" w14:textId="77777777">
                  <w:pPr>
                    <w:pStyle w:val="NoSpacing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Please see pages 108-116 of Mr. Ledbetter’s direct testimony (Bates pages 672-680) for discussion of the methodology Oncor employed to assign Other Revenues (</w:t>
                  </w:r>
                  <w:r w:rsidRPr="0026055D">
                    <w:rPr>
                      <w:rFonts w:ascii="Arial" w:hAnsi="Arial"/>
                      <w:i/>
                    </w:rPr>
                    <w:t>i.e.</w:t>
                  </w:r>
                  <w:r>
                    <w:rPr>
                      <w:rFonts w:ascii="Arial" w:hAnsi="Arial"/>
                    </w:rPr>
                    <w:t>, Account “A45X”) included in RFP S</w:t>
                  </w:r>
                  <w:r>
                    <w:rPr>
                      <w:rFonts w:ascii="Arial" w:hAnsi="Arial"/>
                    </w:rPr>
                    <w:t xml:space="preserve">chedule II-E-5 to the appropriate functions.  </w:t>
                  </w:r>
                </w:p>
                <w:p w:rsidR="0026055D" w:rsidP="004637B2" w14:paraId="1A237CD3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B46082" w:rsidP="004637B2" w14:paraId="1A237CD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Please see</w:t>
                  </w:r>
                  <w:r>
                    <w:rPr>
                      <w:rFonts w:ascii="Arial" w:hAnsi="Arial"/>
                    </w:rPr>
                    <w:t xml:space="preserve"> pages 75-85 of Mr. Ledbetter’s</w:t>
                  </w:r>
                  <w:r>
                    <w:rPr>
                      <w:rFonts w:ascii="Arial" w:hAnsi="Arial"/>
                    </w:rPr>
                    <w:t xml:space="preserve"> direct testimony </w:t>
                  </w:r>
                  <w:r>
                    <w:rPr>
                      <w:rFonts w:ascii="Arial" w:hAnsi="Arial"/>
                    </w:rPr>
                    <w:t>(</w:t>
                  </w:r>
                  <w:r>
                    <w:rPr>
                      <w:rFonts w:ascii="Arial" w:hAnsi="Arial"/>
                    </w:rPr>
                    <w:t xml:space="preserve">Bates </w:t>
                  </w:r>
                  <w:r>
                    <w:rPr>
                      <w:rFonts w:ascii="Arial" w:hAnsi="Arial"/>
                    </w:rPr>
                    <w:t>pages 639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</w:rPr>
                    <w:t>649</w:t>
                  </w:r>
                  <w:r>
                    <w:rPr>
                      <w:rFonts w:ascii="Arial" w:hAnsi="Arial"/>
                    </w:rPr>
                    <w:t>) for discussion</w:t>
                  </w:r>
                  <w:r>
                    <w:rPr>
                      <w:rFonts w:ascii="Arial" w:hAnsi="Arial"/>
                    </w:rPr>
                    <w:t xml:space="preserve"> of the methodology Oncor employed to assign </w:t>
                  </w:r>
                  <w:r>
                    <w:rPr>
                      <w:rFonts w:ascii="Arial" w:hAnsi="Arial"/>
                    </w:rPr>
                    <w:t>operation and maintenance expense, including administrative and gene</w:t>
                  </w:r>
                  <w:r>
                    <w:rPr>
                      <w:rFonts w:ascii="Arial" w:hAnsi="Arial"/>
                    </w:rPr>
                    <w:t xml:space="preserve">ral expenses, reflected in rate filing package (“RFP”) </w:t>
                  </w:r>
                  <w:r>
                    <w:rPr>
                      <w:rFonts w:ascii="Arial" w:hAnsi="Arial"/>
                    </w:rPr>
                    <w:t>Schedule</w:t>
                  </w:r>
                  <w:r>
                    <w:rPr>
                      <w:rFonts w:ascii="Arial" w:hAnsi="Arial"/>
                    </w:rPr>
                    <w:t xml:space="preserve"> II-D </w:t>
                  </w:r>
                  <w:r>
                    <w:rPr>
                      <w:rFonts w:ascii="Arial" w:hAnsi="Arial"/>
                    </w:rPr>
                    <w:t>to the</w:t>
                  </w:r>
                  <w:r>
                    <w:rPr>
                      <w:rFonts w:ascii="Arial" w:hAnsi="Arial"/>
                    </w:rPr>
                    <w:t xml:space="preserve"> appropriate functions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E23F54" w:rsidP="004637B2" w14:paraId="1A237CD5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DE22A5" w:rsidP="00AD5190" w14:paraId="1A237CD6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Additional </w:t>
                  </w:r>
                  <w:r>
                    <w:rPr>
                      <w:rFonts w:ascii="Arial" w:hAnsi="Arial"/>
                    </w:rPr>
                    <w:t xml:space="preserve">information regarding functionalization </w:t>
                  </w:r>
                  <w:r>
                    <w:rPr>
                      <w:rFonts w:ascii="Arial" w:hAnsi="Arial"/>
                    </w:rPr>
                    <w:t>is</w:t>
                  </w:r>
                  <w:r>
                    <w:rPr>
                      <w:rFonts w:ascii="Arial" w:hAnsi="Arial"/>
                    </w:rPr>
                    <w:t xml:space="preserve"> provided in </w:t>
                  </w:r>
                  <w:r>
                    <w:rPr>
                      <w:rFonts w:ascii="Arial" w:hAnsi="Arial"/>
                    </w:rPr>
                    <w:t xml:space="preserve">the following </w:t>
                  </w:r>
                  <w:r>
                    <w:rPr>
                      <w:rFonts w:ascii="Arial" w:hAnsi="Arial"/>
                    </w:rPr>
                    <w:t>workpaper</w:t>
                  </w:r>
                  <w:r>
                    <w:rPr>
                      <w:rFonts w:ascii="Arial" w:hAnsi="Arial"/>
                    </w:rPr>
                    <w:t>s:</w:t>
                  </w:r>
                </w:p>
                <w:p w:rsidR="00DE22A5" w:rsidP="00AD5190" w14:paraId="1A237CD7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076AF8" w14:paraId="1A237CD8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Symbol" w:hAnsi="Symbol"/>
                    </w:rPr>
                    <w:sym w:font="Symbol" w:char="F0B7"/>
                  </w:r>
                  <w:r>
                    <w:rPr>
                      <w:rFonts w:ascii="Symbol" w:hAnsi="Symbol"/>
                    </w:rPr>
                    <w:tab/>
                  </w:r>
                  <w:r>
                    <w:rPr>
                      <w:rFonts w:ascii="Arial" w:hAnsi="Arial"/>
                    </w:rPr>
                    <w:t>WP/II-D Functi</w:t>
                  </w:r>
                  <w:r>
                    <w:rPr>
                      <w:rFonts w:ascii="Arial" w:hAnsi="Arial"/>
                    </w:rPr>
                    <w:t>onalization, Pages 1 through 66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(</w:t>
                  </w:r>
                  <w:r>
                    <w:rPr>
                      <w:rFonts w:ascii="Arial" w:hAnsi="Arial"/>
                    </w:rPr>
                    <w:t xml:space="preserve">Bates </w:t>
                  </w:r>
                  <w:r>
                    <w:rPr>
                      <w:rFonts w:ascii="Arial" w:hAnsi="Arial"/>
                    </w:rPr>
                    <w:t xml:space="preserve">pages </w:t>
                  </w:r>
                  <w:r>
                    <w:rPr>
                      <w:rFonts w:ascii="Arial" w:hAnsi="Arial"/>
                    </w:rPr>
                    <w:t>4502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</w:rPr>
                    <w:t>4567</w:t>
                  </w:r>
                  <w:r>
                    <w:rPr>
                      <w:rFonts w:ascii="Arial" w:hAnsi="Arial"/>
                    </w:rPr>
                    <w:t>)</w:t>
                  </w:r>
                  <w:r>
                    <w:rPr>
                      <w:rFonts w:ascii="Arial" w:hAnsi="Arial"/>
                    </w:rPr>
                    <w:t>,</w:t>
                  </w:r>
                </w:p>
                <w:p w:rsidR="00076AF8" w14:paraId="1A237CD9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Symbol" w:hAnsi="Symbol"/>
                    </w:rPr>
                    <w:sym w:font="Symbol" w:char="F0B7"/>
                  </w:r>
                  <w:r>
                    <w:rPr>
                      <w:rFonts w:ascii="Symbol" w:hAnsi="Symbol"/>
                    </w:rPr>
                    <w:tab/>
                  </w:r>
                  <w:r>
                    <w:rPr>
                      <w:rFonts w:ascii="Arial" w:hAnsi="Arial"/>
                    </w:rPr>
                    <w:t>WP/II-D Labor Functio</w:t>
                  </w:r>
                  <w:r>
                    <w:rPr>
                      <w:rFonts w:ascii="Arial" w:hAnsi="Arial"/>
                    </w:rPr>
                    <w:t>nalization, Pages 1 through 31 (</w:t>
                  </w:r>
                  <w:r>
                    <w:rPr>
                      <w:rFonts w:ascii="Arial" w:hAnsi="Arial"/>
                    </w:rPr>
                    <w:t xml:space="preserve">Bates </w:t>
                  </w:r>
                  <w:r>
                    <w:rPr>
                      <w:rFonts w:ascii="Arial" w:hAnsi="Arial"/>
                    </w:rPr>
                    <w:t xml:space="preserve">pages </w:t>
                  </w:r>
                  <w:r>
                    <w:rPr>
                      <w:rFonts w:ascii="Arial" w:hAnsi="Arial"/>
                    </w:rPr>
                    <w:t>4568</w:t>
                  </w:r>
                  <w:r>
                    <w:rPr>
                      <w:rFonts w:ascii="Arial" w:hAnsi="Arial"/>
                    </w:rPr>
                    <w:t>-4598</w:t>
                  </w:r>
                  <w:r>
                    <w:rPr>
                      <w:rFonts w:ascii="Arial" w:hAnsi="Arial"/>
                    </w:rPr>
                    <w:t>)</w:t>
                  </w:r>
                  <w:r>
                    <w:rPr>
                      <w:rFonts w:ascii="Arial" w:hAnsi="Arial"/>
                    </w:rPr>
                    <w:t>, and</w:t>
                  </w:r>
                </w:p>
                <w:p w:rsidR="00076AF8" w14:paraId="1A237CDA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Symbol" w:hAnsi="Symbol"/>
                    </w:rPr>
                    <w:sym w:font="Symbol" w:char="F0B7"/>
                  </w:r>
                  <w:r>
                    <w:rPr>
                      <w:rFonts w:ascii="Symbol" w:hAnsi="Symbol"/>
                    </w:rPr>
                    <w:tab/>
                  </w:r>
                  <w:r>
                    <w:rPr>
                      <w:rFonts w:ascii="Arial" w:hAnsi="Arial"/>
                    </w:rPr>
                    <w:t>WP/II-E-5, Page 1 of 1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(</w:t>
                  </w:r>
                  <w:r>
                    <w:rPr>
                      <w:rFonts w:ascii="Arial" w:hAnsi="Arial"/>
                    </w:rPr>
                    <w:t xml:space="preserve">Bates </w:t>
                  </w:r>
                  <w:r>
                    <w:rPr>
                      <w:rFonts w:ascii="Arial" w:hAnsi="Arial"/>
                    </w:rPr>
                    <w:t xml:space="preserve">page </w:t>
                  </w:r>
                  <w:r>
                    <w:rPr>
                      <w:rFonts w:ascii="Arial" w:hAnsi="Arial"/>
                    </w:rPr>
                    <w:t>4720</w:t>
                  </w:r>
                  <w:r>
                    <w:rPr>
                      <w:rFonts w:ascii="Arial" w:hAnsi="Arial"/>
                    </w:rPr>
                    <w:t>)</w:t>
                  </w:r>
                  <w:r>
                    <w:rPr>
                      <w:rFonts w:ascii="Arial" w:hAnsi="Arial"/>
                    </w:rPr>
                    <w:t>.</w:t>
                  </w:r>
                </w:p>
              </w:tc>
            </w:tr>
          </w:tbl>
          <w:p w:rsidR="009E56FD" w:rsidP="000C0C06" w14:paraId="1A237CDC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1A237CDE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1A237CE3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1A237CE4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Google RFI Set No. 3</w:t>
    </w:r>
  </w:p>
  <w:p w:rsidR="00373AB7" w:rsidP="00373AB7" w14:paraId="1A237CE5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3-03</w:t>
    </w:r>
  </w:p>
  <w:p w:rsidR="00373AB7" w:rsidP="00373AB7" w14:paraId="1A237CE6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842EB7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842EB7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1A237CE7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76AF8"/>
    <w:rsid w:val="000C0C06"/>
    <w:rsid w:val="000E5CA0"/>
    <w:rsid w:val="002449F4"/>
    <w:rsid w:val="0026055D"/>
    <w:rsid w:val="002C63EA"/>
    <w:rsid w:val="00351788"/>
    <w:rsid w:val="00373AB7"/>
    <w:rsid w:val="003B37EC"/>
    <w:rsid w:val="00406AC2"/>
    <w:rsid w:val="004637B2"/>
    <w:rsid w:val="005366A2"/>
    <w:rsid w:val="00540A38"/>
    <w:rsid w:val="005951A2"/>
    <w:rsid w:val="006B6F25"/>
    <w:rsid w:val="00790A22"/>
    <w:rsid w:val="007D7F9D"/>
    <w:rsid w:val="00802A57"/>
    <w:rsid w:val="00842EB7"/>
    <w:rsid w:val="00861C4C"/>
    <w:rsid w:val="008B1A1A"/>
    <w:rsid w:val="008C1348"/>
    <w:rsid w:val="00906A1B"/>
    <w:rsid w:val="009922C2"/>
    <w:rsid w:val="009C608B"/>
    <w:rsid w:val="009E56FD"/>
    <w:rsid w:val="00A649E9"/>
    <w:rsid w:val="00A71CA9"/>
    <w:rsid w:val="00A915A9"/>
    <w:rsid w:val="00AB3EF8"/>
    <w:rsid w:val="00AC0BC4"/>
    <w:rsid w:val="00AD5190"/>
    <w:rsid w:val="00B4378F"/>
    <w:rsid w:val="00B46082"/>
    <w:rsid w:val="00B5302B"/>
    <w:rsid w:val="00C75830"/>
    <w:rsid w:val="00C85AC7"/>
    <w:rsid w:val="00DE22A5"/>
    <w:rsid w:val="00E23F54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20FB78E-FF53-48E6-8C37-1CBBE46C3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1128</Characters>
  <Application>Microsoft Office Word</Application>
  <DocSecurity>0</DocSecurity>
  <Lines>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