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08D78565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8D78553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8D78552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08D78561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08D78554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3E2D68" w:rsidRPr="008E425B" w:rsidP="003E2D68" w14:paraId="08D78555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Please refer to all of the schedules associated with Schedule II-B and explain in detail the methodologies used to allocate costs included in each of the following FERC accounts for the different functions (Transmission, Distribution, Metering, and Customer Service functions):</w:t>
                  </w:r>
                </w:p>
                <w:p w:rsidR="003E2D68" w:rsidRPr="008E425B" w:rsidP="003E2D68" w14:paraId="08D78556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</w:p>
                <w:p w:rsidR="003E2D68" w:rsidRPr="008E425B" w:rsidP="003E2D68" w14:paraId="08D78557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a)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A303</w:t>
                  </w:r>
                </w:p>
                <w:p w:rsidR="003E2D68" w:rsidRPr="008E425B" w:rsidP="003E2D68" w14:paraId="08D78558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b)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A352</w:t>
                  </w:r>
                </w:p>
                <w:p w:rsidR="003E2D68" w:rsidRPr="008E425B" w:rsidP="003E2D68" w14:paraId="08D78559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c)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A353</w:t>
                  </w:r>
                </w:p>
                <w:p w:rsidR="003E2D68" w:rsidRPr="008E425B" w:rsidP="003E2D68" w14:paraId="08D7855A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d)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A361</w:t>
                  </w:r>
                </w:p>
                <w:p w:rsidR="003E2D68" w:rsidRPr="008E425B" w:rsidP="003E2D68" w14:paraId="08D7855B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e)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A362</w:t>
                  </w:r>
                </w:p>
                <w:p w:rsidR="003E2D68" w:rsidRPr="008E425B" w:rsidP="003E2D68" w14:paraId="08D7855C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f)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A374</w:t>
                  </w:r>
                  <w:bookmarkStart w:id="0" w:name="_GoBack"/>
                  <w:bookmarkEnd w:id="0"/>
                </w:p>
                <w:p w:rsidR="003E2D68" w:rsidRPr="008E425B" w:rsidP="003E2D68" w14:paraId="08D7855D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g)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A388 through A396</w:t>
                  </w:r>
                </w:p>
                <w:p w:rsidR="003E2D68" w:rsidRPr="008E425B" w:rsidP="003E2D68" w14:paraId="08D7855E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h)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A398</w:t>
                  </w:r>
                </w:p>
                <w:p w:rsidR="003E2D68" w:rsidRPr="008E425B" w:rsidP="003E2D68" w14:paraId="08D7855F" w14:textId="77777777">
                  <w:pPr>
                    <w:framePr w:hSpace="180" w:wrap="around" w:vAnchor="page" w:hAnchor="margin" w:y="1861"/>
                    <w:autoSpaceDE w:val="0"/>
                    <w:autoSpaceDN w:val="0"/>
                    <w:adjustRightInd w:val="0"/>
                    <w:spacing w:after="0" w:line="240" w:lineRule="auto"/>
                    <w:ind w:left="702" w:hanging="360"/>
                    <w:rPr>
                      <w:rFonts w:ascii="Arial" w:eastAsia="Calibri" w:hAnsi="Arial" w:cs="Times New Roman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i)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A397</w:t>
                  </w:r>
                </w:p>
                <w:p w:rsidR="006B6F25" w:rsidRPr="003E2D68" w:rsidP="003E2D68" w14:paraId="08D78560" w14:textId="77777777">
                  <w:pPr>
                    <w:pStyle w:val="NoSpacing"/>
                    <w:framePr w:hSpace="180" w:wrap="around" w:vAnchor="page" w:hAnchor="margin" w:y="1861"/>
                    <w:ind w:left="702" w:hanging="360"/>
                    <w:rPr>
                      <w:rFonts w:ascii="Arial" w:hAnsi="Arial"/>
                      <w:color w:val="000000"/>
                      <w:shd w:val="clear" w:color="auto" w:fill="auto"/>
                    </w:rPr>
                  </w:pPr>
                  <w:r w:rsidRPr="008E425B">
                    <w:rPr>
                      <w:rFonts w:ascii="Arial" w:hAnsi="Arial"/>
                      <w:color w:val="000000" w:themeColor="text1"/>
                    </w:rPr>
                    <w:t>j)</w:t>
                  </w:r>
                  <w:r w:rsidRPr="008E425B">
                    <w:rPr>
                      <w:rFonts w:ascii="Arial" w:hAnsi="Arial"/>
                      <w:color w:val="000000" w:themeColor="text1"/>
                    </w:rPr>
                    <w:tab/>
                    <w:t>A105</w:t>
                  </w:r>
                </w:p>
              </w:tc>
            </w:tr>
            <w:tr w14:paraId="08D78563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08D78562" w14:textId="77777777">
                  <w:pPr>
                    <w:spacing w:after="0"/>
                    <w:rPr>
                      <w:b/>
                      <w:color w:val="000000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8D78564" w14:textId="77777777">
            <w:pPr>
              <w:tabs>
                <w:tab w:val="left" w:pos="3450"/>
                <w:tab w:val="left" w:pos="5445"/>
              </w:tabs>
              <w:rPr>
                <w:b/>
                <w:color w:val="000000"/>
                <w:shd w:val="clear" w:color="auto" w:fill="auto"/>
              </w:rPr>
            </w:pPr>
          </w:p>
        </w:tc>
      </w:tr>
      <w:tr w14:paraId="08D7857D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8D7856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8D7856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08D7857B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08D7856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08D7856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W. Alan Ledbetter, the sponsoring witness for this response.</w:t>
                  </w:r>
                </w:p>
                <w:p w:rsidR="0061317A" w:rsidP="004637B2" w14:paraId="08D7856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1317A" w:rsidP="004637B2" w14:paraId="08D7856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Please see pages 32-47 of Mr. Ledbetter’s direct testimony (Bates pages 596-611) for discussion of the methodologies for assigning plant in service investment to the different functions (</w:t>
                  </w:r>
                  <w:r w:rsidRPr="0061317A">
                    <w:rPr>
                      <w:rFonts w:ascii="Arial" w:hAnsi="Arial"/>
                    </w:rPr>
                    <w:t>Transmission, Distribution, Metering, and Customer Service functions</w:t>
                  </w:r>
                  <w:r>
                    <w:rPr>
                      <w:rFonts w:ascii="Arial" w:hAnsi="Arial"/>
                    </w:rPr>
                    <w:t>).</w:t>
                  </w:r>
                </w:p>
                <w:p w:rsidR="0061317A" w:rsidP="004637B2" w14:paraId="08D7856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1317A" w:rsidP="004637B2" w14:paraId="08D7856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Please see pages 48-49 of Mr. Ledbetter’s direct testimony (Bates pages 612-613) for discussion regarding the functional assignment of Federal Energy Regulatory Commission (“FERC”) account 105-</w:t>
                  </w:r>
                  <w:r w:rsidRPr="006A65F0">
                    <w:rPr>
                      <w:rFonts w:ascii="Arial" w:hAnsi="Arial"/>
                      <w:i/>
                    </w:rPr>
                    <w:t>Electric plant held for future use</w:t>
                  </w:r>
                  <w:r>
                    <w:rPr>
                      <w:rFonts w:ascii="Arial" w:hAnsi="Arial"/>
                    </w:rPr>
                    <w:t xml:space="preserve"> to the transmission and distribution functions.</w:t>
                  </w:r>
                </w:p>
                <w:p w:rsidR="00BB2BD5" w:rsidP="004637B2" w14:paraId="08D7856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BB2BD5" w:rsidP="004637B2" w14:paraId="08D7856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workpapers provide the methodologies used to assign costs in each of the following FERC accounts for the different functions (Transmission, Distribution, Metering, and Customer Service functions):</w:t>
                  </w:r>
                </w:p>
                <w:p w:rsidR="00BB2BD5" w:rsidP="004637B2" w14:paraId="08D7857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E7321A" w14:paraId="08D78571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A303</w:t>
                  </w:r>
                  <w:r>
                    <w:rPr>
                      <w:rFonts w:ascii="Arial" w:hAnsi="Arial"/>
                    </w:rPr>
                    <w:t xml:space="preserve"> – Reference workpapers WP/II-B-1/01 and WP/II-B-1/02 (Bates pages 3837-3841).</w:t>
                  </w:r>
                </w:p>
                <w:p w:rsidR="00E7321A" w14:paraId="08D78572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A352</w:t>
                  </w:r>
                  <w:r>
                    <w:rPr>
                      <w:rFonts w:ascii="Arial" w:hAnsi="Arial"/>
                    </w:rPr>
                    <w:t xml:space="preserve"> – Direct assigned 100% to Transmission.</w:t>
                  </w:r>
                </w:p>
                <w:p w:rsidR="00E7321A" w14:paraId="08D78573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A353</w:t>
                  </w:r>
                  <w:r>
                    <w:rPr>
                      <w:rFonts w:ascii="Arial" w:hAnsi="Arial"/>
                    </w:rPr>
                    <w:t xml:space="preserve"> – Reference workpapers WP/II-B-1/03 through WP/II-B-1/06 (Bates pages 3842-3868).</w:t>
                  </w:r>
                </w:p>
                <w:p w:rsidR="00E7321A" w14:paraId="08D7857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d)</w:t>
                  </w:r>
                  <w:r>
                    <w:rPr>
                      <w:rFonts w:ascii="Arial" w:hAnsi="Arial"/>
                    </w:rPr>
                    <w:tab/>
                    <w:t>A</w:t>
                  </w:r>
                  <w:r w:rsidRPr="00604BE2">
                    <w:rPr>
                      <w:rFonts w:ascii="Arial" w:hAnsi="Arial"/>
                    </w:rPr>
                    <w:t>361 – Reference workpapers WP/II-B-1/11 and WP/II-B-1/12 (Bates pages 3902</w:t>
                  </w:r>
                  <w:r>
                    <w:rPr>
                      <w:rFonts w:ascii="Arial" w:hAnsi="Arial"/>
                    </w:rPr>
                    <w:t>-3979</w:t>
                  </w:r>
                  <w:r w:rsidRPr="00604BE2">
                    <w:rPr>
                      <w:rFonts w:ascii="Arial" w:hAnsi="Arial"/>
                    </w:rPr>
                    <w:t>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E7321A" w14:paraId="08D7857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A362</w:t>
                  </w:r>
                  <w:r>
                    <w:rPr>
                      <w:rFonts w:ascii="Arial" w:hAnsi="Arial"/>
                    </w:rPr>
                    <w:t xml:space="preserve"> – Reference workpapers WP/II-B-1/03, WP/II-B-1/08, WP/II-B-1/09, and WP/II-B-1/10 (Bates pages 3842-3843, 3873-3901).</w:t>
                  </w:r>
                </w:p>
                <w:p w:rsidR="00E7321A" w14:paraId="08D7857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f)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A374</w:t>
                  </w:r>
                  <w:r>
                    <w:rPr>
                      <w:rFonts w:ascii="Arial" w:hAnsi="Arial"/>
                    </w:rPr>
                    <w:t xml:space="preserve"> – Reference workpapers WP/II-B-1/11 and WP/II-B-1/12 (Bates pages 3902-3979).</w:t>
                  </w:r>
                </w:p>
                <w:p w:rsidR="00E7321A" w14:paraId="08D78577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g)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A388 through A396</w:t>
                  </w:r>
                  <w:r>
                    <w:rPr>
                      <w:rFonts w:ascii="Arial" w:hAnsi="Arial"/>
                    </w:rPr>
                    <w:t xml:space="preserve"> – Reference workpapers WP/II-B-2/01 and WP/II-B-2/04 (Bates pages 3980-3991 and 4053).</w:t>
                  </w:r>
                </w:p>
                <w:p w:rsidR="00E7321A" w14:paraId="08D7857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h)</w:t>
                  </w:r>
                  <w:r>
                    <w:rPr>
                      <w:rFonts w:ascii="Arial" w:hAnsi="Arial"/>
                    </w:rPr>
                    <w:tab/>
                  </w:r>
                  <w:r w:rsidRPr="00BB2BD5">
                    <w:rPr>
                      <w:rFonts w:ascii="Arial" w:hAnsi="Arial"/>
                    </w:rPr>
                    <w:t>A398</w:t>
                  </w:r>
                  <w:r>
                    <w:rPr>
                      <w:rFonts w:ascii="Arial" w:hAnsi="Arial"/>
                    </w:rPr>
                    <w:t xml:space="preserve"> – Reference workpapers WP/II-B-2/01 and WP/II-B-2/04 (</w:t>
                  </w:r>
                  <w:r w:rsidRPr="008B2644">
                    <w:rPr>
                      <w:rFonts w:ascii="Arial" w:hAnsi="Arial"/>
                    </w:rPr>
                    <w:t>Bates pages 3980</w:t>
                  </w:r>
                  <w:r>
                    <w:rPr>
                      <w:rFonts w:ascii="Arial" w:hAnsi="Arial"/>
                    </w:rPr>
                    <w:t>-3991</w:t>
                  </w:r>
                  <w:r w:rsidRPr="008B2644">
                    <w:rPr>
                      <w:rFonts w:ascii="Arial" w:hAnsi="Arial"/>
                    </w:rPr>
                    <w:t xml:space="preserve"> and 4053)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E7321A" w14:paraId="08D78579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i)</w:t>
                  </w:r>
                  <w:r>
                    <w:rPr>
                      <w:rFonts w:ascii="Arial" w:hAnsi="Arial"/>
                    </w:rPr>
                    <w:tab/>
                  </w:r>
                  <w:r w:rsidRPr="00604BE2">
                    <w:rPr>
                      <w:rFonts w:ascii="Arial" w:hAnsi="Arial"/>
                    </w:rPr>
                    <w:t>A397 – Reference workpaper WP/II-B-3/01 (Bates page 4054</w:t>
                  </w:r>
                  <w:r>
                    <w:rPr>
                      <w:rFonts w:ascii="Arial" w:hAnsi="Arial"/>
                    </w:rPr>
                    <w:t>-</w:t>
                  </w:r>
                  <w:r w:rsidRPr="00604BE2">
                    <w:rPr>
                      <w:rFonts w:ascii="Arial" w:hAnsi="Arial"/>
                    </w:rPr>
                    <w:t>4095)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E7321A" w14:paraId="08D7857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j)</w:t>
                  </w:r>
                  <w:r>
                    <w:rPr>
                      <w:rFonts w:ascii="Arial" w:hAnsi="Arial"/>
                    </w:rPr>
                    <w:tab/>
                    <w:t>A105 – Reference workpapers WP/II-B-1/09 and WP/II-B-6/01 (Bates pages 3876-3900 and 4197-4198).</w:t>
                  </w:r>
                </w:p>
              </w:tc>
            </w:tr>
          </w:tbl>
          <w:p w:rsidR="009E56FD" w:rsidP="000C0C06" w14:paraId="08D7857C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08D7857E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08D78583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08D78584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3</w:t>
    </w:r>
  </w:p>
  <w:p w:rsidR="00373AB7" w:rsidP="00373AB7" w14:paraId="08D7858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3-02</w:t>
    </w:r>
  </w:p>
  <w:p w:rsidR="00373AB7" w:rsidP="00373AB7" w14:paraId="08D78586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8E425B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8E425B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</w:p>
  <w:p w:rsidR="006B6F25" w:rsidP="00373AB7" w14:paraId="08D78587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2C798F"/>
    <w:rsid w:val="00351788"/>
    <w:rsid w:val="00373AB7"/>
    <w:rsid w:val="003B37EC"/>
    <w:rsid w:val="003E2D68"/>
    <w:rsid w:val="00406AC2"/>
    <w:rsid w:val="004637B2"/>
    <w:rsid w:val="005366A2"/>
    <w:rsid w:val="00540A38"/>
    <w:rsid w:val="00604BE2"/>
    <w:rsid w:val="0061317A"/>
    <w:rsid w:val="006A65F0"/>
    <w:rsid w:val="006B6F25"/>
    <w:rsid w:val="00790A22"/>
    <w:rsid w:val="007D7F9D"/>
    <w:rsid w:val="00802A57"/>
    <w:rsid w:val="00861C4C"/>
    <w:rsid w:val="008B1A1A"/>
    <w:rsid w:val="008B2644"/>
    <w:rsid w:val="008C1348"/>
    <w:rsid w:val="008E425B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BB2BD5"/>
    <w:rsid w:val="00C75830"/>
    <w:rsid w:val="00C85AC7"/>
    <w:rsid w:val="00E7321A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9187378-45C9-4141-9475-B70953E1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1860</Characters>
  <Application>Microsoft Office Word</Application>
  <DocSecurity>0</DocSecurity>
  <Lines>15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