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5495343C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54953431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54953430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54953438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54953432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8319A" w:rsidP="0068319A" w14:paraId="54953433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68319A">
                    <w:rPr>
                      <w:rFonts w:ascii="Arial" w:hAnsi="Arial"/>
                    </w:rPr>
                    <w:t>Please explain whether Onc</w:t>
                  </w:r>
                  <w:r>
                    <w:rPr>
                      <w:rFonts w:ascii="Arial" w:hAnsi="Arial"/>
                    </w:rPr>
                    <w:t>o</w:t>
                  </w:r>
                  <w:r w:rsidRPr="0068319A">
                    <w:rPr>
                      <w:rFonts w:ascii="Arial" w:hAnsi="Arial"/>
                    </w:rPr>
                    <w:t>r has included any amounts for mobile generation as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68319A">
                    <w:rPr>
                      <w:rFonts w:ascii="Arial" w:hAnsi="Arial"/>
                    </w:rPr>
                    <w:t>operations and maintenance expense in its request for rates. If so, please provide:</w:t>
                  </w:r>
                </w:p>
                <w:p w:rsidR="008073DA" w14:paraId="54953434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a.</w:t>
                  </w:r>
                  <w:r>
                    <w:rPr>
                      <w:rFonts w:ascii="Arial" w:hAnsi="Arial"/>
                    </w:rPr>
                    <w:tab/>
                  </w:r>
                  <w:r w:rsidRPr="0068319A">
                    <w:rPr>
                      <w:rFonts w:ascii="Arial" w:hAnsi="Arial"/>
                    </w:rPr>
                    <w:t xml:space="preserve">The </w:t>
                  </w:r>
                  <w:r w:rsidRPr="0068319A">
                    <w:rPr>
                      <w:rFonts w:ascii="Arial" w:hAnsi="Arial"/>
                    </w:rPr>
                    <w:t>location</w:t>
                  </w:r>
                  <w:r>
                    <w:rPr>
                      <w:rFonts w:ascii="Arial" w:hAnsi="Arial"/>
                    </w:rPr>
                    <w:t xml:space="preserve"> -</w:t>
                  </w:r>
                  <w:r w:rsidRPr="0068319A">
                    <w:rPr>
                      <w:rFonts w:ascii="Arial" w:hAnsi="Arial"/>
                    </w:rPr>
                    <w:t>- by schedule, by Bates page number, and by FERC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68319A">
                    <w:rPr>
                      <w:rFonts w:ascii="Arial" w:hAnsi="Arial"/>
                    </w:rPr>
                    <w:t>account</w:t>
                  </w:r>
                  <w:r>
                    <w:rPr>
                      <w:rFonts w:ascii="Arial" w:hAnsi="Arial"/>
                    </w:rPr>
                    <w:t xml:space="preserve"> -</w:t>
                  </w:r>
                  <w:r w:rsidRPr="0068319A">
                    <w:rPr>
                      <w:rFonts w:ascii="Arial" w:hAnsi="Arial"/>
                    </w:rPr>
                    <w:t>- of all such amounts;</w:t>
                  </w:r>
                </w:p>
                <w:p w:rsidR="008073DA" w14:paraId="54953435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b.</w:t>
                  </w:r>
                  <w:r>
                    <w:rPr>
                      <w:rFonts w:ascii="Arial" w:hAnsi="Arial"/>
                    </w:rPr>
                    <w:tab/>
                  </w:r>
                  <w:r w:rsidRPr="0068319A">
                    <w:rPr>
                      <w:rFonts w:ascii="Arial" w:hAnsi="Arial"/>
                    </w:rPr>
                    <w:t>A narrative explanation of the nature of the costs;</w:t>
                  </w:r>
                </w:p>
                <w:p w:rsidR="008073DA" w14:paraId="54953436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c.</w:t>
                  </w:r>
                  <w:r>
                    <w:rPr>
                      <w:rFonts w:ascii="Arial" w:hAnsi="Arial"/>
                    </w:rPr>
                    <w:tab/>
                  </w:r>
                  <w:r w:rsidRPr="0068319A">
                    <w:rPr>
                      <w:rFonts w:ascii="Arial" w:hAnsi="Arial"/>
                    </w:rPr>
                    <w:t xml:space="preserve">A calculation of the amount requested rates, with an explanation of all inputs and assumptions used in the </w:t>
                  </w:r>
                  <w:r w:rsidRPr="0068319A">
                    <w:rPr>
                      <w:rFonts w:ascii="Arial" w:hAnsi="Arial"/>
                    </w:rPr>
                    <w:t>calculation and a detailed explanation of justification of any inputs and assumptions; and,</w:t>
                  </w:r>
                </w:p>
                <w:p w:rsidR="008073DA" w14:paraId="54953437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d.</w:t>
                  </w:r>
                  <w:r>
                    <w:rPr>
                      <w:rFonts w:ascii="Arial" w:hAnsi="Arial"/>
                    </w:rPr>
                    <w:tab/>
                  </w:r>
                  <w:r w:rsidRPr="0068319A">
                    <w:rPr>
                      <w:rFonts w:ascii="Arial" w:hAnsi="Arial"/>
                    </w:rPr>
                    <w:t>An explanation of how much of the cost Oncor expects to recur on an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68319A">
                    <w:rPr>
                      <w:rFonts w:ascii="Arial" w:hAnsi="Arial"/>
                    </w:rPr>
                    <w:t>annual basis.</w:t>
                  </w:r>
                </w:p>
              </w:tc>
            </w:tr>
            <w:tr w14:paraId="5495343A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54953439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5495343B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54953447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5495343E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5495343D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54953445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5495343F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P="004637B2" w14:paraId="54953440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The following response was prepared by or under the direct </w:t>
                  </w:r>
                  <w:r>
                    <w:rPr>
                      <w:rFonts w:ascii="Arial" w:hAnsi="Arial"/>
                    </w:rPr>
                    <w:t>supervision of Keith Hull and W. Alan Ledbetter, the sponsoring witnesses for this response.</w:t>
                  </w:r>
                </w:p>
                <w:p w:rsidR="006A7EAF" w:rsidP="004637B2" w14:paraId="54953441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A7EAF" w:rsidP="004637B2" w14:paraId="54953442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Please see </w:t>
                  </w:r>
                  <w:r>
                    <w:rPr>
                      <w:rFonts w:ascii="Arial" w:hAnsi="Arial"/>
                    </w:rPr>
                    <w:t xml:space="preserve">Attachment 1 of </w:t>
                  </w:r>
                  <w:r>
                    <w:rPr>
                      <w:rFonts w:ascii="Arial" w:hAnsi="Arial"/>
                    </w:rPr>
                    <w:t>Oncor’s response to Staff RFI Set No. 10, Question No. 10-01</w:t>
                  </w:r>
                  <w:r>
                    <w:rPr>
                      <w:rFonts w:ascii="Arial" w:hAnsi="Arial"/>
                    </w:rPr>
                    <w:t xml:space="preserve"> filed</w:t>
                  </w:r>
                  <w:r>
                    <w:rPr>
                      <w:rFonts w:ascii="Arial" w:hAnsi="Arial"/>
                    </w:rPr>
                    <w:t xml:space="preserve"> i</w:t>
                  </w:r>
                  <w:r>
                    <w:rPr>
                      <w:rFonts w:ascii="Arial" w:hAnsi="Arial"/>
                    </w:rPr>
                    <w:t>n this docket</w:t>
                  </w:r>
                  <w:r>
                    <w:rPr>
                      <w:rFonts w:ascii="Arial" w:hAnsi="Arial"/>
                    </w:rPr>
                    <w:t>,</w:t>
                  </w:r>
                  <w:r>
                    <w:rPr>
                      <w:rFonts w:ascii="Arial" w:hAnsi="Arial"/>
                    </w:rPr>
                    <w:t xml:space="preserve"> for the</w:t>
                  </w:r>
                  <w:r>
                    <w:rPr>
                      <w:rFonts w:ascii="Arial" w:hAnsi="Arial"/>
                    </w:rPr>
                    <w:t xml:space="preserve"> requested information regarding</w:t>
                  </w:r>
                  <w:r>
                    <w:rPr>
                      <w:rFonts w:ascii="Arial" w:hAnsi="Arial"/>
                    </w:rPr>
                    <w:t xml:space="preserve"> operation</w:t>
                  </w:r>
                  <w:r>
                    <w:rPr>
                      <w:rFonts w:ascii="Arial" w:hAnsi="Arial"/>
                    </w:rPr>
                    <w:t xml:space="preserve"> an</w:t>
                  </w:r>
                  <w:r>
                    <w:rPr>
                      <w:rFonts w:ascii="Arial" w:hAnsi="Arial"/>
                    </w:rPr>
                    <w:t xml:space="preserve">d maintenance expense </w:t>
                  </w:r>
                  <w:r>
                    <w:rPr>
                      <w:rFonts w:ascii="Arial" w:hAnsi="Arial"/>
                    </w:rPr>
                    <w:t xml:space="preserve">associated with the mobile generation facilities requested </w:t>
                  </w:r>
                  <w:r>
                    <w:rPr>
                      <w:rFonts w:ascii="Arial" w:hAnsi="Arial"/>
                    </w:rPr>
                    <w:t xml:space="preserve">in </w:t>
                  </w:r>
                  <w:r>
                    <w:rPr>
                      <w:rFonts w:ascii="Arial" w:hAnsi="Arial"/>
                    </w:rPr>
                    <w:t xml:space="preserve">base </w:t>
                  </w:r>
                  <w:r>
                    <w:rPr>
                      <w:rFonts w:ascii="Arial" w:hAnsi="Arial"/>
                    </w:rPr>
                    <w:t>rates.</w:t>
                  </w:r>
                </w:p>
                <w:p w:rsidR="006A7EAF" w:rsidP="004637B2" w14:paraId="54953443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A7EAF" w:rsidRPr="004637B2" w:rsidP="00C02DE9" w14:paraId="54953444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Oncor expects the costs in its </w:t>
                  </w:r>
                  <w:r>
                    <w:rPr>
                      <w:rFonts w:ascii="Arial" w:hAnsi="Arial"/>
                    </w:rPr>
                    <w:t>requested rates</w:t>
                  </w:r>
                  <w:r>
                    <w:rPr>
                      <w:rFonts w:ascii="Arial" w:hAnsi="Arial"/>
                    </w:rPr>
                    <w:t xml:space="preserve"> to recur on an annual basis for the</w:t>
                  </w:r>
                  <w:r>
                    <w:rPr>
                      <w:rFonts w:ascii="Arial" w:hAnsi="Arial"/>
                    </w:rPr>
                    <w:t xml:space="preserve"> original</w:t>
                  </w:r>
                  <w:r>
                    <w:rPr>
                      <w:rFonts w:ascii="Arial" w:hAnsi="Arial"/>
                    </w:rPr>
                    <w:t xml:space="preserve"> seven mobile generation units leased in 2021.  Oncor expects </w:t>
                  </w:r>
                  <w:r>
                    <w:rPr>
                      <w:rFonts w:ascii="Arial" w:hAnsi="Arial"/>
                    </w:rPr>
                    <w:t xml:space="preserve">to incur </w:t>
                  </w:r>
                  <w:r>
                    <w:rPr>
                      <w:rFonts w:ascii="Arial" w:hAnsi="Arial"/>
                    </w:rPr>
                    <w:t xml:space="preserve">incremental </w:t>
                  </w:r>
                  <w:r>
                    <w:rPr>
                      <w:rFonts w:ascii="Arial" w:hAnsi="Arial"/>
                    </w:rPr>
                    <w:t xml:space="preserve">costs above the amounts in its </w:t>
                  </w:r>
                  <w:r>
                    <w:rPr>
                      <w:rFonts w:ascii="Arial" w:hAnsi="Arial"/>
                    </w:rPr>
                    <w:t>requested rates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 xml:space="preserve">because, to date, </w:t>
                  </w:r>
                  <w:r>
                    <w:rPr>
                      <w:rFonts w:ascii="Arial" w:hAnsi="Arial"/>
                    </w:rPr>
                    <w:t>Oncor has leased a</w:t>
                  </w:r>
                  <w:r>
                    <w:rPr>
                      <w:rFonts w:ascii="Arial" w:hAnsi="Arial"/>
                    </w:rPr>
                    <w:t xml:space="preserve">n additional eight </w:t>
                  </w:r>
                  <w:r>
                    <w:rPr>
                      <w:rFonts w:ascii="Arial" w:hAnsi="Arial"/>
                    </w:rPr>
                    <w:t>mobile generation units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since the 2021 test-year-end (</w:t>
                  </w:r>
                  <w:r w:rsidRPr="003B6842">
                    <w:rPr>
                      <w:rFonts w:ascii="Arial" w:hAnsi="Arial"/>
                      <w:i/>
                    </w:rPr>
                    <w:t>i.e.</w:t>
                  </w:r>
                  <w:r>
                    <w:rPr>
                      <w:rFonts w:ascii="Arial" w:hAnsi="Arial"/>
                    </w:rPr>
                    <w:t>, 15 total to date).</w:t>
                  </w:r>
                  <w:r>
                    <w:rPr>
                      <w:rFonts w:ascii="Arial" w:hAnsi="Arial"/>
                    </w:rPr>
                    <w:t xml:space="preserve">  </w:t>
                  </w:r>
                  <w:r>
                    <w:rPr>
                      <w:rFonts w:ascii="Arial" w:hAnsi="Arial"/>
                    </w:rPr>
                    <w:t xml:space="preserve">The amounts Oncor included in its request </w:t>
                  </w:r>
                  <w:r>
                    <w:rPr>
                      <w:rFonts w:ascii="Arial" w:hAnsi="Arial"/>
                    </w:rPr>
                    <w:t>to change r</w:t>
                  </w:r>
                  <w:r>
                    <w:rPr>
                      <w:rFonts w:ascii="Arial" w:hAnsi="Arial"/>
                    </w:rPr>
                    <w:t>ates</w:t>
                  </w:r>
                  <w:r>
                    <w:rPr>
                      <w:rFonts w:ascii="Arial" w:hAnsi="Arial"/>
                    </w:rPr>
                    <w:t xml:space="preserve"> also do not include costs to deploy and operate the mobile generation units in </w:t>
                  </w:r>
                  <w:r>
                    <w:rPr>
                      <w:rFonts w:ascii="Arial" w:hAnsi="Arial"/>
                    </w:rPr>
                    <w:t>response to</w:t>
                  </w:r>
                  <w:r>
                    <w:rPr>
                      <w:rFonts w:ascii="Arial" w:hAnsi="Arial"/>
                    </w:rPr>
                    <w:t xml:space="preserve"> a widespread power outage.  </w:t>
                  </w:r>
                  <w:r>
                    <w:rPr>
                      <w:rFonts w:ascii="Arial" w:hAnsi="Arial"/>
                    </w:rPr>
                    <w:t xml:space="preserve">As authorized in </w:t>
                  </w:r>
                  <w:r>
                    <w:rPr>
                      <w:rFonts w:ascii="Arial" w:hAnsi="Arial"/>
                    </w:rPr>
                    <w:t xml:space="preserve">Public </w:t>
                  </w:r>
                  <w:r>
                    <w:rPr>
                      <w:rFonts w:ascii="Arial" w:hAnsi="Arial"/>
                    </w:rPr>
                    <w:t>U</w:t>
                  </w:r>
                  <w:r>
                    <w:rPr>
                      <w:rFonts w:ascii="Arial" w:hAnsi="Arial"/>
                    </w:rPr>
                    <w:t xml:space="preserve">tility </w:t>
                  </w:r>
                  <w:r>
                    <w:rPr>
                      <w:rFonts w:ascii="Arial" w:hAnsi="Arial"/>
                    </w:rPr>
                    <w:t>R</w:t>
                  </w:r>
                  <w:r>
                    <w:rPr>
                      <w:rFonts w:ascii="Arial" w:hAnsi="Arial"/>
                    </w:rPr>
                    <w:t xml:space="preserve">egulatory </w:t>
                  </w:r>
                  <w:r>
                    <w:rPr>
                      <w:rFonts w:ascii="Arial" w:hAnsi="Arial"/>
                    </w:rPr>
                    <w:t>A</w:t>
                  </w:r>
                  <w:r>
                    <w:rPr>
                      <w:rFonts w:ascii="Arial" w:hAnsi="Arial"/>
                    </w:rPr>
                    <w:t xml:space="preserve">ct </w:t>
                  </w:r>
                  <w:r w:rsidRPr="00C7189E">
                    <w:rPr>
                      <w:rFonts w:ascii="Arial" w:hAnsi="Arial"/>
                    </w:rPr>
                    <w:t>§</w:t>
                  </w:r>
                  <w:r w:rsidRPr="00C7189E"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39.918</w:t>
                  </w:r>
                  <w:r>
                    <w:rPr>
                      <w:rFonts w:ascii="Arial" w:hAnsi="Arial"/>
                    </w:rPr>
                    <w:t>(i)</w:t>
                  </w:r>
                  <w:r>
                    <w:rPr>
                      <w:rFonts w:ascii="Arial" w:hAnsi="Arial"/>
                    </w:rPr>
                    <w:t xml:space="preserve">, Oncor will defer for recovery in a future ratemaking proceeding the incremental </w:t>
                  </w:r>
                  <w:r>
                    <w:rPr>
                      <w:rFonts w:ascii="Arial" w:hAnsi="Arial"/>
                    </w:rPr>
                    <w:t>operating c</w:t>
                  </w:r>
                  <w:r>
                    <w:rPr>
                      <w:rFonts w:ascii="Arial" w:hAnsi="Arial"/>
                    </w:rPr>
                    <w:t>osts an</w:t>
                  </w:r>
                  <w:bookmarkStart w:id="0" w:name="_GoBack"/>
                  <w:bookmarkEnd w:id="0"/>
                  <w:r>
                    <w:rPr>
                      <w:rFonts w:ascii="Arial" w:hAnsi="Arial"/>
                    </w:rPr>
                    <w:t xml:space="preserve">d </w:t>
                  </w:r>
                  <w:r>
                    <w:rPr>
                      <w:rFonts w:ascii="Arial" w:hAnsi="Arial"/>
                    </w:rPr>
                    <w:t xml:space="preserve">the </w:t>
                  </w:r>
                  <w:r>
                    <w:rPr>
                      <w:rFonts w:ascii="Arial" w:hAnsi="Arial"/>
                    </w:rPr>
                    <w:t>return</w:t>
                  </w:r>
                  <w:r>
                    <w:rPr>
                      <w:rFonts w:ascii="Arial" w:hAnsi="Arial"/>
                    </w:rPr>
                    <w:t>, not otherwise recovered in a rate proceeding,</w:t>
                  </w:r>
                  <w:r>
                    <w:rPr>
                      <w:rFonts w:ascii="Arial" w:hAnsi="Arial"/>
                    </w:rPr>
                    <w:t xml:space="preserve"> associated with the</w:t>
                  </w:r>
                  <w:r>
                    <w:rPr>
                      <w:rFonts w:ascii="Arial" w:hAnsi="Arial"/>
                    </w:rPr>
                    <w:t xml:space="preserve"> leasing or procurement, ownership, and operation of the</w:t>
                  </w:r>
                  <w:r>
                    <w:rPr>
                      <w:rFonts w:ascii="Arial" w:hAnsi="Arial"/>
                    </w:rPr>
                    <w:t xml:space="preserve"> mobile generation fa</w:t>
                  </w:r>
                  <w:r>
                    <w:rPr>
                      <w:rFonts w:ascii="Arial" w:hAnsi="Arial"/>
                    </w:rPr>
                    <w:t>cilities</w:t>
                  </w:r>
                  <w:r>
                    <w:rPr>
                      <w:rFonts w:ascii="Arial" w:hAnsi="Arial"/>
                    </w:rPr>
                    <w:t>.</w:t>
                  </w:r>
                </w:p>
              </w:tc>
            </w:tr>
          </w:tbl>
          <w:p w:rsidR="009E56FD" w:rsidP="000C0C06" w14:paraId="54953446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54953448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5495344D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5495344E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STAFF RFI Set No. 10</w:t>
    </w:r>
  </w:p>
  <w:p w:rsidR="00373AB7" w:rsidP="00373AB7" w14:paraId="5495344F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10-04</w:t>
    </w:r>
  </w:p>
  <w:p w:rsidR="00373AB7" w:rsidP="00373AB7" w14:paraId="54953450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8408DC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8408DC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54953451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2449F4"/>
    <w:rsid w:val="002C63EA"/>
    <w:rsid w:val="00351788"/>
    <w:rsid w:val="00373AB7"/>
    <w:rsid w:val="003B37EC"/>
    <w:rsid w:val="003B6842"/>
    <w:rsid w:val="00406AC2"/>
    <w:rsid w:val="004637B2"/>
    <w:rsid w:val="005366A2"/>
    <w:rsid w:val="00540A38"/>
    <w:rsid w:val="0068319A"/>
    <w:rsid w:val="006A7EAF"/>
    <w:rsid w:val="006B6F25"/>
    <w:rsid w:val="00790A22"/>
    <w:rsid w:val="007D7F9D"/>
    <w:rsid w:val="00802A57"/>
    <w:rsid w:val="008073DA"/>
    <w:rsid w:val="008408DC"/>
    <w:rsid w:val="00861C4C"/>
    <w:rsid w:val="008B1A1A"/>
    <w:rsid w:val="008C1348"/>
    <w:rsid w:val="00906A1B"/>
    <w:rsid w:val="009922C2"/>
    <w:rsid w:val="009C608B"/>
    <w:rsid w:val="009E56FD"/>
    <w:rsid w:val="00A649E9"/>
    <w:rsid w:val="00A71CA9"/>
    <w:rsid w:val="00A915A9"/>
    <w:rsid w:val="00AB3EF8"/>
    <w:rsid w:val="00AC0BC4"/>
    <w:rsid w:val="00B4378F"/>
    <w:rsid w:val="00B5302B"/>
    <w:rsid w:val="00C02DE9"/>
    <w:rsid w:val="00C7189E"/>
    <w:rsid w:val="00C75830"/>
    <w:rsid w:val="00C85AC7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ACDE4CD4-A8CC-410F-9A01-E7F78528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1581</Characters>
  <Application>Microsoft Office Word</Application>
  <DocSecurity>0</DocSecurity>
  <Lines>13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