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25C4246E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25C4246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25C4246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25C4246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25C4246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4637B2" w:rsidP="00381082" w14:paraId="25C4246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381082">
                    <w:rPr>
                      <w:rFonts w:ascii="Arial" w:hAnsi="Arial"/>
                    </w:rPr>
                    <w:t>Refer to Schedule II-B-1 Page 4 of 6 (Bates page 2755) and to the response to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381082">
                    <w:rPr>
                      <w:rFonts w:ascii="Arial" w:hAnsi="Arial"/>
                    </w:rPr>
                    <w:t>Question No. Staff 5-4. Please show the pres</w:t>
                  </w:r>
                  <w:r>
                    <w:rPr>
                      <w:rFonts w:ascii="Arial" w:hAnsi="Arial"/>
                    </w:rPr>
                    <w:t>ent value calculations that Onco</w:t>
                  </w:r>
                  <w:r w:rsidRPr="00381082">
                    <w:rPr>
                      <w:rFonts w:ascii="Arial" w:hAnsi="Arial"/>
                    </w:rPr>
                    <w:t>r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381082">
                    <w:rPr>
                      <w:rFonts w:ascii="Arial" w:hAnsi="Arial"/>
                    </w:rPr>
                    <w:t xml:space="preserve">preformed relating </w:t>
                  </w:r>
                  <w:r w:rsidRPr="00381082">
                    <w:rPr>
                      <w:rFonts w:ascii="Arial" w:hAnsi="Arial"/>
                    </w:rPr>
                    <w:t>to the adjustment of $3,146,147 to FERC Account No. 362.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381082">
                    <w:rPr>
                      <w:rFonts w:ascii="Arial" w:hAnsi="Arial"/>
                    </w:rPr>
                    <w:t>Please explain and justify all inputs and assumptions used in the calculation.</w:t>
                  </w:r>
                </w:p>
              </w:tc>
            </w:tr>
            <w:tr w14:paraId="25C4246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25C4246B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25C4246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25C4247D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25C4247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25C4246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25C4247B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25C4247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25C4247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000000"/>
                      <w:shd w:val="clear" w:color="auto" w:fill="auto"/>
                    </w:rPr>
                  </w:pPr>
                  <w:r>
                    <w:rPr>
                      <w:rFonts w:ascii="Arial" w:hAnsi="Arial"/>
                      <w:color w:val="000000"/>
                    </w:rPr>
                    <w:t xml:space="preserve">The following response was prepared by or under the direct supervision of W. Alan Ledbetter, the </w:t>
                  </w:r>
                  <w:r>
                    <w:rPr>
                      <w:rFonts w:ascii="Arial" w:hAnsi="Arial"/>
                      <w:color w:val="000000"/>
                    </w:rPr>
                    <w:t>sponsoring witness for this response.</w:t>
                  </w:r>
                </w:p>
                <w:p w:rsidR="00F056A3" w:rsidP="004637B2" w14:paraId="25C4247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000000"/>
                      <w:shd w:val="clear" w:color="auto" w:fill="auto"/>
                    </w:rPr>
                  </w:pPr>
                </w:p>
                <w:p w:rsidR="00F056A3" w:rsidRPr="00F056A3" w:rsidP="00353CA8" w14:paraId="25C4247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000000"/>
                      <w:shd w:val="clear" w:color="auto" w:fill="auto"/>
                    </w:rPr>
                  </w:pPr>
                  <w:r w:rsidRPr="00F056A3">
                    <w:rPr>
                      <w:rFonts w:ascii="Arial" w:hAnsi="Arial"/>
                      <w:color w:val="000000"/>
                    </w:rPr>
                    <w:t xml:space="preserve">See </w:t>
                  </w:r>
                  <w:r>
                    <w:rPr>
                      <w:rFonts w:ascii="Arial" w:hAnsi="Arial"/>
                      <w:color w:val="000000"/>
                    </w:rPr>
                    <w:t>A</w:t>
                  </w:r>
                  <w:r w:rsidRPr="00F056A3">
                    <w:rPr>
                      <w:rFonts w:ascii="Arial" w:hAnsi="Arial"/>
                      <w:color w:val="000000"/>
                    </w:rPr>
                    <w:t>ttachment</w:t>
                  </w:r>
                  <w:r>
                    <w:rPr>
                      <w:rFonts w:ascii="Arial" w:hAnsi="Arial"/>
                      <w:color w:val="000000"/>
                    </w:rPr>
                    <w:t xml:space="preserve"> 1 to this response</w:t>
                  </w:r>
                  <w:r w:rsidRPr="00F056A3">
                    <w:rPr>
                      <w:rFonts w:ascii="Arial" w:hAnsi="Arial"/>
                      <w:color w:val="000000"/>
                    </w:rPr>
                    <w:t xml:space="preserve"> for the </w:t>
                  </w:r>
                  <w:r>
                    <w:rPr>
                      <w:rFonts w:ascii="Arial" w:hAnsi="Arial"/>
                      <w:color w:val="000000"/>
                    </w:rPr>
                    <w:t>present value calculation Oncor performed that support</w:t>
                  </w:r>
                  <w:r>
                    <w:rPr>
                      <w:rFonts w:ascii="Arial" w:hAnsi="Arial"/>
                      <w:color w:val="000000"/>
                    </w:rPr>
                    <w:t>s</w:t>
                  </w:r>
                  <w:r>
                    <w:rPr>
                      <w:rFonts w:ascii="Arial" w:hAnsi="Arial"/>
                      <w:color w:val="000000"/>
                    </w:rPr>
                    <w:t xml:space="preserve"> the adjustment of $3,146,147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</w:rPr>
                    <w:t>to FERC Account 362 Station equipment</w:t>
                  </w:r>
                  <w:r w:rsidRPr="00F056A3">
                    <w:rPr>
                      <w:rFonts w:ascii="Arial" w:hAnsi="Arial"/>
                      <w:color w:val="000000"/>
                    </w:rPr>
                    <w:t>.</w:t>
                  </w:r>
                  <w:r>
                    <w:rPr>
                      <w:rFonts w:ascii="Arial" w:hAnsi="Arial"/>
                      <w:color w:val="000000"/>
                    </w:rPr>
                    <w:t xml:space="preserve"> This adjustment for the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</w:rPr>
                    <w:t>capital lease right-of-use</w:t>
                  </w:r>
                  <w:r>
                    <w:rPr>
                      <w:rFonts w:ascii="Arial" w:hAnsi="Arial"/>
                      <w:color w:val="000000"/>
                    </w:rPr>
                    <w:t xml:space="preserve"> asset is a</w:t>
                  </w:r>
                  <w:r>
                    <w:rPr>
                      <w:rFonts w:ascii="Arial" w:hAnsi="Arial"/>
                      <w:color w:val="000000"/>
                    </w:rPr>
                    <w:t>n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</w:rPr>
                    <w:t xml:space="preserve">aggregate of </w:t>
                  </w:r>
                  <w:r>
                    <w:rPr>
                      <w:rFonts w:ascii="Arial" w:hAnsi="Arial"/>
                      <w:color w:val="000000"/>
                    </w:rPr>
                    <w:t xml:space="preserve">seven </w:t>
                  </w:r>
                  <w:r>
                    <w:rPr>
                      <w:rFonts w:ascii="Arial" w:hAnsi="Arial"/>
                      <w:color w:val="000000"/>
                    </w:rPr>
                    <w:t xml:space="preserve">mobile generation </w:t>
                  </w:r>
                  <w:r>
                    <w:rPr>
                      <w:rFonts w:ascii="Arial" w:hAnsi="Arial"/>
                      <w:color w:val="000000"/>
                    </w:rPr>
                    <w:t xml:space="preserve">units </w:t>
                  </w:r>
                  <w:r>
                    <w:rPr>
                      <w:rFonts w:ascii="Arial" w:hAnsi="Arial"/>
                      <w:color w:val="000000"/>
                    </w:rPr>
                    <w:t>leased by Oncor as of December 31, 202</w:t>
                  </w:r>
                  <w:r>
                    <w:rPr>
                      <w:rFonts w:ascii="Arial" w:hAnsi="Arial"/>
                      <w:color w:val="000000"/>
                    </w:rPr>
                    <w:t>1</w:t>
                  </w:r>
                  <w:r>
                    <w:rPr>
                      <w:rFonts w:ascii="Arial" w:hAnsi="Arial"/>
                      <w:color w:val="000000"/>
                    </w:rPr>
                    <w:t>.  The leas</w:t>
                  </w:r>
                  <w:r>
                    <w:rPr>
                      <w:rFonts w:ascii="Arial" w:hAnsi="Arial"/>
                      <w:color w:val="000000"/>
                    </w:rPr>
                    <w:t xml:space="preserve">ing </w:t>
                  </w:r>
                  <w:r>
                    <w:rPr>
                      <w:rFonts w:ascii="Arial" w:hAnsi="Arial"/>
                      <w:color w:val="000000"/>
                    </w:rPr>
                    <w:t xml:space="preserve">of the seven mobile generation units </w:t>
                  </w:r>
                  <w:r>
                    <w:rPr>
                      <w:rFonts w:ascii="Arial" w:hAnsi="Arial"/>
                      <w:color w:val="000000"/>
                    </w:rPr>
                    <w:t>is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/>
                      <w:color w:val="000000"/>
                    </w:rPr>
                    <w:t xml:space="preserve">treated as </w:t>
                  </w:r>
                  <w:r>
                    <w:rPr>
                      <w:rFonts w:ascii="Arial" w:hAnsi="Arial"/>
                      <w:color w:val="000000"/>
                    </w:rPr>
                    <w:t xml:space="preserve">a </w:t>
                  </w:r>
                  <w:r>
                    <w:rPr>
                      <w:rFonts w:ascii="Arial" w:hAnsi="Arial"/>
                      <w:color w:val="000000"/>
                    </w:rPr>
                    <w:t>capital lease</w:t>
                  </w:r>
                  <w:r>
                    <w:rPr>
                      <w:rFonts w:ascii="Arial" w:hAnsi="Arial"/>
                      <w:color w:val="000000"/>
                    </w:rPr>
                    <w:t xml:space="preserve"> transaction</w:t>
                  </w:r>
                  <w:r>
                    <w:rPr>
                      <w:rFonts w:ascii="Arial" w:hAnsi="Arial"/>
                      <w:color w:val="000000"/>
                    </w:rPr>
                    <w:t xml:space="preserve"> for ratemaking purposes pursuant to </w:t>
                  </w:r>
                  <w:r w:rsidRPr="00353CA8">
                    <w:rPr>
                      <w:rFonts w:ascii="Arial" w:hAnsi="Arial"/>
                      <w:color w:val="000000"/>
                    </w:rPr>
                    <w:t>Public U</w:t>
                  </w:r>
                  <w:r>
                    <w:rPr>
                      <w:rFonts w:ascii="Arial" w:hAnsi="Arial"/>
                      <w:color w:val="000000"/>
                    </w:rPr>
                    <w:t xml:space="preserve">tility Regulatory Act (“PURA”) </w:t>
                  </w:r>
                  <w:r w:rsidRPr="006D1F1A">
                    <w:rPr>
                      <w:rFonts w:ascii="Arial" w:hAnsi="Arial"/>
                      <w:color w:val="000000"/>
                    </w:rPr>
                    <w:t>§</w:t>
                  </w:r>
                  <w:r w:rsidRPr="00353CA8">
                    <w:rPr>
                      <w:rFonts w:ascii="Arial" w:hAnsi="Arial"/>
                      <w:color w:val="000000"/>
                    </w:rPr>
                    <w:t xml:space="preserve"> 39.918 -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 w:rsidRPr="00353CA8">
                    <w:rPr>
                      <w:rFonts w:ascii="Arial" w:hAnsi="Arial"/>
                      <w:color w:val="000000"/>
                    </w:rPr>
                    <w:t>UTILITY FACILITIES FOR POWER RESTORATION AFTER WIDESPREAD POWER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  <w:r w:rsidRPr="00353CA8">
                    <w:rPr>
                      <w:rFonts w:ascii="Arial" w:hAnsi="Arial"/>
                      <w:color w:val="000000"/>
                    </w:rPr>
                    <w:t>OUTAGE.</w:t>
                  </w:r>
                  <w:r>
                    <w:rPr>
                      <w:rFonts w:ascii="Arial" w:hAnsi="Arial"/>
                      <w:color w:val="000000"/>
                    </w:rPr>
                    <w:t xml:space="preserve"> </w:t>
                  </w:r>
                </w:p>
                <w:p w:rsidR="00F056A3" w:rsidP="004637B2" w14:paraId="25C4247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000000"/>
                      <w:shd w:val="clear" w:color="auto" w:fill="auto"/>
                    </w:rPr>
                  </w:pPr>
                </w:p>
                <w:p w:rsidR="00145721" w:rsidP="004637B2" w14:paraId="25C4247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inputs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u</w:t>
                  </w:r>
                  <w:bookmarkStart w:id="0" w:name="_GoBack"/>
                  <w:bookmarkEnd w:id="0"/>
                  <w:r>
                    <w:rPr>
                      <w:rFonts w:ascii="Arial" w:hAnsi="Arial"/>
                    </w:rPr>
                    <w:t xml:space="preserve">sed in the </w:t>
                  </w:r>
                  <w:r>
                    <w:rPr>
                      <w:rFonts w:ascii="Arial" w:hAnsi="Arial"/>
                    </w:rPr>
                    <w:t xml:space="preserve">present value </w:t>
                  </w:r>
                  <w:r>
                    <w:rPr>
                      <w:rFonts w:ascii="Arial" w:hAnsi="Arial"/>
                    </w:rPr>
                    <w:t>calculat</w:t>
                  </w:r>
                  <w:r>
                    <w:rPr>
                      <w:rFonts w:ascii="Arial" w:hAnsi="Arial"/>
                    </w:rPr>
                    <w:t>ion</w:t>
                  </w:r>
                  <w:r>
                    <w:rPr>
                      <w:rFonts w:ascii="Arial" w:hAnsi="Arial"/>
                    </w:rPr>
                    <w:t xml:space="preserve"> are based on the </w:t>
                  </w:r>
                  <w:r>
                    <w:rPr>
                      <w:rFonts w:ascii="Arial" w:hAnsi="Arial"/>
                    </w:rPr>
                    <w:t>contractual lease term</w:t>
                  </w:r>
                  <w:r>
                    <w:rPr>
                      <w:rFonts w:ascii="Arial" w:hAnsi="Arial"/>
                    </w:rPr>
                    <w:t xml:space="preserve">s. In addition, Oncor’s </w:t>
                  </w:r>
                  <w:r>
                    <w:rPr>
                      <w:rFonts w:ascii="Arial" w:hAnsi="Arial"/>
                    </w:rPr>
                    <w:t xml:space="preserve">estimated </w:t>
                  </w:r>
                  <w:r>
                    <w:rPr>
                      <w:rFonts w:ascii="Arial" w:hAnsi="Arial"/>
                    </w:rPr>
                    <w:t xml:space="preserve">incremental borrowing rate </w:t>
                  </w:r>
                  <w:r>
                    <w:rPr>
                      <w:rFonts w:ascii="Arial" w:hAnsi="Arial"/>
                    </w:rPr>
                    <w:t xml:space="preserve">at the time of the valuation </w:t>
                  </w:r>
                  <w:r>
                    <w:rPr>
                      <w:rFonts w:ascii="Arial" w:hAnsi="Arial"/>
                    </w:rPr>
                    <w:t xml:space="preserve">was used as </w:t>
                  </w:r>
                  <w:r>
                    <w:rPr>
                      <w:rFonts w:ascii="Arial" w:hAnsi="Arial"/>
                    </w:rPr>
                    <w:t xml:space="preserve">the discount rate in the </w:t>
                  </w:r>
                  <w:r>
                    <w:rPr>
                      <w:rFonts w:ascii="Arial" w:hAnsi="Arial"/>
                    </w:rPr>
                    <w:t xml:space="preserve">present value </w:t>
                  </w:r>
                  <w:r>
                    <w:rPr>
                      <w:rFonts w:ascii="Arial" w:hAnsi="Arial"/>
                    </w:rPr>
                    <w:t xml:space="preserve">calculation </w:t>
                  </w:r>
                  <w:r>
                    <w:rPr>
                      <w:rFonts w:ascii="Arial" w:hAnsi="Arial"/>
                    </w:rPr>
                    <w:t xml:space="preserve">consistent with US </w:t>
                  </w:r>
                  <w:r>
                    <w:rPr>
                      <w:rFonts w:ascii="Arial" w:hAnsi="Arial"/>
                    </w:rPr>
                    <w:t>generally accepted accounting principles</w:t>
                  </w:r>
                  <w:r>
                    <w:rPr>
                      <w:rFonts w:ascii="Arial" w:hAnsi="Arial"/>
                    </w:rPr>
                    <w:t xml:space="preserve">. </w:t>
                  </w:r>
                  <w:r>
                    <w:rPr>
                      <w:rFonts w:ascii="Arial" w:hAnsi="Arial"/>
                    </w:rPr>
                    <w:t xml:space="preserve"> </w:t>
                  </w:r>
                </w:p>
                <w:p w:rsidR="00145721" w:rsidP="004637B2" w14:paraId="25C4247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F056A3" w:rsidP="00F056A3" w14:paraId="25C42478" w14:textId="77777777">
                  <w:pPr>
                    <w:spacing w:after="0" w:line="240" w:lineRule="auto"/>
                    <w:rPr>
                      <w:rFonts w:ascii="Arial" w:eastAsia="Times New Roman" w:hAnsi="Arial" w:cs="Times New Roman"/>
                      <w:color w:val="000000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000000"/>
                      <w:u w:val="single"/>
                    </w:rPr>
                    <w:t>ATTACHMENT:</w:t>
                  </w:r>
                </w:p>
                <w:p w:rsidR="00F056A3" w:rsidP="00F056A3" w14:paraId="25C42479" w14:textId="77777777">
                  <w:pPr>
                    <w:spacing w:after="0" w:line="240" w:lineRule="auto"/>
                    <w:rPr>
                      <w:rFonts w:ascii="Arial" w:eastAsia="Times New Roman" w:hAnsi="Arial" w:cs="Times New Roman"/>
                      <w:color w:val="FF0000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FF0000"/>
                    </w:rPr>
                    <w:t> </w:t>
                  </w:r>
                </w:p>
                <w:p w:rsidR="00F056A3" w:rsidRPr="004468BF" w:rsidP="00E46EF7" w14:paraId="25C4247A" w14:textId="77777777">
                  <w:pPr>
                    <w:spacing w:after="0" w:line="240" w:lineRule="auto"/>
                    <w:rPr>
                      <w:rFonts w:ascii="Arial" w:eastAsia="Times New Roman" w:hAnsi="Arial" w:cs="Times New Roman"/>
                      <w:color w:val="000000"/>
                      <w:shd w:val="clear" w:color="auto" w:fill="auto"/>
                    </w:rPr>
                  </w:pPr>
                  <w:r>
                    <w:rPr>
                      <w:rFonts w:ascii="Arial" w:eastAsia="Times New Roman" w:hAnsi="Arial"/>
                      <w:color w:val="000000"/>
                    </w:rPr>
                    <w:t xml:space="preserve">ATTACHMENT 1 – Oncor 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 xml:space="preserve">Mobile Generation ROU Asset 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>Calculation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 xml:space="preserve">, 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>6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 xml:space="preserve"> page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>s</w:t>
                  </w:r>
                  <w:r>
                    <w:rPr>
                      <w:rFonts w:ascii="Arial" w:eastAsia="Times New Roman" w:hAnsi="Arial"/>
                      <w:color w:val="000000"/>
                    </w:rPr>
                    <w:t>.</w:t>
                  </w:r>
                </w:p>
              </w:tc>
            </w:tr>
          </w:tbl>
          <w:p w:rsidR="009E56FD" w:rsidP="000C0C06" w14:paraId="25C4247C" w14:textId="77777777">
            <w:pPr>
              <w:tabs>
                <w:tab w:val="left" w:pos="3450"/>
                <w:tab w:val="left" w:pos="5445"/>
              </w:tabs>
              <w:rPr>
                <w:b/>
                <w:color w:val="000000"/>
                <w:shd w:val="clear" w:color="auto" w:fill="auto"/>
              </w:rPr>
            </w:pPr>
          </w:p>
        </w:tc>
      </w:tr>
    </w:tbl>
    <w:p w:rsidR="00906A1B" w:rsidP="006B6F25" w14:paraId="25C4247E" w14:textId="77777777">
      <w:pPr>
        <w:rPr>
          <w:color w:val="000000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25C42483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25C42484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25C4248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10-03</w:t>
    </w:r>
  </w:p>
  <w:p w:rsidR="00373AB7" w:rsidP="00373AB7" w14:paraId="25C42486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2E579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2E5795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25C42487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45721"/>
    <w:rsid w:val="002449F4"/>
    <w:rsid w:val="002C63EA"/>
    <w:rsid w:val="002E5795"/>
    <w:rsid w:val="00351788"/>
    <w:rsid w:val="00353CA8"/>
    <w:rsid w:val="00373AB7"/>
    <w:rsid w:val="00381082"/>
    <w:rsid w:val="003B37EC"/>
    <w:rsid w:val="00406AC2"/>
    <w:rsid w:val="004468BF"/>
    <w:rsid w:val="004637B2"/>
    <w:rsid w:val="005366A2"/>
    <w:rsid w:val="00540A38"/>
    <w:rsid w:val="006B6F25"/>
    <w:rsid w:val="006D1F1A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E46EF7"/>
    <w:rsid w:val="00F056A3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4666898-1EAE-4795-BB02-1DB3143F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1191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