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74DA4" w14:textId="77777777" w:rsidR="00AF1A6E" w:rsidRPr="00A50633" w:rsidRDefault="00AF1A6E" w:rsidP="00AF1A6E">
      <w:pPr>
        <w:spacing w:after="240" w:line="480" w:lineRule="auto"/>
        <w:jc w:val="center"/>
        <w:rPr>
          <w:rFonts w:cstheme="minorHAnsi"/>
          <w:b/>
          <w:bCs/>
        </w:rPr>
      </w:pPr>
      <w:r w:rsidRPr="00A50633">
        <w:rPr>
          <w:rFonts w:cstheme="minorHAnsi"/>
          <w:b/>
          <w:bCs/>
        </w:rPr>
        <w:t xml:space="preserve">PROJECT NO. </w:t>
      </w:r>
      <w:r>
        <w:rPr>
          <w:rFonts w:cstheme="minorHAnsi"/>
          <w:b/>
          <w:bCs/>
        </w:rPr>
        <w:t>52771</w:t>
      </w:r>
    </w:p>
    <w:tbl>
      <w:tblPr>
        <w:tblW w:w="0" w:type="auto"/>
        <w:tblInd w:w="18" w:type="dxa"/>
        <w:tblLayout w:type="fixed"/>
        <w:tblLook w:val="0000" w:firstRow="0" w:lastRow="0" w:firstColumn="0" w:lastColumn="0" w:noHBand="0" w:noVBand="0"/>
      </w:tblPr>
      <w:tblGrid>
        <w:gridCol w:w="4333"/>
        <w:gridCol w:w="566"/>
        <w:gridCol w:w="4493"/>
      </w:tblGrid>
      <w:tr w:rsidR="00AF1A6E" w:rsidRPr="00A50633" w14:paraId="331673E7" w14:textId="77777777" w:rsidTr="00F2461A">
        <w:trPr>
          <w:trHeight w:val="1107"/>
        </w:trPr>
        <w:tc>
          <w:tcPr>
            <w:tcW w:w="4333" w:type="dxa"/>
          </w:tcPr>
          <w:p w14:paraId="6A0A3DA7" w14:textId="77777777" w:rsidR="00AF1A6E" w:rsidRPr="00A50633" w:rsidRDefault="00AF1A6E" w:rsidP="00F2461A">
            <w:pPr>
              <w:rPr>
                <w:rFonts w:cstheme="minorHAnsi"/>
                <w:b/>
              </w:rPr>
            </w:pPr>
            <w:r>
              <w:rPr>
                <w:rFonts w:cstheme="minorHAnsi"/>
                <w:b/>
              </w:rPr>
              <w:t>INVESTIGATION INTO THE USE OF DYNAMIC LINE RATINGS FOR TRANSMISSION LINES IN TEXAS</w:t>
            </w:r>
          </w:p>
        </w:tc>
        <w:tc>
          <w:tcPr>
            <w:tcW w:w="566" w:type="dxa"/>
          </w:tcPr>
          <w:p w14:paraId="25EC2EE6" w14:textId="77777777" w:rsidR="00AF1A6E" w:rsidRPr="00A50633" w:rsidRDefault="00AF1A6E" w:rsidP="00F2461A">
            <w:pPr>
              <w:jc w:val="center"/>
              <w:rPr>
                <w:rFonts w:cstheme="minorHAnsi"/>
                <w:b/>
              </w:rPr>
            </w:pPr>
            <w:r w:rsidRPr="00A50633">
              <w:rPr>
                <w:rFonts w:cstheme="minorHAnsi"/>
                <w:b/>
              </w:rPr>
              <w:t>§</w:t>
            </w:r>
          </w:p>
          <w:p w14:paraId="70CFF15D" w14:textId="77777777" w:rsidR="00AF1A6E" w:rsidRPr="00A50633" w:rsidRDefault="00AF1A6E" w:rsidP="00F2461A">
            <w:pPr>
              <w:jc w:val="center"/>
              <w:rPr>
                <w:rFonts w:cstheme="minorHAnsi"/>
                <w:b/>
              </w:rPr>
            </w:pPr>
            <w:r w:rsidRPr="00A50633">
              <w:rPr>
                <w:rFonts w:cstheme="minorHAnsi"/>
                <w:b/>
              </w:rPr>
              <w:t>§</w:t>
            </w:r>
          </w:p>
          <w:p w14:paraId="746B6562" w14:textId="77777777" w:rsidR="00AF1A6E" w:rsidRPr="00A50633" w:rsidRDefault="00AF1A6E" w:rsidP="00F2461A">
            <w:pPr>
              <w:jc w:val="center"/>
              <w:rPr>
                <w:rFonts w:cstheme="minorHAnsi"/>
                <w:b/>
              </w:rPr>
            </w:pPr>
            <w:r w:rsidRPr="00A50633">
              <w:rPr>
                <w:rFonts w:cstheme="minorHAnsi"/>
                <w:b/>
              </w:rPr>
              <w:t>§</w:t>
            </w:r>
          </w:p>
        </w:tc>
        <w:tc>
          <w:tcPr>
            <w:tcW w:w="4493" w:type="dxa"/>
          </w:tcPr>
          <w:p w14:paraId="571D5052" w14:textId="77777777" w:rsidR="00AF1A6E" w:rsidRPr="00A50633" w:rsidRDefault="00AF1A6E" w:rsidP="00F2461A">
            <w:pPr>
              <w:jc w:val="center"/>
              <w:rPr>
                <w:rFonts w:cstheme="minorHAnsi"/>
                <w:b/>
              </w:rPr>
            </w:pPr>
            <w:r w:rsidRPr="00A50633">
              <w:rPr>
                <w:rFonts w:cstheme="minorHAnsi"/>
                <w:b/>
              </w:rPr>
              <w:t>PUBLIC UTILITY COMMISSION</w:t>
            </w:r>
          </w:p>
          <w:p w14:paraId="1A9F2D09" w14:textId="77777777" w:rsidR="00AF1A6E" w:rsidRPr="00A50633" w:rsidRDefault="00AF1A6E" w:rsidP="00F2461A">
            <w:pPr>
              <w:jc w:val="center"/>
              <w:rPr>
                <w:rFonts w:cstheme="minorHAnsi"/>
                <w:b/>
              </w:rPr>
            </w:pPr>
            <w:r>
              <w:rPr>
                <w:rFonts w:cstheme="minorHAnsi"/>
                <w:b/>
              </w:rPr>
              <w:t>OF</w:t>
            </w:r>
          </w:p>
          <w:p w14:paraId="678F848A" w14:textId="77777777" w:rsidR="00AF1A6E" w:rsidRPr="00A50633" w:rsidRDefault="00AF1A6E" w:rsidP="00F2461A">
            <w:pPr>
              <w:jc w:val="center"/>
              <w:rPr>
                <w:rFonts w:cstheme="minorHAnsi"/>
                <w:b/>
              </w:rPr>
            </w:pPr>
            <w:r w:rsidRPr="00A50633">
              <w:rPr>
                <w:rFonts w:cstheme="minorHAnsi"/>
                <w:b/>
              </w:rPr>
              <w:t>TEXAS</w:t>
            </w:r>
          </w:p>
          <w:p w14:paraId="07DC8CE9" w14:textId="77777777" w:rsidR="00AF1A6E" w:rsidRPr="00A50633" w:rsidRDefault="00AF1A6E" w:rsidP="00F2461A">
            <w:pPr>
              <w:jc w:val="center"/>
              <w:rPr>
                <w:rFonts w:cstheme="minorHAnsi"/>
                <w:b/>
              </w:rPr>
            </w:pPr>
          </w:p>
        </w:tc>
      </w:tr>
    </w:tbl>
    <w:p w14:paraId="7F6933AA" w14:textId="77777777" w:rsidR="00AF1A6E" w:rsidRPr="00A50633" w:rsidRDefault="00AF1A6E" w:rsidP="00AF1A6E">
      <w:pPr>
        <w:spacing w:before="240"/>
        <w:jc w:val="center"/>
        <w:rPr>
          <w:rFonts w:cstheme="minorHAnsi"/>
          <w:b/>
          <w:caps/>
          <w:u w:val="single"/>
        </w:rPr>
      </w:pPr>
    </w:p>
    <w:p w14:paraId="01EFFD4B" w14:textId="77777777" w:rsidR="00AF1A6E" w:rsidRPr="00A50633" w:rsidRDefault="00AF1A6E" w:rsidP="00AF1A6E">
      <w:pPr>
        <w:spacing w:before="240"/>
        <w:jc w:val="center"/>
        <w:rPr>
          <w:rFonts w:cstheme="minorHAnsi"/>
          <w:b/>
          <w:caps/>
          <w:u w:val="single"/>
        </w:rPr>
      </w:pPr>
      <w:r w:rsidRPr="00A50633">
        <w:rPr>
          <w:rFonts w:cstheme="minorHAnsi"/>
          <w:b/>
          <w:caps/>
          <w:u w:val="single"/>
        </w:rPr>
        <w:t>The ADvanced Power Alliance AND AMERICAN CLEAN POWER ASSOC</w:t>
      </w:r>
      <w:r>
        <w:rPr>
          <w:rFonts w:cstheme="minorHAnsi"/>
          <w:b/>
          <w:caps/>
          <w:u w:val="single"/>
        </w:rPr>
        <w:t>i</w:t>
      </w:r>
      <w:r w:rsidRPr="00A50633">
        <w:rPr>
          <w:rFonts w:cstheme="minorHAnsi"/>
          <w:b/>
          <w:caps/>
          <w:u w:val="single"/>
        </w:rPr>
        <w:t>ATION COMMENTS</w:t>
      </w:r>
    </w:p>
    <w:p w14:paraId="6ED4D560" w14:textId="77777777" w:rsidR="00AF1A6E" w:rsidRPr="00A50633" w:rsidRDefault="00AF1A6E" w:rsidP="00AF1A6E">
      <w:pPr>
        <w:spacing w:line="480" w:lineRule="auto"/>
        <w:rPr>
          <w:rFonts w:cstheme="minorHAnsi"/>
          <w:color w:val="000000" w:themeColor="text1"/>
        </w:rPr>
      </w:pPr>
    </w:p>
    <w:p w14:paraId="760AA761" w14:textId="3B8B81C2" w:rsidR="00AF1A6E" w:rsidRPr="00385BEE" w:rsidRDefault="00AF1A6E" w:rsidP="00AF1A6E">
      <w:pPr>
        <w:spacing w:line="480" w:lineRule="auto"/>
        <w:ind w:firstLine="360"/>
        <w:rPr>
          <w:rFonts w:cstheme="minorHAnsi"/>
          <w:bCs/>
          <w:caps/>
        </w:rPr>
      </w:pPr>
      <w:r w:rsidRPr="00A50633">
        <w:rPr>
          <w:rFonts w:cstheme="minorHAnsi"/>
          <w:color w:val="000000" w:themeColor="text1"/>
        </w:rPr>
        <w:t>The Advanced Power Alliance</w:t>
      </w:r>
      <w:r>
        <w:rPr>
          <w:rFonts w:cstheme="minorHAnsi"/>
          <w:color w:val="000000" w:themeColor="text1"/>
        </w:rPr>
        <w:t xml:space="preserve"> </w:t>
      </w:r>
      <w:r w:rsidRPr="00A50633">
        <w:rPr>
          <w:rFonts w:cstheme="minorHAnsi"/>
          <w:color w:val="000000" w:themeColor="text1"/>
        </w:rPr>
        <w:t xml:space="preserve">and </w:t>
      </w:r>
      <w:r w:rsidR="000C4DB8">
        <w:rPr>
          <w:rFonts w:cstheme="minorHAnsi"/>
          <w:color w:val="000000" w:themeColor="text1"/>
        </w:rPr>
        <w:t xml:space="preserve">the </w:t>
      </w:r>
      <w:r w:rsidRPr="00A50633">
        <w:rPr>
          <w:rFonts w:cstheme="minorHAnsi"/>
          <w:color w:val="000000" w:themeColor="text1"/>
        </w:rPr>
        <w:t>American Clean Power Association</w:t>
      </w:r>
      <w:r>
        <w:rPr>
          <w:rFonts w:cstheme="minorHAnsi"/>
          <w:color w:val="000000" w:themeColor="text1"/>
        </w:rPr>
        <w:t xml:space="preserve"> submit</w:t>
      </w:r>
      <w:r w:rsidRPr="00A50633">
        <w:rPr>
          <w:rFonts w:cstheme="minorHAnsi"/>
          <w:color w:val="000000" w:themeColor="text1"/>
        </w:rPr>
        <w:t xml:space="preserve"> the following </w:t>
      </w:r>
      <w:r>
        <w:rPr>
          <w:rFonts w:cstheme="minorHAnsi"/>
          <w:color w:val="000000" w:themeColor="text1"/>
        </w:rPr>
        <w:t xml:space="preserve">comments regarding the use of Dynamic Line Rating (DLR) in Project 52771: </w:t>
      </w:r>
      <w:r w:rsidRPr="00E12CC6">
        <w:rPr>
          <w:rFonts w:cstheme="minorHAnsi"/>
          <w:i/>
          <w:iCs/>
          <w:color w:val="000000" w:themeColor="text1"/>
        </w:rPr>
        <w:t>INVESTIGATION INTO THE USE OF DYNAMIC LINE RATINGS FOR TRANSMISSION LINES IN TEXAS.</w:t>
      </w:r>
      <w:r>
        <w:rPr>
          <w:rFonts w:cstheme="minorHAnsi"/>
          <w:color w:val="000000" w:themeColor="text1"/>
        </w:rPr>
        <w:t xml:space="preserve"> </w:t>
      </w:r>
      <w:bookmarkStart w:id="0" w:name="_Hlk502137467"/>
      <w:r>
        <w:rPr>
          <w:rFonts w:cstheme="minorHAnsi"/>
          <w:color w:val="000000" w:themeColor="text1"/>
        </w:rPr>
        <w:t>The comments submitted do not reflect the opinions of any individual member company.</w:t>
      </w:r>
    </w:p>
    <w:p w14:paraId="11C42D67" w14:textId="77777777" w:rsidR="00AF1A6E" w:rsidRPr="00167303" w:rsidRDefault="00AF1A6E" w:rsidP="00AF1A6E">
      <w:pPr>
        <w:spacing w:line="480" w:lineRule="auto"/>
        <w:rPr>
          <w:rFonts w:cstheme="minorHAnsi"/>
        </w:rPr>
      </w:pPr>
      <w:bookmarkStart w:id="1" w:name="_Hlk502138047"/>
    </w:p>
    <w:p w14:paraId="2E0E70F5" w14:textId="77777777" w:rsidR="00AF1A6E" w:rsidRPr="00A50633" w:rsidRDefault="00AF1A6E" w:rsidP="00AF1A6E">
      <w:pPr>
        <w:pStyle w:val="ListParagraph"/>
        <w:numPr>
          <w:ilvl w:val="0"/>
          <w:numId w:val="1"/>
        </w:numPr>
        <w:spacing w:after="0" w:line="480" w:lineRule="auto"/>
        <w:contextualSpacing w:val="0"/>
        <w:jc w:val="center"/>
        <w:rPr>
          <w:rFonts w:asciiTheme="minorHAnsi" w:hAnsiTheme="minorHAnsi" w:cstheme="minorHAnsi"/>
          <w:b/>
          <w:caps/>
          <w:sz w:val="24"/>
          <w:szCs w:val="24"/>
          <w:u w:val="single"/>
        </w:rPr>
      </w:pPr>
      <w:r w:rsidRPr="008A212D">
        <w:rPr>
          <w:rFonts w:asciiTheme="minorHAnsi" w:eastAsia="Times New Roman" w:hAnsiTheme="minorHAnsi" w:cstheme="minorHAnsi"/>
          <w:sz w:val="24"/>
          <w:szCs w:val="24"/>
        </w:rPr>
        <w:t xml:space="preserve"> </w:t>
      </w:r>
      <w:r w:rsidRPr="00167303">
        <w:rPr>
          <w:rFonts w:asciiTheme="minorHAnsi" w:hAnsiTheme="minorHAnsi" w:cstheme="minorHAnsi"/>
          <w:color w:val="000000"/>
          <w:sz w:val="24"/>
          <w:szCs w:val="24"/>
        </w:rPr>
        <w:t xml:space="preserve"> </w:t>
      </w:r>
      <w:r>
        <w:rPr>
          <w:rFonts w:asciiTheme="minorHAnsi" w:hAnsiTheme="minorHAnsi" w:cstheme="minorHAnsi"/>
          <w:b/>
          <w:caps/>
          <w:sz w:val="24"/>
          <w:szCs w:val="24"/>
          <w:u w:val="single"/>
        </w:rPr>
        <w:t>introductioN</w:t>
      </w:r>
    </w:p>
    <w:p w14:paraId="7B1024BE" w14:textId="103D48EF" w:rsidR="00AF1A6E" w:rsidRDefault="00AF1A6E" w:rsidP="00AF1A6E">
      <w:pPr>
        <w:spacing w:line="480" w:lineRule="auto"/>
        <w:ind w:firstLine="360"/>
        <w:rPr>
          <w:rFonts w:cstheme="minorHAnsi"/>
        </w:rPr>
      </w:pPr>
      <w:r w:rsidRPr="009775B4">
        <w:rPr>
          <w:rFonts w:cstheme="minorHAnsi"/>
          <w:color w:val="000000" w:themeColor="text1"/>
        </w:rPr>
        <w:t xml:space="preserve">The Advanced Power Alliance (APA) and </w:t>
      </w:r>
      <w:r w:rsidR="000C4DB8">
        <w:rPr>
          <w:rFonts w:cstheme="minorHAnsi"/>
          <w:color w:val="000000" w:themeColor="text1"/>
        </w:rPr>
        <w:t xml:space="preserve">the </w:t>
      </w:r>
      <w:r w:rsidRPr="009775B4">
        <w:rPr>
          <w:rFonts w:cstheme="minorHAnsi"/>
          <w:color w:val="000000" w:themeColor="text1"/>
        </w:rPr>
        <w:t xml:space="preserve">American Clean Power Association (ACP) </w:t>
      </w:r>
      <w:r w:rsidRPr="009775B4">
        <w:rPr>
          <w:rFonts w:cstheme="minorHAnsi"/>
        </w:rPr>
        <w:t xml:space="preserve">serve as the voice of more than </w:t>
      </w:r>
      <w:r>
        <w:rPr>
          <w:rFonts w:cstheme="minorHAnsi"/>
        </w:rPr>
        <w:t xml:space="preserve">800 </w:t>
      </w:r>
      <w:r w:rsidRPr="009775B4">
        <w:rPr>
          <w:rFonts w:cstheme="minorHAnsi"/>
        </w:rPr>
        <w:t xml:space="preserve">member companies that represent a diverse cross-section of the world’s leading energy companies, energy </w:t>
      </w:r>
      <w:r w:rsidRPr="00A51A58">
        <w:rPr>
          <w:rFonts w:cstheme="minorHAnsi"/>
        </w:rPr>
        <w:t>investors, energy consumers</w:t>
      </w:r>
      <w:r>
        <w:rPr>
          <w:rFonts w:cstheme="minorHAnsi"/>
        </w:rPr>
        <w:t>,</w:t>
      </w:r>
      <w:r w:rsidRPr="00A51A58">
        <w:rPr>
          <w:rFonts w:cstheme="minorHAnsi"/>
        </w:rPr>
        <w:t xml:space="preserve"> and power </w:t>
      </w:r>
      <w:r w:rsidR="00EE4597">
        <w:rPr>
          <w:rFonts w:cstheme="minorHAnsi"/>
        </w:rPr>
        <w:t>equipment</w:t>
      </w:r>
      <w:r w:rsidRPr="00A51A58">
        <w:rPr>
          <w:rFonts w:cstheme="minorHAnsi"/>
        </w:rPr>
        <w:t xml:space="preserve"> manufacturers from across the clean power sector that are driving high-tech innovation through the development of generation assets </w:t>
      </w:r>
      <w:r w:rsidR="00EE4597">
        <w:rPr>
          <w:rFonts w:cstheme="minorHAnsi"/>
        </w:rPr>
        <w:t>like</w:t>
      </w:r>
      <w:r w:rsidRPr="00A51A58">
        <w:rPr>
          <w:rFonts w:cstheme="minorHAnsi"/>
        </w:rPr>
        <w:t xml:space="preserve"> wind</w:t>
      </w:r>
      <w:r w:rsidR="00EE4597">
        <w:rPr>
          <w:rFonts w:cstheme="minorHAnsi"/>
        </w:rPr>
        <w:t xml:space="preserve"> and</w:t>
      </w:r>
      <w:r w:rsidRPr="00A51A58">
        <w:rPr>
          <w:rFonts w:cstheme="minorHAnsi"/>
        </w:rPr>
        <w:t xml:space="preserve"> solar</w:t>
      </w:r>
      <w:r w:rsidR="00EE4597">
        <w:rPr>
          <w:rFonts w:cstheme="minorHAnsi"/>
        </w:rPr>
        <w:t>,</w:t>
      </w:r>
      <w:r w:rsidRPr="00A51A58">
        <w:rPr>
          <w:rFonts w:cstheme="minorHAnsi"/>
        </w:rPr>
        <w:t xml:space="preserve"> and </w:t>
      </w:r>
      <w:r w:rsidR="00EE4597">
        <w:rPr>
          <w:rFonts w:cstheme="minorHAnsi"/>
        </w:rPr>
        <w:t xml:space="preserve">through investments in </w:t>
      </w:r>
      <w:r w:rsidRPr="00A51A58">
        <w:rPr>
          <w:rFonts w:cstheme="minorHAnsi"/>
        </w:rPr>
        <w:t>energy storage</w:t>
      </w:r>
      <w:r>
        <w:rPr>
          <w:rFonts w:cstheme="minorHAnsi"/>
        </w:rPr>
        <w:t>,</w:t>
      </w:r>
      <w:r w:rsidRPr="00A51A58">
        <w:rPr>
          <w:rFonts w:cstheme="minorHAnsi"/>
        </w:rPr>
        <w:t xml:space="preserve"> spurring massive investment in the U.S. </w:t>
      </w:r>
      <w:r>
        <w:rPr>
          <w:rFonts w:cstheme="minorHAnsi"/>
        </w:rPr>
        <w:t>e</w:t>
      </w:r>
      <w:r w:rsidRPr="00A51A58">
        <w:rPr>
          <w:rFonts w:cstheme="minorHAnsi"/>
        </w:rPr>
        <w:t>conomy while creating jobs</w:t>
      </w:r>
      <w:r>
        <w:rPr>
          <w:rFonts w:cstheme="minorHAnsi"/>
        </w:rPr>
        <w:t xml:space="preserve"> for American workers</w:t>
      </w:r>
      <w:r w:rsidRPr="00A51A58">
        <w:rPr>
          <w:rFonts w:cstheme="minorHAnsi"/>
        </w:rPr>
        <w:t xml:space="preserve">. </w:t>
      </w:r>
    </w:p>
    <w:p w14:paraId="355E80A4" w14:textId="32C1CA0E" w:rsidR="00AF1A6E" w:rsidRDefault="00AF1A6E" w:rsidP="00AF1A6E">
      <w:pPr>
        <w:spacing w:line="480" w:lineRule="auto"/>
        <w:ind w:firstLine="360"/>
        <w:rPr>
          <w:rFonts w:cstheme="minorHAnsi"/>
        </w:rPr>
      </w:pPr>
      <w:r w:rsidRPr="00A51A58">
        <w:rPr>
          <w:rFonts w:cstheme="minorHAnsi"/>
        </w:rPr>
        <w:t xml:space="preserve">Projects developed by our member companies and investors generate local tax revenue </w:t>
      </w:r>
      <w:r>
        <w:rPr>
          <w:rFonts w:cstheme="minorHAnsi"/>
        </w:rPr>
        <w:t xml:space="preserve">for </w:t>
      </w:r>
      <w:r w:rsidR="00EE4597">
        <w:rPr>
          <w:rFonts w:cstheme="minorHAnsi"/>
        </w:rPr>
        <w:t xml:space="preserve">public </w:t>
      </w:r>
      <w:r>
        <w:rPr>
          <w:rFonts w:cstheme="minorHAnsi"/>
        </w:rPr>
        <w:t xml:space="preserve">schools, </w:t>
      </w:r>
      <w:r w:rsidR="00EE4597">
        <w:rPr>
          <w:rFonts w:cstheme="minorHAnsi"/>
        </w:rPr>
        <w:t xml:space="preserve">government </w:t>
      </w:r>
      <w:r>
        <w:rPr>
          <w:rFonts w:cstheme="minorHAnsi"/>
        </w:rPr>
        <w:t>services, and infrastructure, as well</w:t>
      </w:r>
      <w:r w:rsidR="00EE4597">
        <w:rPr>
          <w:rFonts w:cstheme="minorHAnsi"/>
        </w:rPr>
        <w:t xml:space="preserve"> as</w:t>
      </w:r>
      <w:r w:rsidRPr="00A51A58">
        <w:rPr>
          <w:rFonts w:cstheme="minorHAnsi"/>
        </w:rPr>
        <w:t xml:space="preserve"> multi-generational income </w:t>
      </w:r>
      <w:r w:rsidRPr="00A51A58">
        <w:rPr>
          <w:rFonts w:cstheme="minorHAnsi"/>
        </w:rPr>
        <w:lastRenderedPageBreak/>
        <w:t>for Texas landowners</w:t>
      </w:r>
      <w:r>
        <w:rPr>
          <w:rFonts w:cstheme="minorHAnsi"/>
        </w:rPr>
        <w:t xml:space="preserve">, </w:t>
      </w:r>
      <w:r w:rsidR="00EE4597">
        <w:rPr>
          <w:rFonts w:cstheme="minorHAnsi"/>
        </w:rPr>
        <w:t>primarily</w:t>
      </w:r>
      <w:r>
        <w:rPr>
          <w:rFonts w:cstheme="minorHAnsi"/>
        </w:rPr>
        <w:t xml:space="preserve"> in rural Texas</w:t>
      </w:r>
      <w:r w:rsidRPr="00A51A58">
        <w:rPr>
          <w:rFonts w:cstheme="minorHAnsi"/>
        </w:rPr>
        <w:t>.</w:t>
      </w:r>
      <w:r>
        <w:rPr>
          <w:rFonts w:cstheme="minorHAnsi"/>
        </w:rPr>
        <w:t xml:space="preserve"> Our members’ projects help to create cleaner air</w:t>
      </w:r>
      <w:r w:rsidR="00EE4597">
        <w:rPr>
          <w:rFonts w:cstheme="minorHAnsi"/>
        </w:rPr>
        <w:t xml:space="preserve"> and </w:t>
      </w:r>
      <w:r>
        <w:rPr>
          <w:rFonts w:cstheme="minorHAnsi"/>
        </w:rPr>
        <w:t xml:space="preserve">water, </w:t>
      </w:r>
      <w:r w:rsidR="00EE4597">
        <w:rPr>
          <w:rFonts w:cstheme="minorHAnsi"/>
        </w:rPr>
        <w:t xml:space="preserve">to lower consumers’ electric bills </w:t>
      </w:r>
      <w:r>
        <w:rPr>
          <w:rFonts w:cstheme="minorHAnsi"/>
        </w:rPr>
        <w:t xml:space="preserve">and </w:t>
      </w:r>
      <w:r w:rsidR="00EE4597">
        <w:rPr>
          <w:rFonts w:cstheme="minorHAnsi"/>
        </w:rPr>
        <w:t xml:space="preserve">to </w:t>
      </w:r>
      <w:r>
        <w:rPr>
          <w:rFonts w:cstheme="minorHAnsi"/>
        </w:rPr>
        <w:t>improve human health.</w:t>
      </w:r>
    </w:p>
    <w:p w14:paraId="0579D18C" w14:textId="6F26880E" w:rsidR="00AF1A6E" w:rsidRDefault="00AF1A6E" w:rsidP="00AF1A6E">
      <w:pPr>
        <w:spacing w:line="480" w:lineRule="auto"/>
        <w:ind w:firstLine="360"/>
        <w:rPr>
          <w:rFonts w:cstheme="minorHAnsi"/>
        </w:rPr>
      </w:pPr>
      <w:r>
        <w:rPr>
          <w:rFonts w:cstheme="minorHAnsi"/>
        </w:rPr>
        <w:t>While the Commission directed Transmission and Distribution Utilities (TDUs) to answer the Questions issued for Comment in this project on the use of Dynamic Line Rating (DLR) Technologies, other market participants were invited to provide information on the benefits of these technologies. The members of APA and ACP appreciate the opportunity to file comments in this project. Our member companies support the use of DLR Technologies to safely maximize the utilization of existing transmission infrastructure.</w:t>
      </w:r>
    </w:p>
    <w:p w14:paraId="2D68A3A7" w14:textId="77777777" w:rsidR="00AF1A6E" w:rsidRDefault="00AF1A6E" w:rsidP="00AF1A6E">
      <w:pPr>
        <w:spacing w:line="480" w:lineRule="auto"/>
        <w:ind w:firstLine="360"/>
        <w:rPr>
          <w:rFonts w:cstheme="minorHAnsi"/>
        </w:rPr>
      </w:pPr>
    </w:p>
    <w:p w14:paraId="225B1590" w14:textId="77777777" w:rsidR="00AF1A6E" w:rsidRPr="00014476" w:rsidRDefault="00AF1A6E" w:rsidP="00AF1A6E">
      <w:pPr>
        <w:pStyle w:val="ListParagraph"/>
        <w:numPr>
          <w:ilvl w:val="0"/>
          <w:numId w:val="1"/>
        </w:numPr>
        <w:spacing w:after="0" w:line="480" w:lineRule="auto"/>
        <w:contextualSpacing w:val="0"/>
        <w:jc w:val="center"/>
        <w:rPr>
          <w:rFonts w:asciiTheme="minorHAnsi" w:hAnsiTheme="minorHAnsi" w:cstheme="minorHAnsi"/>
          <w:b/>
          <w:caps/>
          <w:sz w:val="24"/>
          <w:szCs w:val="24"/>
          <w:u w:val="single"/>
        </w:rPr>
      </w:pPr>
      <w:r>
        <w:rPr>
          <w:rFonts w:asciiTheme="minorHAnsi" w:hAnsiTheme="minorHAnsi" w:cstheme="minorHAnsi"/>
          <w:b/>
          <w:caps/>
          <w:sz w:val="24"/>
          <w:szCs w:val="24"/>
          <w:u w:val="single"/>
        </w:rPr>
        <w:t>COmments RELATED TO THE USE OF DYNAMIC LINE RATING TECHNOLOGIES</w:t>
      </w:r>
    </w:p>
    <w:p w14:paraId="1B56EB43" w14:textId="71FFE554" w:rsidR="00AF1A6E" w:rsidRDefault="00AF1A6E" w:rsidP="00AF1A6E">
      <w:pPr>
        <w:spacing w:line="480" w:lineRule="auto"/>
        <w:ind w:firstLine="360"/>
        <w:rPr>
          <w:rFonts w:cstheme="minorHAnsi"/>
        </w:rPr>
      </w:pPr>
      <w:r>
        <w:rPr>
          <w:rFonts w:cstheme="minorHAnsi"/>
        </w:rPr>
        <w:t xml:space="preserve">While DLR devices </w:t>
      </w:r>
      <w:r w:rsidR="00942FD3">
        <w:rPr>
          <w:rFonts w:cstheme="minorHAnsi"/>
        </w:rPr>
        <w:t>can</w:t>
      </w:r>
      <w:r>
        <w:rPr>
          <w:rFonts w:cstheme="minorHAnsi"/>
        </w:rPr>
        <w:t xml:space="preserve">not </w:t>
      </w:r>
      <w:r w:rsidR="00942FD3">
        <w:rPr>
          <w:rFonts w:cstheme="minorHAnsi"/>
        </w:rPr>
        <w:t xml:space="preserve">fully </w:t>
      </w:r>
      <w:r>
        <w:rPr>
          <w:rFonts w:cstheme="minorHAnsi"/>
        </w:rPr>
        <w:t>replace traditional solutions for alleviating transmission congestion, namely transmission upgrades and expansions, they do enhance the capability of the grid by helping system operators relax constraints that are based on static line ratings (SLRs). SLRs are used by system operators in dispatch decisions to maintain safe operating conditions</w:t>
      </w:r>
      <w:r w:rsidR="00942FD3">
        <w:rPr>
          <w:rFonts w:cstheme="minorHAnsi"/>
        </w:rPr>
        <w:t xml:space="preserve">, </w:t>
      </w:r>
      <w:r w:rsidR="00552E31">
        <w:rPr>
          <w:rFonts w:cstheme="minorHAnsi"/>
        </w:rPr>
        <w:t>but</w:t>
      </w:r>
      <w:r>
        <w:rPr>
          <w:rFonts w:cstheme="minorHAnsi"/>
        </w:rPr>
        <w:t xml:space="preserve"> SLRs are typically calculated using </w:t>
      </w:r>
      <w:r w:rsidR="00942FD3">
        <w:rPr>
          <w:rFonts w:cstheme="minorHAnsi"/>
        </w:rPr>
        <w:t xml:space="preserve">overly </w:t>
      </w:r>
      <w:r>
        <w:rPr>
          <w:rFonts w:cstheme="minorHAnsi"/>
        </w:rPr>
        <w:t xml:space="preserve">conservative assumptions about the transmission-line operating environment </w:t>
      </w:r>
      <w:r w:rsidR="00942FD3">
        <w:rPr>
          <w:rFonts w:cstheme="minorHAnsi"/>
        </w:rPr>
        <w:t xml:space="preserve">which leads to a more restrictive-than-necessary </w:t>
      </w:r>
      <w:r>
        <w:rPr>
          <w:rFonts w:cstheme="minorHAnsi"/>
        </w:rPr>
        <w:t xml:space="preserve">physical limit on a transmission line. Additionally, there can be instances where the </w:t>
      </w:r>
      <w:r w:rsidR="00942FD3">
        <w:rPr>
          <w:rFonts w:cstheme="minorHAnsi"/>
        </w:rPr>
        <w:t>appropriate</w:t>
      </w:r>
      <w:r>
        <w:rPr>
          <w:rFonts w:cstheme="minorHAnsi"/>
        </w:rPr>
        <w:t xml:space="preserve"> line ratings based on actual </w:t>
      </w:r>
      <w:r w:rsidR="00942FD3">
        <w:rPr>
          <w:rFonts w:cstheme="minorHAnsi"/>
        </w:rPr>
        <w:t xml:space="preserve">operating </w:t>
      </w:r>
      <w:r>
        <w:rPr>
          <w:rFonts w:cstheme="minorHAnsi"/>
        </w:rPr>
        <w:t>conditions are lower than SLRs putting the conductor at risk for thermal damage or greater sag.</w:t>
      </w:r>
      <w:r>
        <w:rPr>
          <w:rStyle w:val="FootnoteReference"/>
          <w:rFonts w:cstheme="minorHAnsi"/>
        </w:rPr>
        <w:footnoteReference w:id="1"/>
      </w:r>
      <w:r>
        <w:rPr>
          <w:rFonts w:cstheme="minorHAnsi"/>
        </w:rPr>
        <w:t xml:space="preserve"> Overall, SLRs produce an inflexible constraint that does not</w:t>
      </w:r>
      <w:r w:rsidR="00942FD3">
        <w:rPr>
          <w:rFonts w:cstheme="minorHAnsi"/>
        </w:rPr>
        <w:t xml:space="preserve"> fully contemplate the continually changing operational environment nor take advantage of </w:t>
      </w:r>
      <w:r w:rsidR="00942FD3">
        <w:rPr>
          <w:rFonts w:cstheme="minorHAnsi"/>
        </w:rPr>
        <w:lastRenderedPageBreak/>
        <w:t>changing or favorable e</w:t>
      </w:r>
      <w:r>
        <w:rPr>
          <w:rFonts w:cstheme="minorHAnsi"/>
        </w:rPr>
        <w:t>nvironmental conditions that allow for greater transmission usage in many hours of the year.</w:t>
      </w:r>
      <w:r>
        <w:rPr>
          <w:rStyle w:val="FootnoteReference"/>
          <w:rFonts w:cstheme="minorHAnsi"/>
        </w:rPr>
        <w:footnoteReference w:id="2"/>
      </w:r>
      <w:r>
        <w:rPr>
          <w:rFonts w:cstheme="minorHAnsi"/>
        </w:rPr>
        <w:t xml:space="preserve"> </w:t>
      </w:r>
    </w:p>
    <w:p w14:paraId="708C3AC9" w14:textId="653927DD" w:rsidR="00AF1A6E" w:rsidRDefault="00AF1A6E" w:rsidP="00AF1A6E">
      <w:pPr>
        <w:spacing w:line="480" w:lineRule="auto"/>
        <w:ind w:firstLine="360"/>
        <w:rPr>
          <w:rFonts w:cstheme="minorHAnsi"/>
        </w:rPr>
      </w:pPr>
      <w:r>
        <w:rPr>
          <w:rFonts w:cstheme="minorHAnsi"/>
        </w:rPr>
        <w:t xml:space="preserve">Conversely, DLR technologies determine conductor thermal ratings dynamically </w:t>
      </w:r>
      <w:r w:rsidR="00552E31">
        <w:rPr>
          <w:rFonts w:cstheme="minorHAnsi"/>
        </w:rPr>
        <w:t xml:space="preserve">by </w:t>
      </w:r>
      <w:r>
        <w:rPr>
          <w:rFonts w:cstheme="minorHAnsi"/>
        </w:rPr>
        <w:t xml:space="preserve">utilizing more granular, real-time data. The objective of DLR technologies is to help system operators accurately and reliably determine the </w:t>
      </w:r>
      <w:r w:rsidR="00942FD3">
        <w:rPr>
          <w:rFonts w:cstheme="minorHAnsi"/>
        </w:rPr>
        <w:t>appropriate</w:t>
      </w:r>
      <w:r>
        <w:rPr>
          <w:rFonts w:cstheme="minorHAnsi"/>
        </w:rPr>
        <w:t xml:space="preserve"> current carrying capacity limits of transmission lines to relax constraints based on thermal considerations. DLR technologies allow for an </w:t>
      </w:r>
      <w:r w:rsidR="00942FD3">
        <w:rPr>
          <w:rFonts w:cstheme="minorHAnsi"/>
        </w:rPr>
        <w:t>adjustment</w:t>
      </w:r>
      <w:r>
        <w:rPr>
          <w:rFonts w:cstheme="minorHAnsi"/>
        </w:rPr>
        <w:t xml:space="preserve"> in the carrying capacity of transmission lines by calculating ratings based on real-time measurements of line temperature, wind speed, tension, and sag</w:t>
      </w:r>
      <w:r w:rsidR="00552E31">
        <w:rPr>
          <w:rFonts w:cstheme="minorHAnsi"/>
        </w:rPr>
        <w:t>,</w:t>
      </w:r>
      <w:r>
        <w:rPr>
          <w:rFonts w:cstheme="minorHAnsi"/>
        </w:rPr>
        <w:t xml:space="preserve"> rather than relying on fixed, worst-case assumptions. DLR also has the benefit of improving reliability and resilience by providing grid operators with </w:t>
      </w:r>
      <w:r w:rsidR="007B4A23">
        <w:rPr>
          <w:rFonts w:cstheme="minorHAnsi"/>
        </w:rPr>
        <w:t xml:space="preserve">data that provides </w:t>
      </w:r>
      <w:r>
        <w:rPr>
          <w:rFonts w:cstheme="minorHAnsi"/>
        </w:rPr>
        <w:t>enhanced situational awareness of individual assets while enabling greater flexibility.</w:t>
      </w:r>
      <w:r>
        <w:rPr>
          <w:rStyle w:val="FootnoteReference"/>
          <w:rFonts w:cstheme="minorHAnsi"/>
        </w:rPr>
        <w:footnoteReference w:id="3"/>
      </w:r>
    </w:p>
    <w:p w14:paraId="4EB81BDE" w14:textId="36D43CAB" w:rsidR="00AF1A6E" w:rsidRDefault="00AF1A6E" w:rsidP="00AF1A6E">
      <w:pPr>
        <w:spacing w:line="480" w:lineRule="auto"/>
        <w:ind w:firstLine="360"/>
        <w:rPr>
          <w:rFonts w:cstheme="minorHAnsi"/>
        </w:rPr>
      </w:pPr>
      <w:r>
        <w:rPr>
          <w:rFonts w:cstheme="minorHAnsi"/>
        </w:rPr>
        <w:t>DLR technology, enabled with transmission capacity forecasting (TCF) based on weather forecas</w:t>
      </w:r>
      <w:r w:rsidR="009B6FDF">
        <w:rPr>
          <w:rFonts w:cstheme="minorHAnsi"/>
        </w:rPr>
        <w:t>ts</w:t>
      </w:r>
      <w:r>
        <w:rPr>
          <w:rFonts w:cstheme="minorHAnsi"/>
        </w:rPr>
        <w:t>, can be used to pr</w:t>
      </w:r>
      <w:r w:rsidR="009B6FDF">
        <w:rPr>
          <w:rFonts w:cstheme="minorHAnsi"/>
        </w:rPr>
        <w:t>oject</w:t>
      </w:r>
      <w:r>
        <w:rPr>
          <w:rFonts w:cstheme="minorHAnsi"/>
        </w:rPr>
        <w:t xml:space="preserve"> a transmission line</w:t>
      </w:r>
      <w:r w:rsidR="009B6FDF">
        <w:rPr>
          <w:rFonts w:cstheme="minorHAnsi"/>
        </w:rPr>
        <w:t>’s</w:t>
      </w:r>
      <w:r>
        <w:rPr>
          <w:rFonts w:cstheme="minorHAnsi"/>
        </w:rPr>
        <w:t xml:space="preserve"> capacity hours or days ahead of time. By forecasting the expected transmission line’s capacity more accurately, a more </w:t>
      </w:r>
      <w:r w:rsidR="009B6FDF">
        <w:rPr>
          <w:rFonts w:cstheme="minorHAnsi"/>
        </w:rPr>
        <w:t>efficient</w:t>
      </w:r>
      <w:r>
        <w:rPr>
          <w:rFonts w:cstheme="minorHAnsi"/>
        </w:rPr>
        <w:t xml:space="preserve"> commitment of generators in day-ahead markets and dispatch within real-time markets will be possible, thus reducing congestion costs.</w:t>
      </w:r>
      <w:r>
        <w:rPr>
          <w:rStyle w:val="FootnoteReference"/>
          <w:rFonts w:cstheme="minorHAnsi"/>
        </w:rPr>
        <w:footnoteReference w:id="4"/>
      </w:r>
      <w:r>
        <w:rPr>
          <w:rFonts w:cstheme="minorHAnsi"/>
        </w:rPr>
        <w:t xml:space="preserve">  It is widely </w:t>
      </w:r>
      <w:r w:rsidR="009B6FDF">
        <w:rPr>
          <w:rFonts w:cstheme="minorHAnsi"/>
        </w:rPr>
        <w:t>recognized</w:t>
      </w:r>
      <w:r>
        <w:rPr>
          <w:rFonts w:cstheme="minorHAnsi"/>
        </w:rPr>
        <w:t xml:space="preserve"> that implementation of DLR can provide congestion-management benefits.</w:t>
      </w:r>
      <w:r>
        <w:rPr>
          <w:rStyle w:val="FootnoteReference"/>
          <w:rFonts w:cstheme="minorHAnsi"/>
        </w:rPr>
        <w:footnoteReference w:id="5"/>
      </w:r>
    </w:p>
    <w:p w14:paraId="0811EE3E" w14:textId="2F6DC882" w:rsidR="00AF1A6E" w:rsidRDefault="00AF1A6E" w:rsidP="00AF1A6E">
      <w:pPr>
        <w:spacing w:line="480" w:lineRule="auto"/>
        <w:ind w:firstLine="360"/>
        <w:rPr>
          <w:rFonts w:cstheme="minorHAnsi"/>
        </w:rPr>
      </w:pPr>
      <w:r>
        <w:rPr>
          <w:rFonts w:cstheme="minorHAnsi"/>
        </w:rPr>
        <w:t xml:space="preserve">NERC reliability rules require that a power system be operated so that it will remain stable despite the instaneous loss of any single transmission line or generator (i.e., N-1 contingent). </w:t>
      </w:r>
      <w:r>
        <w:rPr>
          <w:rFonts w:cstheme="minorHAnsi"/>
        </w:rPr>
        <w:lastRenderedPageBreak/>
        <w:t xml:space="preserve">Grid operators manage the system in a manner that ensures there is enough spare capacity on transmission lines and equipment so that a contingency will not overload the lines. DLR can potentially improve reliability by calculating the </w:t>
      </w:r>
      <w:r w:rsidR="009B6FDF">
        <w:rPr>
          <w:rFonts w:cstheme="minorHAnsi"/>
        </w:rPr>
        <w:t>actual</w:t>
      </w:r>
      <w:r>
        <w:rPr>
          <w:rFonts w:cstheme="minorHAnsi"/>
        </w:rPr>
        <w:t xml:space="preserve"> thermal limit for those lines and informing relay settings used to protect transmission equipment.</w:t>
      </w:r>
      <w:r>
        <w:rPr>
          <w:rStyle w:val="FootnoteReference"/>
          <w:rFonts w:cstheme="minorHAnsi"/>
        </w:rPr>
        <w:footnoteReference w:id="6"/>
      </w:r>
      <w:r>
        <w:rPr>
          <w:rFonts w:cstheme="minorHAnsi"/>
        </w:rPr>
        <w:t xml:space="preserve"> In cases where a customer’s supply might </w:t>
      </w:r>
      <w:r w:rsidR="009B6FDF">
        <w:rPr>
          <w:rFonts w:cstheme="minorHAnsi"/>
        </w:rPr>
        <w:t>previously have been</w:t>
      </w:r>
      <w:r>
        <w:rPr>
          <w:rFonts w:cstheme="minorHAnsi"/>
        </w:rPr>
        <w:t xml:space="preserve"> disrupted to ensure system stability, the additional capacity from DLR can provide a means to avoid outage</w:t>
      </w:r>
      <w:r w:rsidR="009B6FDF">
        <w:rPr>
          <w:rFonts w:cstheme="minorHAnsi"/>
        </w:rPr>
        <w:t>s</w:t>
      </w:r>
      <w:r>
        <w:rPr>
          <w:rFonts w:cstheme="minorHAnsi"/>
        </w:rPr>
        <w:t xml:space="preserve"> and improve reliability.</w:t>
      </w:r>
    </w:p>
    <w:p w14:paraId="32ED64CA" w14:textId="5766921C" w:rsidR="00AF1A6E" w:rsidRDefault="00AF1A6E" w:rsidP="00AF1A6E">
      <w:pPr>
        <w:spacing w:line="480" w:lineRule="auto"/>
        <w:ind w:firstLine="360"/>
        <w:rPr>
          <w:rFonts w:cstheme="minorHAnsi"/>
        </w:rPr>
      </w:pPr>
      <w:r>
        <w:rPr>
          <w:rFonts w:cstheme="minorHAnsi"/>
        </w:rPr>
        <w:t xml:space="preserve">DLR technologies can be </w:t>
      </w:r>
      <w:r w:rsidR="009861F6">
        <w:rPr>
          <w:rFonts w:cstheme="minorHAnsi"/>
        </w:rPr>
        <w:t xml:space="preserve">especially </w:t>
      </w:r>
      <w:r>
        <w:rPr>
          <w:rFonts w:cstheme="minorHAnsi"/>
        </w:rPr>
        <w:t xml:space="preserve">beneficial during extreme </w:t>
      </w:r>
      <w:proofErr w:type="gramStart"/>
      <w:r w:rsidR="009861F6">
        <w:rPr>
          <w:rFonts w:cstheme="minorHAnsi"/>
        </w:rPr>
        <w:t xml:space="preserve">cold </w:t>
      </w:r>
      <w:r>
        <w:rPr>
          <w:rFonts w:cstheme="minorHAnsi"/>
        </w:rPr>
        <w:t>weather</w:t>
      </w:r>
      <w:proofErr w:type="gramEnd"/>
      <w:r>
        <w:rPr>
          <w:rFonts w:cstheme="minorHAnsi"/>
        </w:rPr>
        <w:t xml:space="preserve"> events where extremely low temperatures and wind chill cause high electricity demand and fuel-supply constraints. DLR technologies would allow grid operators to take advantage of the fact that colder temperatures and high winds in these types of events provide cooling that greatly increases the thermal limits of transmission lines.</w:t>
      </w:r>
      <w:r>
        <w:rPr>
          <w:rStyle w:val="FootnoteReference"/>
          <w:rFonts w:cstheme="minorHAnsi"/>
        </w:rPr>
        <w:footnoteReference w:id="7"/>
      </w:r>
      <w:bookmarkEnd w:id="0"/>
      <w:bookmarkEnd w:id="1"/>
    </w:p>
    <w:p w14:paraId="58406FED" w14:textId="77777777" w:rsidR="00AF1A6E" w:rsidRPr="002C26E2" w:rsidRDefault="00AF1A6E" w:rsidP="00AF1A6E">
      <w:pPr>
        <w:spacing w:line="480" w:lineRule="auto"/>
        <w:ind w:firstLine="360"/>
        <w:rPr>
          <w:rFonts w:cstheme="minorHAnsi"/>
        </w:rPr>
      </w:pPr>
    </w:p>
    <w:p w14:paraId="3B12A912" w14:textId="77777777" w:rsidR="00AF1A6E" w:rsidRDefault="00AF1A6E" w:rsidP="00AF1A6E">
      <w:pPr>
        <w:pStyle w:val="ListParagraph"/>
        <w:numPr>
          <w:ilvl w:val="0"/>
          <w:numId w:val="1"/>
        </w:numPr>
        <w:spacing w:after="0" w:line="480" w:lineRule="auto"/>
        <w:contextualSpacing w:val="0"/>
        <w:jc w:val="center"/>
        <w:rPr>
          <w:rFonts w:asciiTheme="minorHAnsi" w:hAnsiTheme="minorHAnsi" w:cstheme="minorHAnsi"/>
          <w:b/>
          <w:caps/>
          <w:sz w:val="24"/>
          <w:szCs w:val="24"/>
          <w:u w:val="single"/>
        </w:rPr>
      </w:pPr>
      <w:r>
        <w:rPr>
          <w:rFonts w:asciiTheme="minorHAnsi" w:hAnsiTheme="minorHAnsi" w:cstheme="minorHAnsi"/>
          <w:b/>
          <w:caps/>
          <w:sz w:val="24"/>
          <w:szCs w:val="24"/>
          <w:u w:val="single"/>
        </w:rPr>
        <w:t>conclusion</w:t>
      </w:r>
    </w:p>
    <w:p w14:paraId="55ECE670" w14:textId="2C46B18E" w:rsidR="00AF1A6E" w:rsidRDefault="00AF1A6E" w:rsidP="00AF1A6E">
      <w:pPr>
        <w:spacing w:line="480" w:lineRule="auto"/>
        <w:ind w:firstLine="360"/>
        <w:rPr>
          <w:rFonts w:cstheme="minorHAnsi"/>
        </w:rPr>
      </w:pPr>
      <w:r w:rsidRPr="00A50633">
        <w:rPr>
          <w:rFonts w:cstheme="minorHAnsi"/>
        </w:rPr>
        <w:t xml:space="preserve">The Advanced Power Alliance and </w:t>
      </w:r>
      <w:r w:rsidR="000C4DB8">
        <w:rPr>
          <w:rFonts w:cstheme="minorHAnsi"/>
        </w:rPr>
        <w:t xml:space="preserve">the </w:t>
      </w:r>
      <w:r w:rsidRPr="00A50633">
        <w:rPr>
          <w:rFonts w:cstheme="minorHAnsi"/>
        </w:rPr>
        <w:t xml:space="preserve">American Clean Power Association appreciate the opportunity to provide comments in this project. </w:t>
      </w:r>
      <w:r>
        <w:rPr>
          <w:rFonts w:cstheme="minorHAnsi"/>
        </w:rPr>
        <w:t xml:space="preserve">The electric power system is becoming more dynamic with a need to make faster operational decisions based on more rapidly changing conditions. DLR integration into real-time operations of the grid can help better manage congestion, associated </w:t>
      </w:r>
      <w:r w:rsidR="009861F6">
        <w:rPr>
          <w:rFonts w:cstheme="minorHAnsi"/>
        </w:rPr>
        <w:t xml:space="preserve">infrastructure </w:t>
      </w:r>
      <w:r>
        <w:rPr>
          <w:rFonts w:cstheme="minorHAnsi"/>
        </w:rPr>
        <w:t>costs</w:t>
      </w:r>
      <w:r w:rsidR="009861F6">
        <w:rPr>
          <w:rFonts w:cstheme="minorHAnsi"/>
        </w:rPr>
        <w:t>,</w:t>
      </w:r>
      <w:r>
        <w:rPr>
          <w:rFonts w:cstheme="minorHAnsi"/>
        </w:rPr>
        <w:t xml:space="preserve"> and changing grid conditions. DLR technologies can improve system reliability </w:t>
      </w:r>
      <w:r w:rsidR="009861F6">
        <w:rPr>
          <w:rFonts w:cstheme="minorHAnsi"/>
        </w:rPr>
        <w:t xml:space="preserve">and daily operation </w:t>
      </w:r>
      <w:r>
        <w:rPr>
          <w:rFonts w:cstheme="minorHAnsi"/>
        </w:rPr>
        <w:t xml:space="preserve">through increased situational awareness and greater transmission capacity </w:t>
      </w:r>
      <w:r w:rsidR="009861F6">
        <w:rPr>
          <w:rFonts w:cstheme="minorHAnsi"/>
        </w:rPr>
        <w:t xml:space="preserve">by </w:t>
      </w:r>
      <w:r>
        <w:rPr>
          <w:rFonts w:cstheme="minorHAnsi"/>
        </w:rPr>
        <w:t>maximizing the use of existing transmission</w:t>
      </w:r>
      <w:r w:rsidR="009861F6">
        <w:rPr>
          <w:rFonts w:cstheme="minorHAnsi"/>
        </w:rPr>
        <w:t xml:space="preserve"> infrastructure</w:t>
      </w:r>
      <w:r>
        <w:rPr>
          <w:rFonts w:cstheme="minorHAnsi"/>
        </w:rPr>
        <w:t xml:space="preserve">. DLR </w:t>
      </w:r>
      <w:r>
        <w:rPr>
          <w:rFonts w:cstheme="minorHAnsi"/>
        </w:rPr>
        <w:lastRenderedPageBreak/>
        <w:t xml:space="preserve">also provides benefits to customers by reducing congestion costs. </w:t>
      </w:r>
      <w:r w:rsidR="009861F6">
        <w:rPr>
          <w:rFonts w:cstheme="minorHAnsi"/>
        </w:rPr>
        <w:t xml:space="preserve">While DLR technologies are an enhancement to the system and certainly not a substitute for needed transmission expansion and upgrades, the Advanced Power Alliance and the American Clean Power Association fully </w:t>
      </w:r>
      <w:r>
        <w:rPr>
          <w:rFonts w:cstheme="minorHAnsi"/>
        </w:rPr>
        <w:t xml:space="preserve">support </w:t>
      </w:r>
      <w:r w:rsidR="009861F6">
        <w:rPr>
          <w:rFonts w:cstheme="minorHAnsi"/>
        </w:rPr>
        <w:t>additional</w:t>
      </w:r>
      <w:r>
        <w:rPr>
          <w:rFonts w:cstheme="minorHAnsi"/>
        </w:rPr>
        <w:t xml:space="preserve"> study of </w:t>
      </w:r>
      <w:r w:rsidR="009861F6">
        <w:rPr>
          <w:rFonts w:cstheme="minorHAnsi"/>
        </w:rPr>
        <w:t>these and encourage their use in the ERCOT market</w:t>
      </w:r>
      <w:r w:rsidR="00777B6F">
        <w:rPr>
          <w:rFonts w:cstheme="minorHAnsi"/>
        </w:rPr>
        <w:t xml:space="preserve">. </w:t>
      </w:r>
    </w:p>
    <w:p w14:paraId="7C513ACA" w14:textId="77777777" w:rsidR="00AF1A6E" w:rsidRDefault="00AF1A6E" w:rsidP="00AF1A6E">
      <w:pPr>
        <w:spacing w:line="480" w:lineRule="auto"/>
        <w:rPr>
          <w:rFonts w:cstheme="minorHAnsi"/>
        </w:rPr>
      </w:pPr>
    </w:p>
    <w:p w14:paraId="53494AFF" w14:textId="77777777" w:rsidR="00AF1A6E" w:rsidRPr="00A50633" w:rsidRDefault="00AF1A6E" w:rsidP="00AF1A6E">
      <w:pPr>
        <w:spacing w:line="480" w:lineRule="auto"/>
        <w:rPr>
          <w:rFonts w:cstheme="minorHAnsi"/>
        </w:rPr>
      </w:pPr>
      <w:r w:rsidRPr="00A50633">
        <w:rPr>
          <w:rFonts w:cstheme="minorHAnsi"/>
        </w:rPr>
        <w:t>Respectfully submitted,</w:t>
      </w:r>
    </w:p>
    <w:p w14:paraId="3DCEFCF7" w14:textId="77777777" w:rsidR="00AF1A6E" w:rsidRDefault="00AF1A6E" w:rsidP="00AF1A6E">
      <w:pPr>
        <w:spacing w:line="480" w:lineRule="auto"/>
        <w:rPr>
          <w:rFonts w:cstheme="minorHAnsi"/>
        </w:rPr>
      </w:pPr>
    </w:p>
    <w:p w14:paraId="48CB71E3" w14:textId="77777777" w:rsidR="00AF1A6E" w:rsidRPr="00A50633" w:rsidRDefault="00AF1A6E" w:rsidP="00AF1A6E">
      <w:pPr>
        <w:spacing w:line="480" w:lineRule="auto"/>
        <w:rPr>
          <w:rFonts w:cstheme="minorHAnsi"/>
        </w:rPr>
      </w:pPr>
      <w:r w:rsidRPr="00DD6045">
        <w:rPr>
          <w:rFonts w:cstheme="minorHAnsi"/>
          <w:u w:val="thick"/>
        </w:rPr>
        <w:t>/s/ Jeff</w:t>
      </w:r>
      <w:r>
        <w:rPr>
          <w:rFonts w:cstheme="minorHAnsi"/>
          <w:u w:val="thick"/>
        </w:rPr>
        <w:t>rey</w:t>
      </w:r>
      <w:r w:rsidRPr="00DD6045">
        <w:rPr>
          <w:rFonts w:cstheme="minorHAnsi"/>
          <w:u w:val="thick"/>
        </w:rPr>
        <w:t xml:space="preserve"> Clark______________</w:t>
      </w:r>
    </w:p>
    <w:p w14:paraId="3FDCE95B" w14:textId="77777777" w:rsidR="00AF1A6E" w:rsidRPr="00A50633" w:rsidRDefault="00AF1A6E" w:rsidP="00AF1A6E">
      <w:pPr>
        <w:spacing w:line="360" w:lineRule="auto"/>
        <w:rPr>
          <w:rFonts w:cstheme="minorHAnsi"/>
        </w:rPr>
      </w:pPr>
      <w:r w:rsidRPr="00A50633">
        <w:rPr>
          <w:rFonts w:cstheme="minorHAnsi"/>
        </w:rPr>
        <w:t>Jeff</w:t>
      </w:r>
      <w:r>
        <w:rPr>
          <w:rFonts w:cstheme="minorHAnsi"/>
        </w:rPr>
        <w:t>rey</w:t>
      </w:r>
      <w:r w:rsidRPr="00A50633">
        <w:rPr>
          <w:rFonts w:cstheme="minorHAnsi"/>
        </w:rPr>
        <w:t xml:space="preserve"> Clark</w:t>
      </w:r>
    </w:p>
    <w:p w14:paraId="18F1245F" w14:textId="77777777" w:rsidR="00AF1A6E" w:rsidRPr="00A50633" w:rsidRDefault="00AF1A6E" w:rsidP="00AF1A6E">
      <w:pPr>
        <w:spacing w:line="360" w:lineRule="auto"/>
        <w:rPr>
          <w:rFonts w:cstheme="minorHAnsi"/>
        </w:rPr>
      </w:pPr>
      <w:r w:rsidRPr="00A50633">
        <w:rPr>
          <w:rFonts w:cstheme="minorHAnsi"/>
        </w:rPr>
        <w:t>President</w:t>
      </w:r>
    </w:p>
    <w:p w14:paraId="760D21F5" w14:textId="77777777" w:rsidR="00AF1A6E" w:rsidRPr="00A50633" w:rsidRDefault="00AF1A6E" w:rsidP="00AF1A6E">
      <w:pPr>
        <w:spacing w:line="360" w:lineRule="auto"/>
        <w:rPr>
          <w:rFonts w:cstheme="minorHAnsi"/>
        </w:rPr>
      </w:pPr>
      <w:r w:rsidRPr="00A50633">
        <w:rPr>
          <w:rFonts w:cstheme="minorHAnsi"/>
        </w:rPr>
        <w:t>The Advanced Power Alliance</w:t>
      </w:r>
    </w:p>
    <w:p w14:paraId="70DC9ED9" w14:textId="77777777" w:rsidR="00AF1A6E" w:rsidRDefault="00AF1A6E" w:rsidP="00AF1A6E">
      <w:pPr>
        <w:spacing w:line="360" w:lineRule="auto"/>
        <w:rPr>
          <w:rFonts w:cstheme="minorHAnsi"/>
        </w:rPr>
      </w:pPr>
      <w:r>
        <w:rPr>
          <w:rFonts w:cstheme="minorHAnsi"/>
        </w:rPr>
        <w:t>Advanced Power Alliance</w:t>
      </w:r>
    </w:p>
    <w:p w14:paraId="5AC6EBC8" w14:textId="77777777" w:rsidR="00AF1A6E" w:rsidRDefault="00AF1A6E" w:rsidP="00AF1A6E">
      <w:pPr>
        <w:spacing w:line="360" w:lineRule="auto"/>
        <w:rPr>
          <w:rFonts w:cstheme="minorHAnsi"/>
        </w:rPr>
      </w:pPr>
      <w:r>
        <w:rPr>
          <w:rFonts w:cstheme="minorHAnsi"/>
        </w:rPr>
        <w:t>P. O. Box 28112</w:t>
      </w:r>
    </w:p>
    <w:p w14:paraId="1C5048BA" w14:textId="77777777" w:rsidR="00AF1A6E" w:rsidRPr="00A50633" w:rsidRDefault="00AF1A6E" w:rsidP="00AF1A6E">
      <w:pPr>
        <w:spacing w:line="360" w:lineRule="auto"/>
        <w:rPr>
          <w:rFonts w:cstheme="minorHAnsi"/>
        </w:rPr>
      </w:pPr>
      <w:r w:rsidRPr="00A50633">
        <w:rPr>
          <w:rFonts w:cstheme="minorHAnsi"/>
        </w:rPr>
        <w:t>Austin, Texas 787</w:t>
      </w:r>
      <w:r>
        <w:rPr>
          <w:rFonts w:cstheme="minorHAnsi"/>
        </w:rPr>
        <w:t>55</w:t>
      </w:r>
    </w:p>
    <w:p w14:paraId="4F02BEB8" w14:textId="77777777" w:rsidR="00AF1A6E" w:rsidRPr="00A50633" w:rsidRDefault="00AF1A6E" w:rsidP="00AF1A6E">
      <w:pPr>
        <w:spacing w:line="360" w:lineRule="auto"/>
        <w:rPr>
          <w:rFonts w:cstheme="minorHAnsi"/>
        </w:rPr>
      </w:pPr>
      <w:r w:rsidRPr="00A50633">
        <w:rPr>
          <w:rFonts w:cstheme="minorHAnsi"/>
        </w:rPr>
        <w:t>512-651-0291</w:t>
      </w:r>
    </w:p>
    <w:p w14:paraId="375B66B2" w14:textId="77777777" w:rsidR="00AF1A6E" w:rsidRPr="00A50633" w:rsidRDefault="00AF1A6E" w:rsidP="00AF1A6E">
      <w:pPr>
        <w:spacing w:line="480" w:lineRule="auto"/>
        <w:rPr>
          <w:rFonts w:cstheme="minorHAnsi"/>
        </w:rPr>
      </w:pPr>
    </w:p>
    <w:p w14:paraId="487F89F0" w14:textId="77777777" w:rsidR="00AF1A6E" w:rsidRPr="00DD6045" w:rsidRDefault="00AF1A6E" w:rsidP="00AF1A6E">
      <w:pPr>
        <w:spacing w:line="480" w:lineRule="auto"/>
        <w:rPr>
          <w:rFonts w:cstheme="minorHAnsi"/>
          <w:u w:val="thick"/>
        </w:rPr>
      </w:pPr>
      <w:r w:rsidRPr="00DD6045">
        <w:rPr>
          <w:rFonts w:cstheme="minorHAnsi"/>
          <w:u w:val="thick"/>
        </w:rPr>
        <w:t>/s/ Tom Darin</w:t>
      </w:r>
      <w:r>
        <w:rPr>
          <w:rFonts w:cstheme="minorHAnsi"/>
          <w:u w:val="thick"/>
        </w:rPr>
        <w:t>_____________</w:t>
      </w:r>
      <w:r w:rsidRPr="00DD6045">
        <w:rPr>
          <w:rFonts w:cstheme="minorHAnsi"/>
          <w:u w:val="thick"/>
        </w:rPr>
        <w:t xml:space="preserve">                      </w:t>
      </w:r>
    </w:p>
    <w:p w14:paraId="5FDB9CC5" w14:textId="77777777" w:rsidR="00AF1A6E" w:rsidRPr="00A50633" w:rsidRDefault="00AF1A6E" w:rsidP="00AF1A6E">
      <w:pPr>
        <w:spacing w:line="360" w:lineRule="auto"/>
        <w:rPr>
          <w:rFonts w:cstheme="minorHAnsi"/>
        </w:rPr>
      </w:pPr>
      <w:r w:rsidRPr="00A50633">
        <w:rPr>
          <w:rFonts w:cstheme="minorHAnsi"/>
        </w:rPr>
        <w:t>Tom Darin</w:t>
      </w:r>
    </w:p>
    <w:p w14:paraId="071A1094" w14:textId="77777777" w:rsidR="00AF1A6E" w:rsidRPr="00A50633" w:rsidRDefault="00AF1A6E" w:rsidP="00AF1A6E">
      <w:pPr>
        <w:spacing w:line="360" w:lineRule="auto"/>
        <w:rPr>
          <w:rFonts w:cstheme="minorHAnsi"/>
        </w:rPr>
      </w:pPr>
      <w:r w:rsidRPr="00A50633">
        <w:rPr>
          <w:rFonts w:cstheme="minorHAnsi"/>
        </w:rPr>
        <w:t>Senior Director, Western State Affairs</w:t>
      </w:r>
    </w:p>
    <w:p w14:paraId="0DFABD88" w14:textId="77777777" w:rsidR="00AF1A6E" w:rsidRPr="00A50633" w:rsidRDefault="00AF1A6E" w:rsidP="00AF1A6E">
      <w:pPr>
        <w:spacing w:line="360" w:lineRule="auto"/>
        <w:rPr>
          <w:rFonts w:cstheme="minorHAnsi"/>
        </w:rPr>
      </w:pPr>
      <w:r w:rsidRPr="00A50633">
        <w:rPr>
          <w:rFonts w:cstheme="minorHAnsi"/>
        </w:rPr>
        <w:t>American Clean Power Association</w:t>
      </w:r>
    </w:p>
    <w:p w14:paraId="6745D3FC" w14:textId="77777777" w:rsidR="00AF1A6E" w:rsidRPr="00A50633" w:rsidRDefault="00AF1A6E" w:rsidP="00AF1A6E">
      <w:pPr>
        <w:spacing w:line="360" w:lineRule="auto"/>
        <w:rPr>
          <w:rFonts w:cstheme="minorHAnsi"/>
        </w:rPr>
      </w:pPr>
      <w:r w:rsidRPr="00A50633">
        <w:rPr>
          <w:rFonts w:cstheme="minorHAnsi"/>
        </w:rPr>
        <w:t>1501 M Street NW</w:t>
      </w:r>
    </w:p>
    <w:p w14:paraId="7CE2529E" w14:textId="77777777" w:rsidR="00AF1A6E" w:rsidRPr="00A50633" w:rsidRDefault="00AF1A6E" w:rsidP="00AF1A6E">
      <w:pPr>
        <w:spacing w:line="360" w:lineRule="auto"/>
        <w:rPr>
          <w:rFonts w:cstheme="minorHAnsi"/>
        </w:rPr>
      </w:pPr>
      <w:r w:rsidRPr="00A50633">
        <w:rPr>
          <w:rFonts w:cstheme="minorHAnsi"/>
        </w:rPr>
        <w:t>Suite 900</w:t>
      </w:r>
    </w:p>
    <w:p w14:paraId="11888311" w14:textId="77777777" w:rsidR="00AF1A6E" w:rsidRPr="00A50633" w:rsidRDefault="00AF1A6E" w:rsidP="00AF1A6E">
      <w:pPr>
        <w:spacing w:line="360" w:lineRule="auto"/>
        <w:rPr>
          <w:rFonts w:cstheme="minorHAnsi"/>
        </w:rPr>
      </w:pPr>
      <w:r w:rsidRPr="00A50633">
        <w:rPr>
          <w:rFonts w:cstheme="minorHAnsi"/>
        </w:rPr>
        <w:t>Washington, DC 20005</w:t>
      </w:r>
    </w:p>
    <w:p w14:paraId="3D18ECD5" w14:textId="3C6D7533" w:rsidR="00AF1A6E" w:rsidRDefault="00AF1A6E" w:rsidP="00AF1A6E">
      <w:pPr>
        <w:spacing w:line="360" w:lineRule="auto"/>
        <w:rPr>
          <w:rFonts w:cstheme="minorHAnsi"/>
        </w:rPr>
      </w:pPr>
      <w:r w:rsidRPr="00A50633">
        <w:rPr>
          <w:rFonts w:cstheme="minorHAnsi"/>
        </w:rPr>
        <w:t>720-244-3153</w:t>
      </w:r>
    </w:p>
    <w:p w14:paraId="4E35F52E" w14:textId="32077FB3" w:rsidR="00993BD7" w:rsidRDefault="00993BD7" w:rsidP="00AF1A6E">
      <w:pPr>
        <w:spacing w:line="360" w:lineRule="auto"/>
        <w:rPr>
          <w:rFonts w:cstheme="minorHAnsi"/>
        </w:rPr>
      </w:pPr>
    </w:p>
    <w:p w14:paraId="742D9DC6" w14:textId="77777777" w:rsidR="00993BD7" w:rsidRPr="00866E47" w:rsidRDefault="00993BD7" w:rsidP="00993BD7">
      <w:pPr>
        <w:pStyle w:val="ListParagraph"/>
        <w:spacing w:line="480" w:lineRule="auto"/>
        <w:ind w:firstLine="0"/>
        <w:jc w:val="center"/>
        <w:rPr>
          <w:b/>
          <w:bCs/>
          <w:sz w:val="24"/>
          <w:szCs w:val="24"/>
          <w:u w:val="single"/>
        </w:rPr>
      </w:pPr>
      <w:r w:rsidRPr="00866E47">
        <w:rPr>
          <w:b/>
          <w:bCs/>
          <w:sz w:val="24"/>
          <w:szCs w:val="24"/>
          <w:u w:val="single"/>
        </w:rPr>
        <w:lastRenderedPageBreak/>
        <w:t>EXECUTIVE SUMMARY</w:t>
      </w:r>
    </w:p>
    <w:p w14:paraId="150A97B0" w14:textId="77777777" w:rsidR="00993BD7" w:rsidRDefault="00993BD7" w:rsidP="00993BD7">
      <w:pPr>
        <w:pStyle w:val="ListParagraph"/>
        <w:spacing w:line="480" w:lineRule="auto"/>
        <w:ind w:firstLine="0"/>
        <w:rPr>
          <w:sz w:val="24"/>
          <w:szCs w:val="24"/>
        </w:rPr>
      </w:pPr>
    </w:p>
    <w:p w14:paraId="5269FDD9" w14:textId="1C057FA5" w:rsidR="00993BD7" w:rsidRDefault="00993BD7" w:rsidP="00993BD7">
      <w:pPr>
        <w:pStyle w:val="ListParagraph"/>
        <w:numPr>
          <w:ilvl w:val="0"/>
          <w:numId w:val="2"/>
        </w:numPr>
        <w:spacing w:after="160" w:line="480" w:lineRule="auto"/>
        <w:jc w:val="left"/>
        <w:rPr>
          <w:sz w:val="24"/>
          <w:szCs w:val="24"/>
        </w:rPr>
      </w:pPr>
      <w:r w:rsidRPr="00291BD5">
        <w:rPr>
          <w:sz w:val="24"/>
          <w:szCs w:val="24"/>
        </w:rPr>
        <w:t xml:space="preserve">The Advance Power Alliance and </w:t>
      </w:r>
      <w:r w:rsidR="000C4DB8">
        <w:rPr>
          <w:sz w:val="24"/>
          <w:szCs w:val="24"/>
        </w:rPr>
        <w:t xml:space="preserve">the </w:t>
      </w:r>
      <w:r w:rsidRPr="00291BD5">
        <w:rPr>
          <w:sz w:val="24"/>
          <w:szCs w:val="24"/>
        </w:rPr>
        <w:t>American Clean Power Association fully support additional study of Dynamic Line Rating (DLR) technologies and encourage their use in ERCOT.</w:t>
      </w:r>
    </w:p>
    <w:p w14:paraId="473C4F8A" w14:textId="77777777" w:rsidR="00993BD7" w:rsidRPr="00866E47" w:rsidRDefault="00993BD7" w:rsidP="00993BD7">
      <w:pPr>
        <w:pStyle w:val="ListParagraph"/>
        <w:spacing w:line="480" w:lineRule="auto"/>
        <w:ind w:firstLine="0"/>
        <w:rPr>
          <w:sz w:val="24"/>
          <w:szCs w:val="24"/>
        </w:rPr>
      </w:pPr>
    </w:p>
    <w:p w14:paraId="6FC43593" w14:textId="77777777" w:rsidR="00993BD7" w:rsidRDefault="00993BD7" w:rsidP="00993BD7">
      <w:pPr>
        <w:pStyle w:val="ListParagraph"/>
        <w:numPr>
          <w:ilvl w:val="0"/>
          <w:numId w:val="2"/>
        </w:numPr>
        <w:spacing w:after="160" w:line="480" w:lineRule="auto"/>
        <w:jc w:val="left"/>
        <w:rPr>
          <w:sz w:val="24"/>
          <w:szCs w:val="24"/>
        </w:rPr>
      </w:pPr>
      <w:r>
        <w:rPr>
          <w:sz w:val="24"/>
          <w:szCs w:val="24"/>
        </w:rPr>
        <w:t>DLR integration into real-time operations of the grid can help better manage congestion, associated infrastructure costs, and changing grid conditions.</w:t>
      </w:r>
    </w:p>
    <w:p w14:paraId="55483D70" w14:textId="77777777" w:rsidR="00993BD7" w:rsidRPr="00866E47" w:rsidRDefault="00993BD7" w:rsidP="00993BD7">
      <w:pPr>
        <w:spacing w:line="480" w:lineRule="auto"/>
      </w:pPr>
    </w:p>
    <w:p w14:paraId="4F69E740" w14:textId="77777777" w:rsidR="00993BD7" w:rsidRDefault="00993BD7" w:rsidP="00993BD7">
      <w:pPr>
        <w:pStyle w:val="ListParagraph"/>
        <w:numPr>
          <w:ilvl w:val="0"/>
          <w:numId w:val="2"/>
        </w:numPr>
        <w:spacing w:after="160" w:line="480" w:lineRule="auto"/>
        <w:jc w:val="left"/>
        <w:rPr>
          <w:sz w:val="24"/>
          <w:szCs w:val="24"/>
        </w:rPr>
      </w:pPr>
      <w:r>
        <w:rPr>
          <w:sz w:val="24"/>
          <w:szCs w:val="24"/>
        </w:rPr>
        <w:t>DLR technologies can improve system reliability and daily operation through increased situational awareness and greater transmission capacity by maximizing the use of existing transmission infrastructure.</w:t>
      </w:r>
    </w:p>
    <w:p w14:paraId="2CD95BDE" w14:textId="77777777" w:rsidR="00993BD7" w:rsidRPr="00866E47" w:rsidRDefault="00993BD7" w:rsidP="00993BD7">
      <w:pPr>
        <w:spacing w:line="480" w:lineRule="auto"/>
      </w:pPr>
    </w:p>
    <w:p w14:paraId="29A6106B" w14:textId="77777777" w:rsidR="00993BD7" w:rsidRDefault="00993BD7" w:rsidP="00993BD7">
      <w:pPr>
        <w:pStyle w:val="ListParagraph"/>
        <w:numPr>
          <w:ilvl w:val="0"/>
          <w:numId w:val="2"/>
        </w:numPr>
        <w:spacing w:after="160" w:line="480" w:lineRule="auto"/>
        <w:jc w:val="left"/>
        <w:rPr>
          <w:sz w:val="24"/>
          <w:szCs w:val="24"/>
        </w:rPr>
      </w:pPr>
      <w:r>
        <w:rPr>
          <w:sz w:val="24"/>
          <w:szCs w:val="24"/>
        </w:rPr>
        <w:t>Customers benefit from DLR technologies by reducing congestion costs.</w:t>
      </w:r>
    </w:p>
    <w:p w14:paraId="62D09842" w14:textId="77777777" w:rsidR="00993BD7" w:rsidRPr="00866E47" w:rsidRDefault="00993BD7" w:rsidP="00993BD7">
      <w:pPr>
        <w:spacing w:line="480" w:lineRule="auto"/>
      </w:pPr>
    </w:p>
    <w:p w14:paraId="776E0F70" w14:textId="77777777" w:rsidR="00993BD7" w:rsidRPr="00291BD5" w:rsidRDefault="00993BD7" w:rsidP="00993BD7">
      <w:pPr>
        <w:pStyle w:val="ListParagraph"/>
        <w:numPr>
          <w:ilvl w:val="0"/>
          <w:numId w:val="2"/>
        </w:numPr>
        <w:spacing w:after="160" w:line="480" w:lineRule="auto"/>
        <w:jc w:val="left"/>
        <w:rPr>
          <w:sz w:val="24"/>
          <w:szCs w:val="24"/>
        </w:rPr>
      </w:pPr>
      <w:r>
        <w:rPr>
          <w:sz w:val="24"/>
          <w:szCs w:val="24"/>
        </w:rPr>
        <w:t>DLR technologies are an enhancement to the system and certainly not a substitute for needed transmission expansion and upgrades.</w:t>
      </w:r>
    </w:p>
    <w:p w14:paraId="5453385E" w14:textId="77777777" w:rsidR="00993BD7" w:rsidRPr="00291BD5" w:rsidRDefault="00993BD7" w:rsidP="00993BD7">
      <w:pPr>
        <w:pStyle w:val="ListParagraph"/>
        <w:spacing w:line="480" w:lineRule="auto"/>
        <w:ind w:firstLine="0"/>
        <w:rPr>
          <w:sz w:val="24"/>
          <w:szCs w:val="24"/>
        </w:rPr>
      </w:pPr>
    </w:p>
    <w:p w14:paraId="261AE240" w14:textId="77777777" w:rsidR="00993BD7" w:rsidRDefault="00993BD7" w:rsidP="00AF1A6E">
      <w:pPr>
        <w:spacing w:line="360" w:lineRule="auto"/>
        <w:rPr>
          <w:rFonts w:cstheme="minorHAnsi"/>
        </w:rPr>
      </w:pPr>
    </w:p>
    <w:p w14:paraId="29D29F43" w14:textId="77777777" w:rsidR="00620E20" w:rsidRDefault="00620E20"/>
    <w:sectPr w:rsidR="00620E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99BB" w14:textId="77777777" w:rsidR="008E0697" w:rsidRDefault="008E0697" w:rsidP="00AF1A6E">
      <w:r>
        <w:separator/>
      </w:r>
    </w:p>
  </w:endnote>
  <w:endnote w:type="continuationSeparator" w:id="0">
    <w:p w14:paraId="3CE98BE0" w14:textId="77777777" w:rsidR="008E0697" w:rsidRDefault="008E0697" w:rsidP="00AF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208B" w14:textId="77777777" w:rsidR="008E0697" w:rsidRDefault="008E0697" w:rsidP="00AF1A6E">
      <w:r>
        <w:separator/>
      </w:r>
    </w:p>
  </w:footnote>
  <w:footnote w:type="continuationSeparator" w:id="0">
    <w:p w14:paraId="474173B1" w14:textId="77777777" w:rsidR="008E0697" w:rsidRDefault="008E0697" w:rsidP="00AF1A6E">
      <w:r>
        <w:continuationSeparator/>
      </w:r>
    </w:p>
  </w:footnote>
  <w:footnote w:id="1">
    <w:p w14:paraId="00427010" w14:textId="77777777" w:rsidR="00AF1A6E" w:rsidRPr="009D7264" w:rsidRDefault="00AF1A6E" w:rsidP="00AF1A6E">
      <w:pPr>
        <w:pStyle w:val="FootnoteText"/>
      </w:pPr>
      <w:r>
        <w:rPr>
          <w:rStyle w:val="FootnoteReference"/>
        </w:rPr>
        <w:footnoteRef/>
      </w:r>
      <w:r>
        <w:t xml:space="preserve"> U.S. Department Of Energy, Dynamic Line Rating, Report to Congress at 11 (June 2019), </w:t>
      </w:r>
      <w:r w:rsidRPr="009D7264">
        <w:rPr>
          <w:i/>
          <w:iCs/>
        </w:rPr>
        <w:t>available at:</w:t>
      </w:r>
      <w:r>
        <w:t xml:space="preserve"> </w:t>
      </w:r>
      <w:hyperlink r:id="rId1" w:history="1">
        <w:r w:rsidRPr="00431CA5">
          <w:rPr>
            <w:rStyle w:val="Hyperlink"/>
          </w:rPr>
          <w:t>https://www.energy.gov/sites/prod/files/2019/08/f66/Congressional_DLR_Report_June_final_508_0.pdf</w:t>
        </w:r>
      </w:hyperlink>
      <w:r>
        <w:t xml:space="preserve"> (DOE Report).</w:t>
      </w:r>
    </w:p>
  </w:footnote>
  <w:footnote w:id="2">
    <w:p w14:paraId="0FD1D0A2" w14:textId="77777777" w:rsidR="00AF1A6E" w:rsidRDefault="00AF1A6E" w:rsidP="00AF1A6E">
      <w:pPr>
        <w:pStyle w:val="FootnoteText"/>
      </w:pPr>
      <w:r>
        <w:rPr>
          <w:rStyle w:val="FootnoteReference"/>
        </w:rPr>
        <w:footnoteRef/>
      </w:r>
      <w:r>
        <w:t xml:space="preserve"> </w:t>
      </w:r>
      <w:r w:rsidRPr="001647DB">
        <w:rPr>
          <w:i/>
          <w:iCs/>
        </w:rPr>
        <w:t>Id.</w:t>
      </w:r>
    </w:p>
  </w:footnote>
  <w:footnote w:id="3">
    <w:p w14:paraId="7F3DA0E1" w14:textId="77777777" w:rsidR="00AF1A6E" w:rsidRDefault="00AF1A6E" w:rsidP="00AF1A6E">
      <w:pPr>
        <w:pStyle w:val="FootnoteText"/>
      </w:pPr>
      <w:r>
        <w:rPr>
          <w:rStyle w:val="FootnoteReference"/>
        </w:rPr>
        <w:footnoteRef/>
      </w:r>
      <w:r>
        <w:t xml:space="preserve"> </w:t>
      </w:r>
      <w:r w:rsidRPr="009D7264">
        <w:rPr>
          <w:i/>
          <w:iCs/>
        </w:rPr>
        <w:t>Id</w:t>
      </w:r>
      <w:r>
        <w:rPr>
          <w:i/>
          <w:iCs/>
        </w:rPr>
        <w:t>.</w:t>
      </w:r>
      <w:r>
        <w:t xml:space="preserve"> at 12</w:t>
      </w:r>
      <w:r w:rsidRPr="009D7264">
        <w:rPr>
          <w:i/>
          <w:iCs/>
        </w:rPr>
        <w:t>.</w:t>
      </w:r>
    </w:p>
  </w:footnote>
  <w:footnote w:id="4">
    <w:p w14:paraId="7A51D1A0" w14:textId="77777777" w:rsidR="00AF1A6E" w:rsidRPr="00080DA4" w:rsidRDefault="00AF1A6E" w:rsidP="00AF1A6E">
      <w:pPr>
        <w:pStyle w:val="FootnoteText"/>
      </w:pPr>
      <w:r>
        <w:rPr>
          <w:rStyle w:val="FootnoteReference"/>
        </w:rPr>
        <w:footnoteRef/>
      </w:r>
      <w:r>
        <w:t xml:space="preserve"> </w:t>
      </w:r>
      <w:r w:rsidRPr="00080DA4">
        <w:rPr>
          <w:i/>
          <w:iCs/>
        </w:rPr>
        <w:t>Id.</w:t>
      </w:r>
      <w:r>
        <w:t xml:space="preserve"> at 13.</w:t>
      </w:r>
    </w:p>
  </w:footnote>
  <w:footnote w:id="5">
    <w:p w14:paraId="2FE3DD23" w14:textId="77777777" w:rsidR="00AF1A6E" w:rsidRDefault="00AF1A6E" w:rsidP="00AF1A6E">
      <w:pPr>
        <w:pStyle w:val="FootnoteText"/>
      </w:pPr>
      <w:r>
        <w:rPr>
          <w:rStyle w:val="FootnoteReference"/>
        </w:rPr>
        <w:footnoteRef/>
      </w:r>
      <w:r>
        <w:t xml:space="preserve"> </w:t>
      </w:r>
      <w:r w:rsidRPr="00080DA4">
        <w:rPr>
          <w:i/>
          <w:iCs/>
        </w:rPr>
        <w:t>I</w:t>
      </w:r>
      <w:r>
        <w:rPr>
          <w:i/>
          <w:iCs/>
        </w:rPr>
        <w:t>d</w:t>
      </w:r>
      <w:r w:rsidRPr="00080DA4">
        <w:rPr>
          <w:i/>
          <w:iCs/>
        </w:rPr>
        <w:t>.</w:t>
      </w:r>
    </w:p>
  </w:footnote>
  <w:footnote w:id="6">
    <w:p w14:paraId="53A764DA" w14:textId="77777777" w:rsidR="00AF1A6E" w:rsidRDefault="00AF1A6E" w:rsidP="00AF1A6E">
      <w:pPr>
        <w:pStyle w:val="FootnoteText"/>
      </w:pPr>
      <w:r>
        <w:rPr>
          <w:rStyle w:val="FootnoteReference"/>
        </w:rPr>
        <w:footnoteRef/>
      </w:r>
      <w:r>
        <w:t xml:space="preserve"> </w:t>
      </w:r>
      <w:r w:rsidRPr="00F53947">
        <w:rPr>
          <w:i/>
          <w:iCs/>
        </w:rPr>
        <w:t>Id.</w:t>
      </w:r>
    </w:p>
  </w:footnote>
  <w:footnote w:id="7">
    <w:p w14:paraId="57D4D091" w14:textId="77777777" w:rsidR="00AF1A6E" w:rsidRDefault="00AF1A6E" w:rsidP="00AF1A6E">
      <w:pPr>
        <w:pStyle w:val="FootnoteText"/>
      </w:pPr>
      <w:r>
        <w:rPr>
          <w:rStyle w:val="FootnoteReference"/>
        </w:rPr>
        <w:footnoteRef/>
      </w:r>
      <w:r>
        <w:t xml:space="preserve"> </w:t>
      </w:r>
      <w:r w:rsidRPr="0041756E">
        <w:rPr>
          <w:i/>
          <w:iCs/>
        </w:rPr>
        <w:t>Id</w:t>
      </w:r>
      <w:r>
        <w:t>. at 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B41ED7"/>
    <w:multiLevelType w:val="hybridMultilevel"/>
    <w:tmpl w:val="EEC8F520"/>
    <w:lvl w:ilvl="0" w:tplc="9722966A">
      <w:start w:val="7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CD2583"/>
    <w:multiLevelType w:val="hybridMultilevel"/>
    <w:tmpl w:val="964EC3A4"/>
    <w:lvl w:ilvl="0" w:tplc="1AD6F436">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A6E"/>
    <w:rsid w:val="000C4DB8"/>
    <w:rsid w:val="00552E31"/>
    <w:rsid w:val="005D2D34"/>
    <w:rsid w:val="00620E20"/>
    <w:rsid w:val="00777B6F"/>
    <w:rsid w:val="007B4A23"/>
    <w:rsid w:val="007F48EF"/>
    <w:rsid w:val="007F5173"/>
    <w:rsid w:val="00800117"/>
    <w:rsid w:val="008E0697"/>
    <w:rsid w:val="0092492A"/>
    <w:rsid w:val="00942FD3"/>
    <w:rsid w:val="009861F6"/>
    <w:rsid w:val="009922A7"/>
    <w:rsid w:val="00993BD7"/>
    <w:rsid w:val="009B3151"/>
    <w:rsid w:val="009B6FDF"/>
    <w:rsid w:val="00AF1A6E"/>
    <w:rsid w:val="00DC6110"/>
    <w:rsid w:val="00E05BC8"/>
    <w:rsid w:val="00EE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02323"/>
  <w15:chartTrackingRefBased/>
  <w15:docId w15:val="{3EB1F15D-4153-4C3C-B2E6-AC6FE6E1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A6E"/>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A6E"/>
    <w:pPr>
      <w:spacing w:after="60"/>
      <w:ind w:left="720" w:firstLine="720"/>
      <w:contextualSpacing/>
      <w:jc w:val="both"/>
    </w:pPr>
    <w:rPr>
      <w:rFonts w:ascii="Times New Roman" w:eastAsiaTheme="minorEastAsia" w:hAnsi="Times New Roman"/>
      <w:sz w:val="20"/>
      <w:szCs w:val="22"/>
      <w:lang w:bidi="en-US"/>
    </w:rPr>
  </w:style>
  <w:style w:type="paragraph" w:styleId="FootnoteText">
    <w:name w:val="footnote text"/>
    <w:basedOn w:val="Normal"/>
    <w:link w:val="FootnoteTextChar"/>
    <w:uiPriority w:val="99"/>
    <w:semiHidden/>
    <w:unhideWhenUsed/>
    <w:rsid w:val="00AF1A6E"/>
    <w:rPr>
      <w:sz w:val="20"/>
      <w:szCs w:val="20"/>
    </w:rPr>
  </w:style>
  <w:style w:type="character" w:customStyle="1" w:styleId="FootnoteTextChar">
    <w:name w:val="Footnote Text Char"/>
    <w:basedOn w:val="DefaultParagraphFont"/>
    <w:link w:val="FootnoteText"/>
    <w:uiPriority w:val="99"/>
    <w:semiHidden/>
    <w:rsid w:val="00AF1A6E"/>
    <w:rPr>
      <w:sz w:val="20"/>
      <w:szCs w:val="20"/>
    </w:rPr>
  </w:style>
  <w:style w:type="character" w:styleId="FootnoteReference">
    <w:name w:val="footnote reference"/>
    <w:basedOn w:val="DefaultParagraphFont"/>
    <w:uiPriority w:val="99"/>
    <w:semiHidden/>
    <w:unhideWhenUsed/>
    <w:rsid w:val="00AF1A6E"/>
    <w:rPr>
      <w:vertAlign w:val="superscript"/>
    </w:rPr>
  </w:style>
  <w:style w:type="character" w:styleId="Hyperlink">
    <w:name w:val="Hyperlink"/>
    <w:basedOn w:val="DefaultParagraphFont"/>
    <w:uiPriority w:val="99"/>
    <w:unhideWhenUsed/>
    <w:rsid w:val="00AF1A6E"/>
    <w:rPr>
      <w:color w:val="0563C1" w:themeColor="hyperlink"/>
      <w:u w:val="single"/>
    </w:rPr>
  </w:style>
  <w:style w:type="paragraph" w:styleId="Revision">
    <w:name w:val="Revision"/>
    <w:hidden/>
    <w:uiPriority w:val="99"/>
    <w:semiHidden/>
    <w:rsid w:val="009B3151"/>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energy.gov/sites/prod/files/2019/08/f66/Congressional_DLR_Report_June_final_508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3</cp:revision>
  <cp:lastPrinted>2021-12-29T16:26:00Z</cp:lastPrinted>
  <dcterms:created xsi:type="dcterms:W3CDTF">2021-12-29T16:24:00Z</dcterms:created>
  <dcterms:modified xsi:type="dcterms:W3CDTF">2021-12-29T16:26:00Z</dcterms:modified>
</cp:coreProperties>
</file>