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54F4C085" w14:paraId="2C078E63" wp14:textId="1C3A5773">
      <w:pPr>
        <w:jc w:val="center"/>
        <w:rPr>
          <w:rFonts w:ascii="Times New Roman" w:hAnsi="Times New Roman" w:eastAsia="Times New Roman" w:cs="Times New Roman"/>
          <w:b w:val="1"/>
          <w:bCs w:val="1"/>
          <w:sz w:val="28"/>
          <w:szCs w:val="28"/>
        </w:rPr>
      </w:pPr>
      <w:r w:rsidRPr="54F4C085" w:rsidR="54F4C085">
        <w:rPr>
          <w:rFonts w:ascii="Times New Roman" w:hAnsi="Times New Roman" w:eastAsia="Times New Roman" w:cs="Times New Roman"/>
          <w:b w:val="1"/>
          <w:bCs w:val="1"/>
          <w:sz w:val="28"/>
          <w:szCs w:val="28"/>
        </w:rPr>
        <w:t>FILLED OUT COPIES OF MERCY’S ‘APPLICATION AND AGREEMENT FOR SERVICE’AND ‘MEMBERSHIP TRANSFER’</w:t>
      </w:r>
    </w:p>
    <w:p w:rsidR="54F4C085" w:rsidP="54F4C085" w:rsidRDefault="54F4C085" w14:paraId="04E91BD8" w14:textId="6DD913DB">
      <w:pPr>
        <w:pStyle w:val="Normal"/>
        <w:jc w:val="center"/>
        <w:rPr>
          <w:rFonts w:ascii="Times New Roman" w:hAnsi="Times New Roman" w:eastAsia="Times New Roman" w:cs="Times New Roman"/>
          <w:b w:val="1"/>
          <w:bCs w:val="1"/>
          <w:sz w:val="28"/>
          <w:szCs w:val="28"/>
        </w:rPr>
      </w:pPr>
      <w:r w:rsidRPr="54F4C085" w:rsidR="54F4C085">
        <w:rPr>
          <w:rFonts w:ascii="Times New Roman" w:hAnsi="Times New Roman" w:eastAsia="Times New Roman" w:cs="Times New Roman"/>
          <w:b w:val="1"/>
          <w:bCs w:val="1"/>
          <w:sz w:val="28"/>
          <w:szCs w:val="28"/>
          <w:u w:val="single"/>
        </w:rPr>
        <w:t>What are the Documents for</w:t>
      </w:r>
    </w:p>
    <w:p w:rsidR="54F4C085" w:rsidP="54F4C085" w:rsidRDefault="54F4C085" w14:paraId="5626D754" w14:textId="1EB541F4">
      <w:pPr>
        <w:pStyle w:val="Normal"/>
        <w:ind w:firstLine="720"/>
        <w:jc w:val="left"/>
        <w:rPr>
          <w:rFonts w:ascii="Times New Roman" w:hAnsi="Times New Roman" w:eastAsia="Times New Roman" w:cs="Times New Roman"/>
          <w:b w:val="1"/>
          <w:bCs w:val="1"/>
          <w:sz w:val="28"/>
          <w:szCs w:val="28"/>
          <w:u w:val="single"/>
        </w:rPr>
      </w:pPr>
      <w:r w:rsidRPr="54F4C085" w:rsidR="54F4C085">
        <w:rPr>
          <w:rFonts w:ascii="Times New Roman" w:hAnsi="Times New Roman" w:eastAsia="Times New Roman" w:cs="Times New Roman"/>
          <w:b w:val="0"/>
          <w:bCs w:val="0"/>
          <w:sz w:val="28"/>
          <w:szCs w:val="28"/>
          <w:u w:val="none"/>
        </w:rPr>
        <w:t xml:space="preserve">The documents are Mr. Blalock’s attempt at a show of good faith, that if he had known about, or been allowed to complete, the paperwork included here on his previous contacts with Mercy Water Supply Corporation (“Mercy”) that he would have completed them and filed copies of his deed for the property at 1611 Bowen Loop, Cleveland, Texas 77328. Mr. Blalock is doing this because of Mercy’s claims that make it seem as if he refused or could not be concerned with completing the proper paperwork to put the membership, service, and meter in his </w:t>
      </w:r>
      <w:r>
        <w:tab/>
      </w:r>
      <w:r w:rsidRPr="54F4C085" w:rsidR="54F4C085">
        <w:rPr>
          <w:rFonts w:ascii="Times New Roman" w:hAnsi="Times New Roman" w:eastAsia="Times New Roman" w:cs="Times New Roman"/>
          <w:b w:val="0"/>
          <w:bCs w:val="0"/>
          <w:sz w:val="28"/>
          <w:szCs w:val="28"/>
          <w:u w:val="none"/>
        </w:rPr>
        <w:t xml:space="preserve">name. </w:t>
      </w:r>
    </w:p>
    <w:p w:rsidR="54F4C085" w:rsidP="54F4C085" w:rsidRDefault="54F4C085" w14:paraId="0DAF7DF7" w14:textId="6BB65E95">
      <w:pPr>
        <w:pStyle w:val="Normal"/>
        <w:ind w:firstLine="720"/>
        <w:jc w:val="left"/>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0"/>
          <w:bCs w:val="0"/>
          <w:sz w:val="28"/>
          <w:szCs w:val="28"/>
          <w:u w:val="none"/>
        </w:rPr>
        <w:t xml:space="preserve">While Mr. Blalock has recently refused to fill out the paperwork for Mercy to file, when he was sent the paperwork from John Carlton, legal representative for Mercy. He did so on the legal basis that without an order from the Judge or a signed and notarized letter from Mercy stating that he would not be charged for a meter, membership fees (both the fees for the meter and membership are not applicable since the meter was already installed and Reba Ivey had/has a membership), or the fee to transfer the membership (since Mercy has refused on multiple </w:t>
      </w:r>
      <w:r w:rsidRPr="54F4C085" w:rsidR="54F4C085">
        <w:rPr>
          <w:rFonts w:ascii="Times New Roman" w:hAnsi="Times New Roman" w:eastAsia="Times New Roman" w:cs="Times New Roman"/>
          <w:b w:val="0"/>
          <w:bCs w:val="0"/>
          <w:sz w:val="28"/>
          <w:szCs w:val="28"/>
          <w:u w:val="none"/>
        </w:rPr>
        <w:t>occasions</w:t>
      </w:r>
      <w:r w:rsidRPr="54F4C085" w:rsidR="54F4C085">
        <w:rPr>
          <w:rFonts w:ascii="Times New Roman" w:hAnsi="Times New Roman" w:eastAsia="Times New Roman" w:cs="Times New Roman"/>
          <w:b w:val="0"/>
          <w:bCs w:val="0"/>
          <w:sz w:val="28"/>
          <w:szCs w:val="28"/>
          <w:u w:val="none"/>
        </w:rPr>
        <w:t xml:space="preserve"> to allow for the Membership Transfer to be completed) that he would not sign the papers and send Mercy a copy, as there are clauses that would make him legally liable for said charges.</w:t>
      </w:r>
    </w:p>
    <w:p w:rsidR="54F4C085" w:rsidP="54F4C085" w:rsidRDefault="54F4C085" w14:paraId="097BA2F6" w14:textId="1F721F21">
      <w:pPr>
        <w:pStyle w:val="Normal"/>
        <w:ind w:firstLine="0"/>
        <w:jc w:val="center"/>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1"/>
          <w:bCs w:val="1"/>
          <w:sz w:val="28"/>
          <w:szCs w:val="28"/>
          <w:u w:val="single"/>
        </w:rPr>
        <w:t>The Filing with the PUC is not Permission for a Legally Binding Contract</w:t>
      </w:r>
    </w:p>
    <w:p w:rsidR="54F4C085" w:rsidP="54F4C085" w:rsidRDefault="54F4C085" w14:paraId="51D1FEDC" w14:textId="5E3E0BBA">
      <w:pPr>
        <w:pStyle w:val="Normal"/>
        <w:ind w:firstLine="720"/>
        <w:jc w:val="left"/>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0"/>
          <w:bCs w:val="0"/>
          <w:sz w:val="28"/>
          <w:szCs w:val="28"/>
          <w:u w:val="none"/>
        </w:rPr>
        <w:t xml:space="preserve">Mr. Blalock’s filing of the ‘Application and Agreement for Service’ and the ‘Membership Transfer’ is not him entering into a legally binding contract with Mercy. He is providing these documents as evidentiary showing the current wording allows for charges by Mercy Water that are not </w:t>
      </w:r>
      <w:r w:rsidRPr="54F4C085" w:rsidR="54F4C085">
        <w:rPr>
          <w:rFonts w:ascii="Times New Roman" w:hAnsi="Times New Roman" w:eastAsia="Times New Roman" w:cs="Times New Roman"/>
          <w:b w:val="0"/>
          <w:bCs w:val="0"/>
          <w:sz w:val="28"/>
          <w:szCs w:val="28"/>
          <w:u w:val="none"/>
        </w:rPr>
        <w:t>applicable</w:t>
      </w:r>
      <w:r w:rsidRPr="54F4C085" w:rsidR="54F4C085">
        <w:rPr>
          <w:rFonts w:ascii="Times New Roman" w:hAnsi="Times New Roman" w:eastAsia="Times New Roman" w:cs="Times New Roman"/>
          <w:b w:val="0"/>
          <w:bCs w:val="0"/>
          <w:sz w:val="28"/>
          <w:szCs w:val="28"/>
          <w:u w:val="none"/>
        </w:rPr>
        <w:t xml:space="preserve">. </w:t>
      </w:r>
    </w:p>
    <w:p w:rsidR="54F4C085" w:rsidP="54F4C085" w:rsidRDefault="54F4C085" w14:paraId="5B1BE9A2" w14:textId="358A32FB">
      <w:pPr>
        <w:pStyle w:val="Normal"/>
        <w:ind w:firstLine="720"/>
        <w:jc w:val="left"/>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0"/>
          <w:bCs w:val="0"/>
          <w:sz w:val="28"/>
          <w:szCs w:val="28"/>
          <w:u w:val="none"/>
        </w:rPr>
        <w:t xml:space="preserve">Mr. Blalock is willing to send a copy to Mercy, but only after there is documentation filed with the PUC stating that Mr. Blalock is protected from the clauses requiring him to pay for meter installation, membership fees for a new membership, or the fees to transfer his deceased mother’s membership into his name. </w:t>
      </w:r>
    </w:p>
    <w:p w:rsidR="54F4C085" w:rsidP="54F4C085" w:rsidRDefault="54F4C085" w14:paraId="7845D3A2" w14:textId="20C5BEBC">
      <w:pPr>
        <w:pStyle w:val="Normal"/>
        <w:ind w:firstLine="0"/>
        <w:jc w:val="center"/>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1"/>
          <w:bCs w:val="1"/>
          <w:sz w:val="28"/>
          <w:szCs w:val="28"/>
          <w:u w:val="single"/>
        </w:rPr>
        <w:t>Conclusion</w:t>
      </w:r>
    </w:p>
    <w:p w:rsidR="54F4C085" w:rsidP="54F4C085" w:rsidRDefault="54F4C085" w14:paraId="5A2761B5" w14:textId="28B6684A">
      <w:pPr>
        <w:pStyle w:val="Normal"/>
        <w:ind w:firstLine="720"/>
        <w:jc w:val="left"/>
        <w:rPr>
          <w:rFonts w:ascii="Times New Roman" w:hAnsi="Times New Roman" w:eastAsia="Times New Roman" w:cs="Times New Roman"/>
          <w:b w:val="1"/>
          <w:bCs w:val="1"/>
          <w:sz w:val="28"/>
          <w:szCs w:val="28"/>
          <w:u w:val="single"/>
        </w:rPr>
      </w:pPr>
      <w:r w:rsidRPr="54F4C085" w:rsidR="54F4C085">
        <w:rPr>
          <w:rFonts w:ascii="Times New Roman" w:hAnsi="Times New Roman" w:eastAsia="Times New Roman" w:cs="Times New Roman"/>
          <w:b w:val="0"/>
          <w:bCs w:val="0"/>
          <w:sz w:val="28"/>
          <w:szCs w:val="28"/>
          <w:u w:val="none"/>
        </w:rPr>
        <w:t xml:space="preserve">In summary, Mr. Blalock was willing to fill out and submit the paperwork at the time that he informed Mercy of his mother’s death in January of 2015. And, again, when he appeared in person, at their office, with a copy of the deed after the probate case of his mother’s estate was concluded later that same year. Mr. Blalock is also willing to send Mercy a copy of the paperwork (other than the one being sent for the Formal Complaint) after the requirements mentioned earlier in this document are fulfilled. </w:t>
      </w:r>
    </w:p>
    <w:p w:rsidR="54F4C085" w:rsidP="54F4C085" w:rsidRDefault="54F4C085" w14:paraId="4EEE3318" w14:textId="1DE31F0B">
      <w:pPr>
        <w:pStyle w:val="Normal"/>
        <w:ind w:firstLine="0"/>
        <w:jc w:val="center"/>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1"/>
          <w:bCs w:val="1"/>
          <w:sz w:val="28"/>
          <w:szCs w:val="28"/>
          <w:u w:val="single"/>
        </w:rPr>
        <w:t>Request for Relief</w:t>
      </w:r>
    </w:p>
    <w:p w:rsidR="54F4C085" w:rsidP="54F4C085" w:rsidRDefault="54F4C085" w14:paraId="52FC5053" w14:textId="513A8137">
      <w:pPr>
        <w:pStyle w:val="Normal"/>
        <w:ind w:firstLine="0"/>
        <w:jc w:val="left"/>
        <w:rPr>
          <w:rFonts w:ascii="Times New Roman" w:hAnsi="Times New Roman" w:eastAsia="Times New Roman" w:cs="Times New Roman"/>
          <w:b w:val="0"/>
          <w:bCs w:val="0"/>
          <w:sz w:val="28"/>
          <w:szCs w:val="28"/>
          <w:u w:val="none"/>
        </w:rPr>
      </w:pPr>
      <w:r w:rsidRPr="54F4C085" w:rsidR="54F4C085">
        <w:rPr>
          <w:rFonts w:ascii="Times New Roman" w:hAnsi="Times New Roman" w:eastAsia="Times New Roman" w:cs="Times New Roman"/>
          <w:b w:val="0"/>
          <w:bCs w:val="0"/>
          <w:sz w:val="28"/>
          <w:szCs w:val="28"/>
          <w:u w:val="none"/>
        </w:rPr>
        <w:t xml:space="preserve">Mr. Blalock respectfully request that in the event that Mercy does not voluntarily file the document requested in this document, that the ALJ file an order protecting Mr. Blalock from those clauses. He requests this so that Mercy may get the forms they requested and has stated are required, and so that Mr. Blalock is not open to non-applicable charges. </w:t>
      </w:r>
    </w:p>
    <w:sectPr>
      <w:pgSz w:w="12240" w:h="15840" w:orient="portrait"/>
      <w:pgMar w:top="1440" w:right="1440" w:bottom="1440" w:left="1440" w:header="720" w:footer="720" w:gutter="0"/>
      <w:cols w:space="720"/>
      <w:docGrid w:linePitch="360"/>
      <w:headerReference w:type="default" r:id="R62588f79dc594511"/>
      <w:footerReference w:type="default" r:id="Rf298877dca8b4f3c"/>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4F4C085" w:rsidTr="54F4C085" w14:paraId="7315315B">
      <w:tc>
        <w:tcPr>
          <w:tcW w:w="3120" w:type="dxa"/>
          <w:tcMar/>
        </w:tcPr>
        <w:p w:rsidR="54F4C085" w:rsidP="54F4C085" w:rsidRDefault="54F4C085" w14:paraId="4979A7B0" w14:textId="5BCF22C3">
          <w:pPr>
            <w:pStyle w:val="Header"/>
            <w:bidi w:val="0"/>
            <w:ind w:left="-115"/>
            <w:jc w:val="left"/>
          </w:pPr>
        </w:p>
      </w:tc>
      <w:tc>
        <w:tcPr>
          <w:tcW w:w="3120" w:type="dxa"/>
          <w:tcMar/>
        </w:tcPr>
        <w:p w:rsidR="54F4C085" w:rsidP="54F4C085" w:rsidRDefault="54F4C085" w14:paraId="7A33F904" w14:textId="6ED5056E">
          <w:pPr>
            <w:pStyle w:val="Header"/>
            <w:bidi w:val="0"/>
            <w:jc w:val="center"/>
          </w:pPr>
        </w:p>
      </w:tc>
      <w:tc>
        <w:tcPr>
          <w:tcW w:w="3120" w:type="dxa"/>
          <w:tcMar/>
        </w:tcPr>
        <w:p w:rsidR="54F4C085" w:rsidP="54F4C085" w:rsidRDefault="54F4C085" w14:paraId="72150E44" w14:textId="569A0635">
          <w:pPr>
            <w:pStyle w:val="Header"/>
            <w:bidi w:val="0"/>
            <w:ind w:right="-115"/>
            <w:jc w:val="right"/>
          </w:pPr>
        </w:p>
      </w:tc>
    </w:tr>
  </w:tbl>
  <w:p w:rsidR="54F4C085" w:rsidP="54F4C085" w:rsidRDefault="54F4C085" w14:paraId="40B1AB05" w14:textId="2E4FC3F5">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4F4C085" w:rsidTr="54F4C085" w14:paraId="3D4CA4D8">
      <w:tc>
        <w:tcPr>
          <w:tcW w:w="3120" w:type="dxa"/>
          <w:tcMar/>
        </w:tcPr>
        <w:p w:rsidR="54F4C085" w:rsidP="54F4C085" w:rsidRDefault="54F4C085" w14:paraId="52BD78E2" w14:textId="61A7DC2C">
          <w:pPr>
            <w:pStyle w:val="Header"/>
            <w:bidi w:val="0"/>
            <w:ind w:left="-115"/>
            <w:jc w:val="left"/>
          </w:pPr>
          <w:r w:rsidR="54F4C085">
            <w:rPr/>
            <w:t>C</w:t>
          </w:r>
        </w:p>
        <w:p w:rsidR="54F4C085" w:rsidP="54F4C085" w:rsidRDefault="54F4C085" w14:paraId="0C6CD6E4" w14:textId="5FA05952">
          <w:pPr>
            <w:pStyle w:val="Header"/>
            <w:bidi w:val="0"/>
            <w:ind w:left="-115"/>
            <w:jc w:val="left"/>
          </w:pPr>
        </w:p>
        <w:p w:rsidR="54F4C085" w:rsidP="54F4C085" w:rsidRDefault="54F4C085" w14:paraId="12FD1796" w14:textId="3B9E5EBE">
          <w:pPr>
            <w:pStyle w:val="Header"/>
            <w:bidi w:val="0"/>
            <w:ind w:left="-115"/>
            <w:jc w:val="left"/>
            <w:rPr>
              <w:rFonts w:ascii="Times New Roman" w:hAnsi="Times New Roman" w:eastAsia="Times New Roman" w:cs="Times New Roman"/>
              <w:sz w:val="28"/>
              <w:szCs w:val="28"/>
            </w:rPr>
          </w:pPr>
          <w:r w:rsidRPr="54F4C085" w:rsidR="54F4C085">
            <w:rPr>
              <w:rFonts w:ascii="Times New Roman" w:hAnsi="Times New Roman" w:eastAsia="Times New Roman" w:cs="Times New Roman"/>
              <w:sz w:val="28"/>
              <w:szCs w:val="28"/>
            </w:rPr>
            <w:t>COMPLAINT OF JOHN BLALOCK AGAINST MERCY WATER SUPPLY CORPORATION</w:t>
          </w:r>
        </w:p>
      </w:tc>
      <w:tc>
        <w:tcPr>
          <w:tcW w:w="3120" w:type="dxa"/>
          <w:tcMar/>
        </w:tcPr>
        <w:p w:rsidR="54F4C085" w:rsidP="54F4C085" w:rsidRDefault="54F4C085" w14:paraId="4B8434C2" w14:textId="52DB8748">
          <w:pPr>
            <w:pStyle w:val="Header"/>
            <w:bidi w:val="0"/>
            <w:jc w:val="center"/>
          </w:pPr>
          <w:r w:rsidRPr="54F4C085" w:rsidR="54F4C085">
            <w:rPr>
              <w:rFonts w:ascii="Times New Roman" w:hAnsi="Times New Roman" w:eastAsia="Times New Roman" w:cs="Times New Roman"/>
              <w:sz w:val="28"/>
              <w:szCs w:val="28"/>
            </w:rPr>
            <w:t>Docket 51224</w:t>
          </w:r>
        </w:p>
      </w:tc>
      <w:tc>
        <w:tcPr>
          <w:tcW w:w="3120" w:type="dxa"/>
          <w:tcMar/>
        </w:tcPr>
        <w:p w:rsidR="54F4C085" w:rsidP="54F4C085" w:rsidRDefault="54F4C085" w14:paraId="18F6DE93" w14:textId="4811AC6F">
          <w:pPr>
            <w:pStyle w:val="Header"/>
            <w:bidi w:val="0"/>
            <w:ind w:right="-115"/>
            <w:jc w:val="right"/>
          </w:pPr>
        </w:p>
        <w:p w:rsidR="54F4C085" w:rsidP="54F4C085" w:rsidRDefault="54F4C085" w14:paraId="2F17F10E" w14:textId="1598D0E3">
          <w:pPr>
            <w:pStyle w:val="Header"/>
            <w:bidi w:val="0"/>
            <w:ind w:right="-115"/>
            <w:jc w:val="right"/>
          </w:pPr>
        </w:p>
        <w:p w:rsidR="54F4C085" w:rsidP="54F4C085" w:rsidRDefault="54F4C085" w14:paraId="10E139B2" w14:textId="4358F02C">
          <w:pPr>
            <w:pStyle w:val="Header"/>
            <w:bidi w:val="0"/>
            <w:ind w:right="-115"/>
            <w:jc w:val="right"/>
            <w:rPr>
              <w:rFonts w:ascii="Times New Roman" w:hAnsi="Times New Roman" w:eastAsia="Times New Roman" w:cs="Times New Roman"/>
              <w:sz w:val="28"/>
              <w:szCs w:val="28"/>
            </w:rPr>
          </w:pPr>
          <w:r w:rsidRPr="54F4C085" w:rsidR="54F4C085">
            <w:rPr>
              <w:rFonts w:ascii="Times New Roman" w:hAnsi="Times New Roman" w:eastAsia="Times New Roman" w:cs="Times New Roman"/>
              <w:sz w:val="28"/>
              <w:szCs w:val="28"/>
            </w:rPr>
            <w:t>PUBLIC UTILITY COMMISSION OF TEXAS</w:t>
          </w:r>
        </w:p>
      </w:tc>
    </w:tr>
  </w:tbl>
  <w:p w:rsidR="54F4C085" w:rsidP="54F4C085" w:rsidRDefault="54F4C085" w14:paraId="212C729E" w14:textId="3CECEE7F">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BCD85C7"/>
  <w15:docId w15:val="{854f7a52-f518-4fc3-8cd8-737342cd84d0}"/>
  <w:rsids>
    <w:rsidRoot w:val="1BCD85C7"/>
    <w:rsid w:val="1BCD85C7"/>
    <w:rsid w:val="54F4C085"/>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eader" Target="/word/header.xml" Id="R62588f79dc594511" /><Relationship Type="http://schemas.openxmlformats.org/officeDocument/2006/relationships/footer" Target="/word/footer.xml" Id="Rf298877dca8b4f3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2020-10-09T20:01:29.0012090Z</dcterms:created>
  <dcterms:modified xsi:type="dcterms:W3CDTF">2020-10-09T21:27:49.6220880Z</dcterms:modified>
  <dc:creator>Allie Blalock</dc:creator>
  <lastModifiedBy>Allie Blalock</lastModifiedBy>
</coreProperties>
</file>