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2420E" w14:textId="471EAC19" w:rsidR="00AC7A54" w:rsidRPr="00BF77C6" w:rsidRDefault="00AC7A54" w:rsidP="00AC7A54">
      <w:pPr>
        <w:spacing w:before="240" w:after="480"/>
        <w:jc w:val="center"/>
        <w:rPr>
          <w:rFonts w:eastAsia="Times New Roman"/>
          <w:szCs w:val="20"/>
        </w:rPr>
      </w:pPr>
      <w:r w:rsidRPr="00BF77C6">
        <w:rPr>
          <w:rFonts w:eastAsia="Times New Roman"/>
          <w:b/>
          <w:szCs w:val="20"/>
        </w:rPr>
        <w:t>PUC DOCKET NO. 4</w:t>
      </w:r>
      <w:r w:rsidR="00BC3B23" w:rsidRPr="00BF77C6">
        <w:rPr>
          <w:rFonts w:eastAsia="Times New Roman"/>
          <w:b/>
          <w:szCs w:val="20"/>
        </w:rPr>
        <w:t>9583</w:t>
      </w:r>
      <w:r w:rsidRPr="00BF77C6">
        <w:rPr>
          <w:rFonts w:eastAsia="Times New Roman"/>
          <w:b/>
          <w:szCs w:val="20"/>
        </w:rPr>
        <w:br/>
        <w:t>SOAH DOCKET NO. 473-1</w:t>
      </w:r>
      <w:r w:rsidR="00BC3B23" w:rsidRPr="00BF77C6">
        <w:rPr>
          <w:rFonts w:eastAsia="Times New Roman"/>
          <w:b/>
          <w:szCs w:val="20"/>
        </w:rPr>
        <w:t>9</w:t>
      </w:r>
      <w:r w:rsidRPr="00BF77C6">
        <w:rPr>
          <w:rFonts w:eastAsia="Times New Roman"/>
          <w:b/>
          <w:szCs w:val="20"/>
        </w:rPr>
        <w:t>-</w:t>
      </w:r>
      <w:r w:rsidR="00BC3B23" w:rsidRPr="00BF77C6">
        <w:rPr>
          <w:rFonts w:eastAsia="Times New Roman"/>
          <w:b/>
          <w:szCs w:val="20"/>
        </w:rPr>
        <w:t>5243</w:t>
      </w:r>
    </w:p>
    <w:tbl>
      <w:tblPr>
        <w:tblW w:w="0" w:type="auto"/>
        <w:jc w:val="center"/>
        <w:tblLayout w:type="fixed"/>
        <w:tblLook w:val="0000" w:firstRow="0" w:lastRow="0" w:firstColumn="0" w:lastColumn="0" w:noHBand="0" w:noVBand="0"/>
      </w:tblPr>
      <w:tblGrid>
        <w:gridCol w:w="4608"/>
        <w:gridCol w:w="540"/>
        <w:gridCol w:w="4428"/>
      </w:tblGrid>
      <w:tr w:rsidR="00AC7A54" w:rsidRPr="00BF77C6" w14:paraId="13FD78E6" w14:textId="77777777" w:rsidTr="00F532A5">
        <w:trPr>
          <w:jc w:val="center"/>
        </w:trPr>
        <w:tc>
          <w:tcPr>
            <w:tcW w:w="4608" w:type="dxa"/>
          </w:tcPr>
          <w:p w14:paraId="001CC0CC" w14:textId="56051FBE" w:rsidR="00AC7A54" w:rsidRPr="00BF77C6" w:rsidRDefault="00AC7A54" w:rsidP="00AC7A54">
            <w:pPr>
              <w:rPr>
                <w:rFonts w:eastAsia="Times New Roman"/>
                <w:b/>
              </w:rPr>
            </w:pPr>
            <w:r w:rsidRPr="00BF77C6">
              <w:rPr>
                <w:rFonts w:eastAsia="Times New Roman"/>
                <w:b/>
              </w:rPr>
              <w:t xml:space="preserve">APPLICATION OF CENTERPOINT ENERGY HOUSTON ELECTRIC, LLC TO ADJUST </w:t>
            </w:r>
            <w:r w:rsidR="00E95751" w:rsidRPr="00BF77C6">
              <w:rPr>
                <w:rFonts w:eastAsia="Times New Roman"/>
                <w:b/>
              </w:rPr>
              <w:t xml:space="preserve">ITS </w:t>
            </w:r>
            <w:r w:rsidRPr="00BF77C6">
              <w:rPr>
                <w:rFonts w:eastAsia="Times New Roman"/>
                <w:b/>
              </w:rPr>
              <w:t xml:space="preserve">ENERGY EFFICIENCY COST RECOVERY FACTOR </w:t>
            </w:r>
          </w:p>
        </w:tc>
        <w:tc>
          <w:tcPr>
            <w:tcW w:w="540" w:type="dxa"/>
          </w:tcPr>
          <w:p w14:paraId="6A1CFDF1" w14:textId="77777777" w:rsidR="00AC7A54" w:rsidRPr="00BF77C6" w:rsidRDefault="00AC7A54" w:rsidP="00AC7A54">
            <w:pPr>
              <w:rPr>
                <w:rFonts w:eastAsia="Times New Roman"/>
                <w:b/>
                <w:szCs w:val="20"/>
              </w:rPr>
            </w:pPr>
            <w:r w:rsidRPr="00BF77C6">
              <w:rPr>
                <w:rFonts w:eastAsia="Times New Roman"/>
                <w:b/>
                <w:szCs w:val="20"/>
              </w:rPr>
              <w:t>§</w:t>
            </w:r>
          </w:p>
          <w:p w14:paraId="7546F5DA" w14:textId="77777777" w:rsidR="00AC7A54" w:rsidRPr="00BF77C6" w:rsidRDefault="00AC7A54" w:rsidP="00AC7A54">
            <w:pPr>
              <w:rPr>
                <w:rFonts w:eastAsia="Times New Roman"/>
                <w:b/>
                <w:szCs w:val="20"/>
              </w:rPr>
            </w:pPr>
            <w:r w:rsidRPr="00BF77C6">
              <w:rPr>
                <w:rFonts w:eastAsia="Times New Roman"/>
                <w:b/>
                <w:szCs w:val="20"/>
              </w:rPr>
              <w:t>§</w:t>
            </w:r>
          </w:p>
          <w:p w14:paraId="3E52A4D5" w14:textId="77777777" w:rsidR="00AC7A54" w:rsidRPr="00BF77C6" w:rsidRDefault="00AC7A54" w:rsidP="00AC7A54">
            <w:pPr>
              <w:rPr>
                <w:rFonts w:eastAsia="Times New Roman"/>
                <w:b/>
                <w:szCs w:val="20"/>
              </w:rPr>
            </w:pPr>
            <w:r w:rsidRPr="00BF77C6">
              <w:rPr>
                <w:rFonts w:eastAsia="Times New Roman"/>
                <w:b/>
                <w:szCs w:val="20"/>
              </w:rPr>
              <w:t>§</w:t>
            </w:r>
          </w:p>
          <w:p w14:paraId="4996D787" w14:textId="77777777" w:rsidR="00AC7A54" w:rsidRPr="00BF77C6" w:rsidRDefault="00AC7A54" w:rsidP="00AC7A54">
            <w:pPr>
              <w:rPr>
                <w:rFonts w:eastAsia="Times New Roman"/>
                <w:b/>
                <w:szCs w:val="20"/>
              </w:rPr>
            </w:pPr>
            <w:r w:rsidRPr="00BF77C6">
              <w:rPr>
                <w:rFonts w:eastAsia="Times New Roman"/>
                <w:b/>
                <w:szCs w:val="20"/>
              </w:rPr>
              <w:t>§</w:t>
            </w:r>
          </w:p>
          <w:p w14:paraId="038A43F1" w14:textId="3AD7264B" w:rsidR="00E95751" w:rsidRPr="00BF77C6" w:rsidRDefault="00E95751" w:rsidP="00AC7A54">
            <w:pPr>
              <w:rPr>
                <w:rFonts w:eastAsia="Times New Roman"/>
                <w:b/>
                <w:szCs w:val="20"/>
              </w:rPr>
            </w:pPr>
            <w:r w:rsidRPr="00BF77C6">
              <w:rPr>
                <w:rFonts w:eastAsia="Times New Roman"/>
                <w:b/>
                <w:szCs w:val="20"/>
              </w:rPr>
              <w:t>§</w:t>
            </w:r>
          </w:p>
        </w:tc>
        <w:tc>
          <w:tcPr>
            <w:tcW w:w="4428" w:type="dxa"/>
          </w:tcPr>
          <w:p w14:paraId="678C0D50" w14:textId="77777777" w:rsidR="00E95751" w:rsidRPr="00BF77C6" w:rsidRDefault="00E95751" w:rsidP="00AC7A54">
            <w:pPr>
              <w:ind w:right="270"/>
              <w:jc w:val="center"/>
              <w:rPr>
                <w:rFonts w:eastAsia="Times New Roman"/>
                <w:b/>
                <w:szCs w:val="20"/>
              </w:rPr>
            </w:pPr>
          </w:p>
          <w:p w14:paraId="6A5D2FBE" w14:textId="6AE4D353" w:rsidR="00AC7A54" w:rsidRPr="00BF77C6" w:rsidRDefault="00AC7A54" w:rsidP="00AC7A54">
            <w:pPr>
              <w:ind w:right="270"/>
              <w:jc w:val="center"/>
              <w:rPr>
                <w:rFonts w:eastAsia="Times New Roman"/>
                <w:b/>
                <w:szCs w:val="20"/>
              </w:rPr>
            </w:pPr>
            <w:r w:rsidRPr="00BF77C6">
              <w:rPr>
                <w:rFonts w:eastAsia="Times New Roman"/>
                <w:b/>
                <w:szCs w:val="20"/>
              </w:rPr>
              <w:t>PUBLIC UTILITY COMMISSION</w:t>
            </w:r>
            <w:r w:rsidRPr="00BF77C6">
              <w:rPr>
                <w:rFonts w:eastAsia="Times New Roman"/>
                <w:b/>
                <w:szCs w:val="20"/>
              </w:rPr>
              <w:br/>
            </w:r>
            <w:r w:rsidRPr="00BF77C6">
              <w:rPr>
                <w:rFonts w:eastAsia="Times New Roman"/>
                <w:b/>
                <w:szCs w:val="20"/>
              </w:rPr>
              <w:br/>
              <w:t>OF TEXAS</w:t>
            </w:r>
          </w:p>
        </w:tc>
      </w:tr>
    </w:tbl>
    <w:p w14:paraId="7E13C01B" w14:textId="77777777" w:rsidR="007572FC" w:rsidRPr="00BF77C6" w:rsidRDefault="00AC7A54" w:rsidP="00C54659">
      <w:pPr>
        <w:pStyle w:val="Titleoforder"/>
      </w:pPr>
      <w:r w:rsidRPr="00BF77C6">
        <w:t>PROPOSED</w:t>
      </w:r>
      <w:r w:rsidR="00C54659" w:rsidRPr="00BF77C6">
        <w:t xml:space="preserve"> ORDER</w:t>
      </w:r>
    </w:p>
    <w:p w14:paraId="56BDC09F" w14:textId="2BDF7556" w:rsidR="00266F9F" w:rsidRPr="00BF77C6" w:rsidRDefault="00AC7A54" w:rsidP="00266F9F">
      <w:pPr>
        <w:pStyle w:val="BodyText"/>
      </w:pPr>
      <w:r w:rsidRPr="00BF77C6">
        <w:rPr>
          <w:color w:val="000000"/>
          <w:lang w:val="x-none"/>
        </w:rPr>
        <w:t>This Order addresses the application of CenterPoint Energy Houston Electric, LLC</w:t>
      </w:r>
      <w:r w:rsidRPr="00BF77C6">
        <w:rPr>
          <w:color w:val="000000"/>
        </w:rPr>
        <w:t xml:space="preserve"> </w:t>
      </w:r>
      <w:r w:rsidRPr="00BF77C6">
        <w:rPr>
          <w:color w:val="000000"/>
          <w:lang w:val="x-none"/>
        </w:rPr>
        <w:t xml:space="preserve">(CenterPoint </w:t>
      </w:r>
      <w:r w:rsidRPr="00BF77C6">
        <w:rPr>
          <w:color w:val="000000"/>
        </w:rPr>
        <w:t>Houston</w:t>
      </w:r>
      <w:r w:rsidRPr="00BF77C6">
        <w:rPr>
          <w:color w:val="000000"/>
          <w:lang w:val="x-none"/>
        </w:rPr>
        <w:t xml:space="preserve">) </w:t>
      </w:r>
      <w:r w:rsidR="00B0002E">
        <w:rPr>
          <w:color w:val="000000"/>
        </w:rPr>
        <w:t>to adjust its</w:t>
      </w:r>
      <w:r w:rsidRPr="00BF77C6">
        <w:rPr>
          <w:color w:val="000000"/>
          <w:lang w:val="x-none"/>
        </w:rPr>
        <w:t xml:space="preserve"> energy</w:t>
      </w:r>
      <w:r w:rsidR="00A37121">
        <w:rPr>
          <w:color w:val="000000"/>
        </w:rPr>
        <w:t>-</w:t>
      </w:r>
      <w:r w:rsidRPr="00BF77C6">
        <w:rPr>
          <w:color w:val="000000"/>
          <w:lang w:val="x-none"/>
        </w:rPr>
        <w:t xml:space="preserve">efficiency cost recovery factor </w:t>
      </w:r>
      <w:r w:rsidRPr="00BF77C6">
        <w:rPr>
          <w:color w:val="000000"/>
        </w:rPr>
        <w:t>(EECRF)</w:t>
      </w:r>
      <w:r w:rsidRPr="00BF77C6">
        <w:rPr>
          <w:color w:val="000000"/>
          <w:lang w:val="x-none"/>
        </w:rPr>
        <w:t xml:space="preserve">. </w:t>
      </w:r>
      <w:r w:rsidRPr="00BF77C6">
        <w:rPr>
          <w:color w:val="000000"/>
        </w:rPr>
        <w:t xml:space="preserve"> CenterPoint Houston filed an unopposed agreement that resolves </w:t>
      </w:r>
      <w:r w:rsidR="00AE7A46" w:rsidRPr="00BF77C6">
        <w:rPr>
          <w:color w:val="000000"/>
        </w:rPr>
        <w:t xml:space="preserve">certain </w:t>
      </w:r>
      <w:r w:rsidRPr="00BF77C6">
        <w:rPr>
          <w:color w:val="000000"/>
        </w:rPr>
        <w:t xml:space="preserve">issues </w:t>
      </w:r>
      <w:r w:rsidR="003B0D6E" w:rsidRPr="00BF77C6">
        <w:rPr>
          <w:color w:val="000000"/>
        </w:rPr>
        <w:t>between</w:t>
      </w:r>
      <w:r w:rsidRPr="00BF77C6">
        <w:rPr>
          <w:color w:val="000000"/>
        </w:rPr>
        <w:t xml:space="preserve"> the parties </w:t>
      </w:r>
      <w:r w:rsidR="001D5562">
        <w:rPr>
          <w:color w:val="000000"/>
        </w:rPr>
        <w:t>to</w:t>
      </w:r>
      <w:r w:rsidRPr="00BF77C6">
        <w:rPr>
          <w:color w:val="000000"/>
        </w:rPr>
        <w:t xml:space="preserve"> this proceeding.  The Commission approves CenterPoint Houston’s EECRF, as modified by the agreement, to the extent provided in this Order. </w:t>
      </w:r>
    </w:p>
    <w:p w14:paraId="5BE8F2B8" w14:textId="30D67FEC" w:rsidR="008D1724" w:rsidRDefault="00EE5DDA" w:rsidP="008D1724">
      <w:pPr>
        <w:pStyle w:val="Heading1"/>
      </w:pPr>
      <w:r w:rsidRPr="00BF77C6">
        <w:t>Findings of Fact</w:t>
      </w:r>
    </w:p>
    <w:p w14:paraId="2FF64F30" w14:textId="143D3ADF" w:rsidR="005D4DC4" w:rsidRPr="005D4DC4" w:rsidRDefault="005D4DC4" w:rsidP="005D4DC4">
      <w:pPr>
        <w:pStyle w:val="BodyText"/>
      </w:pPr>
      <w:r>
        <w:t>The Commission makes the following findings of fact.</w:t>
      </w:r>
    </w:p>
    <w:p w14:paraId="12B45ABB" w14:textId="77777777" w:rsidR="00AC7A54" w:rsidRPr="00BF77C6" w:rsidRDefault="00AC7A54" w:rsidP="009D1920">
      <w:pPr>
        <w:pStyle w:val="Heading7"/>
        <w:rPr>
          <w:rFonts w:eastAsia="Times New Roman"/>
          <w:snapToGrid w:val="0"/>
        </w:rPr>
      </w:pPr>
      <w:r w:rsidRPr="00BF77C6">
        <w:rPr>
          <w:rFonts w:eastAsia="Times New Roman"/>
          <w:snapToGrid w:val="0"/>
        </w:rPr>
        <w:t xml:space="preserve">Applicant </w:t>
      </w:r>
      <w:r w:rsidRPr="00BF77C6">
        <w:rPr>
          <w:rFonts w:eastAsia="Times New Roman"/>
          <w:b w:val="0"/>
          <w:snapToGrid w:val="0"/>
          <w:sz w:val="16"/>
          <w:szCs w:val="16"/>
        </w:rPr>
        <w:t>PURA § 31.002(6) and 16 TAC § 25.181(b)</w:t>
      </w:r>
    </w:p>
    <w:p w14:paraId="2C098244" w14:textId="77777777" w:rsidR="00AC7A54" w:rsidRPr="00BF77C6" w:rsidRDefault="00AC7A54" w:rsidP="00517339">
      <w:pPr>
        <w:pStyle w:val="FOFNumbered"/>
      </w:pPr>
      <w:r w:rsidRPr="00BF77C6">
        <w:t xml:space="preserve">CenterPoint Houston is a Texas limited liability company and a wholly owned subsidiary of CenterPoint Energy, Inc., whose principal offices </w:t>
      </w:r>
      <w:proofErr w:type="gramStart"/>
      <w:r w:rsidRPr="00BF77C6">
        <w:t>are located in</w:t>
      </w:r>
      <w:proofErr w:type="gramEnd"/>
      <w:r w:rsidRPr="00BF77C6">
        <w:t xml:space="preserve"> Houston, Texas.</w:t>
      </w:r>
    </w:p>
    <w:p w14:paraId="03D72560" w14:textId="3226C8F1" w:rsidR="00AC7A54" w:rsidRPr="00BF77C6" w:rsidRDefault="00AC7A54" w:rsidP="00517339">
      <w:pPr>
        <w:pStyle w:val="FOFNumbered"/>
      </w:pPr>
      <w:r w:rsidRPr="00BF77C6">
        <w:t>CenterPoint Houston provides electric transmission and distribution services in Texas</w:t>
      </w:r>
      <w:r w:rsidR="002F0959">
        <w:t xml:space="preserve"> under CCN number </w:t>
      </w:r>
      <w:r w:rsidR="00CD7563">
        <w:t>30086</w:t>
      </w:r>
      <w:r w:rsidRPr="00BF77C6">
        <w:t>.</w:t>
      </w:r>
    </w:p>
    <w:p w14:paraId="6FC18FF7" w14:textId="0F225000" w:rsidR="00AC7A54" w:rsidRPr="00BF77C6" w:rsidRDefault="00AC7A54" w:rsidP="009D1920">
      <w:pPr>
        <w:pStyle w:val="Heading7"/>
        <w:rPr>
          <w:rFonts w:eastAsia="Times New Roman"/>
          <w:snapToGrid w:val="0"/>
        </w:rPr>
      </w:pPr>
      <w:r w:rsidRPr="00BF77C6">
        <w:rPr>
          <w:rFonts w:eastAsia="Times New Roman"/>
          <w:snapToGrid w:val="0"/>
        </w:rPr>
        <w:t xml:space="preserve">Application </w:t>
      </w:r>
      <w:r w:rsidRPr="00BF77C6">
        <w:rPr>
          <w:rFonts w:eastAsia="Times New Roman"/>
          <w:b w:val="0"/>
          <w:snapToGrid w:val="0"/>
          <w:sz w:val="16"/>
          <w:szCs w:val="16"/>
        </w:rPr>
        <w:t>16 TAC §§ 25.18</w:t>
      </w:r>
      <w:r w:rsidR="00D92613" w:rsidRPr="00BF77C6">
        <w:rPr>
          <w:rFonts w:eastAsia="Times New Roman"/>
          <w:b w:val="0"/>
          <w:snapToGrid w:val="0"/>
          <w:sz w:val="16"/>
          <w:szCs w:val="16"/>
        </w:rPr>
        <w:t>2</w:t>
      </w:r>
      <w:r w:rsidRPr="00BF77C6">
        <w:rPr>
          <w:rFonts w:eastAsia="Times New Roman"/>
          <w:b w:val="0"/>
          <w:snapToGrid w:val="0"/>
          <w:sz w:val="16"/>
          <w:szCs w:val="16"/>
        </w:rPr>
        <w:t>(</w:t>
      </w:r>
      <w:r w:rsidR="00D92613" w:rsidRPr="00BF77C6">
        <w:rPr>
          <w:rFonts w:eastAsia="Times New Roman"/>
          <w:b w:val="0"/>
          <w:snapToGrid w:val="0"/>
          <w:sz w:val="16"/>
          <w:szCs w:val="16"/>
        </w:rPr>
        <w:t>d</w:t>
      </w:r>
      <w:r w:rsidRPr="00BF77C6">
        <w:rPr>
          <w:rFonts w:eastAsia="Times New Roman"/>
          <w:b w:val="0"/>
          <w:snapToGrid w:val="0"/>
          <w:sz w:val="16"/>
          <w:szCs w:val="16"/>
        </w:rPr>
        <w:t>)(10)(A</w:t>
      </w:r>
      <w:r w:rsidR="00C83EA6" w:rsidRPr="00BF77C6">
        <w:rPr>
          <w:rFonts w:eastAsia="Times New Roman"/>
          <w:b w:val="0"/>
          <w:snapToGrid w:val="0"/>
          <w:sz w:val="16"/>
          <w:szCs w:val="16"/>
        </w:rPr>
        <w:t>)–(</w:t>
      </w:r>
      <w:r w:rsidRPr="00BF77C6">
        <w:rPr>
          <w:rFonts w:eastAsia="Times New Roman"/>
          <w:b w:val="0"/>
          <w:snapToGrid w:val="0"/>
          <w:sz w:val="16"/>
          <w:szCs w:val="16"/>
        </w:rPr>
        <w:t>M), (</w:t>
      </w:r>
      <w:r w:rsidR="00D92613" w:rsidRPr="00BF77C6">
        <w:rPr>
          <w:rFonts w:eastAsia="Times New Roman"/>
          <w:b w:val="0"/>
          <w:snapToGrid w:val="0"/>
          <w:sz w:val="16"/>
          <w:szCs w:val="16"/>
        </w:rPr>
        <w:t>d</w:t>
      </w:r>
      <w:r w:rsidRPr="00BF77C6">
        <w:rPr>
          <w:rFonts w:eastAsia="Times New Roman"/>
          <w:b w:val="0"/>
          <w:snapToGrid w:val="0"/>
          <w:sz w:val="16"/>
          <w:szCs w:val="16"/>
        </w:rPr>
        <w:t>)(11)(A</w:t>
      </w:r>
      <w:r w:rsidR="00C83EA6" w:rsidRPr="00BF77C6">
        <w:rPr>
          <w:rFonts w:eastAsia="Times New Roman"/>
          <w:b w:val="0"/>
          <w:snapToGrid w:val="0"/>
          <w:sz w:val="16"/>
          <w:szCs w:val="16"/>
        </w:rPr>
        <w:t>)–(</w:t>
      </w:r>
      <w:r w:rsidRPr="00BF77C6">
        <w:rPr>
          <w:rFonts w:eastAsia="Times New Roman"/>
          <w:b w:val="0"/>
          <w:snapToGrid w:val="0"/>
          <w:sz w:val="16"/>
          <w:szCs w:val="16"/>
        </w:rPr>
        <w:t>J)</w:t>
      </w:r>
    </w:p>
    <w:p w14:paraId="6FBCEA7E" w14:textId="5833633E" w:rsidR="00AC7A54" w:rsidRPr="00BF77C6" w:rsidRDefault="00AC7A54" w:rsidP="00517339">
      <w:pPr>
        <w:pStyle w:val="FOFNumbered"/>
      </w:pPr>
      <w:r w:rsidRPr="00BF77C6">
        <w:rPr>
          <w:rStyle w:val="FOFNumberedChar"/>
        </w:rPr>
        <w:t xml:space="preserve">On </w:t>
      </w:r>
      <w:r w:rsidR="00BC3B23" w:rsidRPr="00BF77C6">
        <w:rPr>
          <w:rStyle w:val="FOFNumberedChar"/>
        </w:rPr>
        <w:t>May 31</w:t>
      </w:r>
      <w:r w:rsidRPr="00BF77C6">
        <w:rPr>
          <w:rStyle w:val="FOFNumberedChar"/>
        </w:rPr>
        <w:t>, 201</w:t>
      </w:r>
      <w:r w:rsidR="00BC3B23" w:rsidRPr="00BF77C6">
        <w:rPr>
          <w:rStyle w:val="FOFNumberedChar"/>
        </w:rPr>
        <w:t>9</w:t>
      </w:r>
      <w:r w:rsidRPr="00BF77C6">
        <w:rPr>
          <w:rStyle w:val="FOFNumberedChar"/>
        </w:rPr>
        <w:t>, CenterPoint Houston filed an application to adjust its 20</w:t>
      </w:r>
      <w:r w:rsidR="00BC3B23" w:rsidRPr="00BF77C6">
        <w:rPr>
          <w:rStyle w:val="FOFNumberedChar"/>
        </w:rPr>
        <w:t>20</w:t>
      </w:r>
      <w:r w:rsidRPr="00BF77C6">
        <w:rPr>
          <w:rStyle w:val="FOFNumberedChar"/>
        </w:rPr>
        <w:t xml:space="preserve"> EECRF,</w:t>
      </w:r>
      <w:r w:rsidRPr="00BF77C6">
        <w:t xml:space="preserve"> effective with its March 20</w:t>
      </w:r>
      <w:r w:rsidR="00BC3B23" w:rsidRPr="00BF77C6">
        <w:t>20</w:t>
      </w:r>
      <w:r w:rsidRPr="00BF77C6">
        <w:t xml:space="preserve"> billing month.  </w:t>
      </w:r>
    </w:p>
    <w:p w14:paraId="7A4D6D58" w14:textId="7BD60208" w:rsidR="00BE375A" w:rsidRPr="00BF77C6" w:rsidRDefault="00BE375A" w:rsidP="00517339">
      <w:pPr>
        <w:pStyle w:val="FOFNumbered"/>
      </w:pPr>
      <w:r w:rsidRPr="00BF77C6">
        <w:t>On June 10 and July 19, 2019, CenterPoint Houston amended the</w:t>
      </w:r>
      <w:r w:rsidR="009B2638" w:rsidRPr="00BF77C6">
        <w:t xml:space="preserve"> testimony, schedules, and workpapers included in the application</w:t>
      </w:r>
      <w:r w:rsidRPr="00BF77C6">
        <w:t>.</w:t>
      </w:r>
    </w:p>
    <w:p w14:paraId="78F2B607" w14:textId="45A29BD8" w:rsidR="00457BDF" w:rsidRPr="00BF77C6" w:rsidRDefault="00457BDF" w:rsidP="00517339">
      <w:pPr>
        <w:pStyle w:val="FOFNumbered"/>
      </w:pPr>
      <w:r w:rsidRPr="00BF77C6">
        <w:t>No party objected to the sufficiency of the application.</w:t>
      </w:r>
    </w:p>
    <w:p w14:paraId="792C179E" w14:textId="013F9DF4" w:rsidR="00AC7A54" w:rsidRPr="00BF77C6" w:rsidRDefault="00765551" w:rsidP="00517339">
      <w:pPr>
        <w:pStyle w:val="FOFNumbered"/>
      </w:pPr>
      <w:r w:rsidRPr="00BF77C6">
        <w:lastRenderedPageBreak/>
        <w:t>In the application a</w:t>
      </w:r>
      <w:r w:rsidR="00BC3B23" w:rsidRPr="00BF77C6">
        <w:t xml:space="preserve">s amended, </w:t>
      </w:r>
      <w:r w:rsidR="00AC7A54" w:rsidRPr="00BF77C6">
        <w:t>CenterPoint Houston sought Commission approval to adjust its EECRF to recover $</w:t>
      </w:r>
      <w:r w:rsidR="00BC3B23" w:rsidRPr="00BF77C6">
        <w:t>39,101,638</w:t>
      </w:r>
      <w:r w:rsidR="00AC7A54" w:rsidRPr="00BF77C6">
        <w:t xml:space="preserve"> during program</w:t>
      </w:r>
      <w:r w:rsidR="00CF25F6" w:rsidRPr="00BF77C6">
        <w:t xml:space="preserve"> </w:t>
      </w:r>
      <w:r w:rsidR="00AC7A54" w:rsidRPr="00BF77C6">
        <w:t>year 20</w:t>
      </w:r>
      <w:r w:rsidR="00BC3B23" w:rsidRPr="00BF77C6">
        <w:t>20</w:t>
      </w:r>
      <w:r w:rsidR="005736CA" w:rsidRPr="00BF77C6">
        <w:t>.  The amount included the following</w:t>
      </w:r>
      <w:r w:rsidR="00AC7A54" w:rsidRPr="00BF77C6">
        <w:t>:</w:t>
      </w:r>
    </w:p>
    <w:p w14:paraId="2B930E5F" w14:textId="6736B0A8" w:rsidR="00AC7A54" w:rsidRPr="00BF77C6" w:rsidRDefault="00AC7A54" w:rsidP="00682DE5">
      <w:pPr>
        <w:numPr>
          <w:ilvl w:val="7"/>
          <w:numId w:val="4"/>
        </w:numPr>
        <w:tabs>
          <w:tab w:val="num" w:pos="1440"/>
        </w:tabs>
        <w:spacing w:before="120" w:after="120"/>
        <w:ind w:left="1440" w:hanging="720"/>
        <w:jc w:val="both"/>
        <w:rPr>
          <w:rFonts w:eastAsia="Times New Roman"/>
          <w:snapToGrid w:val="0"/>
        </w:rPr>
      </w:pPr>
      <w:r w:rsidRPr="00BF77C6">
        <w:rPr>
          <w:rFonts w:eastAsia="Times New Roman"/>
          <w:snapToGrid w:val="0"/>
        </w:rPr>
        <w:t xml:space="preserve">CenterPoint Houston’s </w:t>
      </w:r>
      <w:r w:rsidR="00033666" w:rsidRPr="00BF77C6">
        <w:rPr>
          <w:rFonts w:eastAsia="Times New Roman"/>
          <w:snapToGrid w:val="0"/>
        </w:rPr>
        <w:t>forecasted</w:t>
      </w:r>
      <w:r w:rsidRPr="00BF77C6">
        <w:rPr>
          <w:rFonts w:eastAsia="Times New Roman"/>
          <w:snapToGrid w:val="0"/>
        </w:rPr>
        <w:t xml:space="preserve"> energy</w:t>
      </w:r>
      <w:r w:rsidR="008D6D4B" w:rsidRPr="00BF77C6">
        <w:rPr>
          <w:rFonts w:eastAsia="Times New Roman"/>
          <w:snapToGrid w:val="0"/>
        </w:rPr>
        <w:t>-</w:t>
      </w:r>
      <w:r w:rsidRPr="00BF77C6">
        <w:rPr>
          <w:rFonts w:eastAsia="Times New Roman"/>
          <w:snapToGrid w:val="0"/>
        </w:rPr>
        <w:t xml:space="preserve">efficiency costs </w:t>
      </w:r>
      <w:r w:rsidR="004A4AE1" w:rsidRPr="00BF77C6">
        <w:rPr>
          <w:rFonts w:eastAsia="Times New Roman"/>
          <w:snapToGrid w:val="0"/>
        </w:rPr>
        <w:t xml:space="preserve">of $37,820,991 </w:t>
      </w:r>
      <w:r w:rsidRPr="00BF77C6">
        <w:rPr>
          <w:rFonts w:eastAsia="Times New Roman"/>
          <w:snapToGrid w:val="0"/>
        </w:rPr>
        <w:t>in program</w:t>
      </w:r>
      <w:r w:rsidR="00CF25F6" w:rsidRPr="00BF77C6">
        <w:rPr>
          <w:rFonts w:eastAsia="Times New Roman"/>
          <w:snapToGrid w:val="0"/>
        </w:rPr>
        <w:t xml:space="preserve"> </w:t>
      </w:r>
      <w:r w:rsidRPr="00BF77C6">
        <w:rPr>
          <w:rFonts w:eastAsia="Times New Roman"/>
          <w:snapToGrid w:val="0"/>
        </w:rPr>
        <w:t>year 20</w:t>
      </w:r>
      <w:r w:rsidR="00BC3B23" w:rsidRPr="00BF77C6">
        <w:rPr>
          <w:rFonts w:eastAsia="Times New Roman"/>
          <w:snapToGrid w:val="0"/>
        </w:rPr>
        <w:t>20</w:t>
      </w:r>
      <w:r w:rsidRPr="00BF77C6">
        <w:rPr>
          <w:rFonts w:eastAsia="Times New Roman"/>
          <w:snapToGrid w:val="0"/>
        </w:rPr>
        <w:t>;</w:t>
      </w:r>
    </w:p>
    <w:p w14:paraId="439B23A9" w14:textId="7B5AA54D" w:rsidR="00AC7A54" w:rsidRPr="00BF77C6" w:rsidRDefault="00AC7A54" w:rsidP="00682DE5">
      <w:pPr>
        <w:numPr>
          <w:ilvl w:val="7"/>
          <w:numId w:val="4"/>
        </w:numPr>
        <w:tabs>
          <w:tab w:val="num" w:pos="1440"/>
        </w:tabs>
        <w:spacing w:before="120" w:after="120"/>
        <w:ind w:left="1440" w:hanging="720"/>
        <w:jc w:val="both"/>
        <w:rPr>
          <w:rFonts w:eastAsia="Times New Roman"/>
          <w:snapToGrid w:val="0"/>
        </w:rPr>
      </w:pPr>
      <w:r w:rsidRPr="00BF77C6">
        <w:rPr>
          <w:rFonts w:eastAsia="Times New Roman"/>
          <w:snapToGrid w:val="0"/>
        </w:rPr>
        <w:t>Projected evaluation, measurement, and verification (EM&amp;V) expenses for program</w:t>
      </w:r>
      <w:r w:rsidR="00CF25F6" w:rsidRPr="00BF77C6">
        <w:rPr>
          <w:rFonts w:eastAsia="Times New Roman"/>
          <w:snapToGrid w:val="0"/>
        </w:rPr>
        <w:t xml:space="preserve"> </w:t>
      </w:r>
      <w:r w:rsidRPr="00BF77C6">
        <w:rPr>
          <w:rFonts w:eastAsia="Times New Roman"/>
          <w:snapToGrid w:val="0"/>
        </w:rPr>
        <w:t>year 20</w:t>
      </w:r>
      <w:r w:rsidR="00BC3B23" w:rsidRPr="00BF77C6">
        <w:rPr>
          <w:rFonts w:eastAsia="Times New Roman"/>
          <w:snapToGrid w:val="0"/>
        </w:rPr>
        <w:t>20</w:t>
      </w:r>
      <w:r w:rsidRPr="00BF77C6">
        <w:rPr>
          <w:rFonts w:eastAsia="Times New Roman"/>
          <w:snapToGrid w:val="0"/>
        </w:rPr>
        <w:t xml:space="preserve"> in the amount of $5</w:t>
      </w:r>
      <w:r w:rsidR="00BC3B23" w:rsidRPr="00BF77C6">
        <w:rPr>
          <w:rFonts w:eastAsia="Times New Roman"/>
          <w:snapToGrid w:val="0"/>
        </w:rPr>
        <w:t>50,514</w:t>
      </w:r>
      <w:r w:rsidRPr="00BF77C6">
        <w:rPr>
          <w:rFonts w:eastAsia="Times New Roman"/>
          <w:snapToGrid w:val="0"/>
        </w:rPr>
        <w:t>;</w:t>
      </w:r>
    </w:p>
    <w:p w14:paraId="5BA6D638" w14:textId="1261B4EC" w:rsidR="00AC7A54" w:rsidRPr="00BF77C6" w:rsidRDefault="00AC7A54" w:rsidP="00525981">
      <w:pPr>
        <w:numPr>
          <w:ilvl w:val="7"/>
          <w:numId w:val="4"/>
        </w:numPr>
        <w:tabs>
          <w:tab w:val="num" w:pos="1440"/>
        </w:tabs>
        <w:spacing w:before="120" w:after="120"/>
        <w:ind w:left="1440" w:hanging="720"/>
        <w:jc w:val="both"/>
        <w:rPr>
          <w:rFonts w:eastAsia="Times New Roman"/>
          <w:snapToGrid w:val="0"/>
        </w:rPr>
      </w:pPr>
      <w:r w:rsidRPr="00BF77C6">
        <w:rPr>
          <w:rFonts w:eastAsia="Times New Roman"/>
          <w:snapToGrid w:val="0"/>
        </w:rPr>
        <w:t>A</w:t>
      </w:r>
      <w:r w:rsidR="008842F4">
        <w:rPr>
          <w:rFonts w:eastAsia="Times New Roman"/>
          <w:snapToGrid w:val="0"/>
        </w:rPr>
        <w:t>n adjustment</w:t>
      </w:r>
      <w:r w:rsidRPr="00BF77C6">
        <w:rPr>
          <w:rFonts w:eastAsia="Times New Roman"/>
          <w:snapToGrid w:val="0"/>
        </w:rPr>
        <w:t xml:space="preserve"> of </w:t>
      </w:r>
      <w:r w:rsidR="00172A7F" w:rsidRPr="00BF77C6">
        <w:rPr>
          <w:rFonts w:eastAsia="Times New Roman"/>
          <w:snapToGrid w:val="0"/>
        </w:rPr>
        <w:t>$6,101,507</w:t>
      </w:r>
      <w:r w:rsidRPr="00BF77C6">
        <w:rPr>
          <w:rFonts w:eastAsia="Times New Roman"/>
          <w:snapToGrid w:val="0"/>
        </w:rPr>
        <w:t xml:space="preserve"> </w:t>
      </w:r>
      <w:r w:rsidR="00546B43">
        <w:rPr>
          <w:rFonts w:eastAsia="Times New Roman"/>
          <w:snapToGrid w:val="0"/>
        </w:rPr>
        <w:t>for CenterPoint</w:t>
      </w:r>
      <w:r w:rsidR="00202ED5">
        <w:rPr>
          <w:rFonts w:eastAsia="Times New Roman"/>
          <w:snapToGrid w:val="0"/>
        </w:rPr>
        <w:t xml:space="preserve"> Houston</w:t>
      </w:r>
      <w:r w:rsidR="00546B43">
        <w:rPr>
          <w:rFonts w:eastAsia="Times New Roman"/>
          <w:snapToGrid w:val="0"/>
        </w:rPr>
        <w:t>’s net</w:t>
      </w:r>
      <w:r w:rsidRPr="00BF77C6">
        <w:rPr>
          <w:rFonts w:eastAsia="Times New Roman"/>
          <w:snapToGrid w:val="0"/>
        </w:rPr>
        <w:t xml:space="preserve"> over-recovery</w:t>
      </w:r>
      <w:r w:rsidR="00172A7F" w:rsidRPr="00BF77C6">
        <w:rPr>
          <w:rFonts w:eastAsia="Times New Roman"/>
          <w:snapToGrid w:val="0"/>
        </w:rPr>
        <w:t>, including interest,</w:t>
      </w:r>
      <w:r w:rsidRPr="00BF77C6">
        <w:rPr>
          <w:rFonts w:eastAsia="Times New Roman"/>
          <w:snapToGrid w:val="0"/>
        </w:rPr>
        <w:t xml:space="preserve"> of program</w:t>
      </w:r>
      <w:r w:rsidR="00CF25F6" w:rsidRPr="00BF77C6">
        <w:rPr>
          <w:rFonts w:eastAsia="Times New Roman"/>
          <w:snapToGrid w:val="0"/>
        </w:rPr>
        <w:t xml:space="preserve"> </w:t>
      </w:r>
      <w:r w:rsidRPr="00BF77C6">
        <w:rPr>
          <w:rFonts w:eastAsia="Times New Roman"/>
          <w:snapToGrid w:val="0"/>
        </w:rPr>
        <w:t>year 201</w:t>
      </w:r>
      <w:r w:rsidR="00BC3B23" w:rsidRPr="00BF77C6">
        <w:rPr>
          <w:rFonts w:eastAsia="Times New Roman"/>
          <w:snapToGrid w:val="0"/>
        </w:rPr>
        <w:t>8</w:t>
      </w:r>
      <w:r w:rsidRPr="00BF77C6">
        <w:rPr>
          <w:rFonts w:eastAsia="Times New Roman"/>
          <w:snapToGrid w:val="0"/>
        </w:rPr>
        <w:t xml:space="preserve"> energy</w:t>
      </w:r>
      <w:r w:rsidR="00E60DEE" w:rsidRPr="00BF77C6">
        <w:rPr>
          <w:rFonts w:eastAsia="Times New Roman"/>
          <w:snapToGrid w:val="0"/>
        </w:rPr>
        <w:noBreakHyphen/>
      </w:r>
      <w:r w:rsidRPr="00BF77C6">
        <w:rPr>
          <w:rFonts w:eastAsia="Times New Roman"/>
          <w:snapToGrid w:val="0"/>
        </w:rPr>
        <w:t>efficiency costs;</w:t>
      </w:r>
    </w:p>
    <w:p w14:paraId="2A7511D7" w14:textId="658BC832" w:rsidR="00AC7A54" w:rsidRPr="00BF77C6" w:rsidRDefault="00525981" w:rsidP="00682DE5">
      <w:pPr>
        <w:numPr>
          <w:ilvl w:val="7"/>
          <w:numId w:val="4"/>
        </w:numPr>
        <w:tabs>
          <w:tab w:val="num" w:pos="1440"/>
        </w:tabs>
        <w:spacing w:before="120" w:after="120"/>
        <w:ind w:left="1440" w:hanging="720"/>
        <w:jc w:val="both"/>
        <w:rPr>
          <w:rFonts w:eastAsia="Times New Roman"/>
          <w:snapToGrid w:val="0"/>
        </w:rPr>
      </w:pPr>
      <w:r w:rsidRPr="00BF77C6">
        <w:rPr>
          <w:rFonts w:eastAsia="Times New Roman"/>
          <w:snapToGrid w:val="0"/>
        </w:rPr>
        <w:t>R</w:t>
      </w:r>
      <w:r w:rsidR="00AC7A54" w:rsidRPr="00BF77C6">
        <w:rPr>
          <w:rFonts w:eastAsia="Times New Roman"/>
          <w:snapToGrid w:val="0"/>
        </w:rPr>
        <w:t>ate</w:t>
      </w:r>
      <w:r w:rsidR="005656EF" w:rsidRPr="00BF77C6">
        <w:rPr>
          <w:rFonts w:eastAsia="Times New Roman"/>
          <w:snapToGrid w:val="0"/>
        </w:rPr>
        <w:t>-</w:t>
      </w:r>
      <w:r w:rsidR="00AC7A54" w:rsidRPr="00BF77C6">
        <w:rPr>
          <w:rFonts w:eastAsia="Times New Roman"/>
          <w:snapToGrid w:val="0"/>
        </w:rPr>
        <w:t>case</w:t>
      </w:r>
      <w:r w:rsidR="00B32C04" w:rsidRPr="00BF77C6">
        <w:rPr>
          <w:rFonts w:eastAsia="Times New Roman"/>
          <w:snapToGrid w:val="0"/>
        </w:rPr>
        <w:t xml:space="preserve"> </w:t>
      </w:r>
      <w:r w:rsidR="00AC7A54" w:rsidRPr="00BF77C6">
        <w:rPr>
          <w:rFonts w:eastAsia="Times New Roman"/>
          <w:snapToGrid w:val="0"/>
        </w:rPr>
        <w:t>expenses</w:t>
      </w:r>
      <w:r w:rsidRPr="00BF77C6">
        <w:rPr>
          <w:rFonts w:eastAsia="Times New Roman"/>
          <w:snapToGrid w:val="0"/>
        </w:rPr>
        <w:t xml:space="preserve"> in the amount of $93,211</w:t>
      </w:r>
      <w:r w:rsidR="00B32C04" w:rsidRPr="00BF77C6">
        <w:rPr>
          <w:rFonts w:eastAsia="Times New Roman"/>
          <w:snapToGrid w:val="0"/>
        </w:rPr>
        <w:t xml:space="preserve"> ($59,266 for CenterPoint Houston, $16,536 for the Gulf Coast Coalition of Cities, and $17,410 for the City of Houston)</w:t>
      </w:r>
      <w:r w:rsidR="006E6CAC" w:rsidRPr="00BF77C6">
        <w:rPr>
          <w:rFonts w:eastAsia="Times New Roman"/>
          <w:snapToGrid w:val="0"/>
        </w:rPr>
        <w:t xml:space="preserve"> for participation in Docket No.</w:t>
      </w:r>
      <w:r w:rsidR="00B32C04" w:rsidRPr="00BF77C6">
        <w:rPr>
          <w:rFonts w:eastAsia="Times New Roman"/>
          <w:snapToGrid w:val="0"/>
        </w:rPr>
        <w:t> </w:t>
      </w:r>
      <w:r w:rsidR="006E6CAC" w:rsidRPr="00BF77C6">
        <w:rPr>
          <w:rFonts w:eastAsia="Times New Roman"/>
          <w:snapToGrid w:val="0"/>
        </w:rPr>
        <w:t>48420,</w:t>
      </w:r>
      <w:r w:rsidR="00473195" w:rsidRPr="00BF77C6">
        <w:rPr>
          <w:rStyle w:val="FootnoteReference"/>
          <w:rFonts w:eastAsia="Times New Roman"/>
          <w:snapToGrid w:val="0"/>
        </w:rPr>
        <w:footnoteReference w:id="1"/>
      </w:r>
      <w:r w:rsidR="006E6CAC" w:rsidRPr="00BF77C6">
        <w:rPr>
          <w:rFonts w:eastAsia="Times New Roman"/>
          <w:snapToGrid w:val="0"/>
        </w:rPr>
        <w:t xml:space="preserve"> CenterPoint Houston’s 2018 EECRF proceeding</w:t>
      </w:r>
      <w:r w:rsidR="00FF5E09" w:rsidRPr="00BF77C6">
        <w:rPr>
          <w:rFonts w:eastAsia="Times New Roman"/>
          <w:snapToGrid w:val="0"/>
        </w:rPr>
        <w:t>; and</w:t>
      </w:r>
    </w:p>
    <w:p w14:paraId="6A26DFD5" w14:textId="2F803558" w:rsidR="00E83082" w:rsidRPr="00BF77C6" w:rsidRDefault="00AC7A54" w:rsidP="00AA6218">
      <w:pPr>
        <w:numPr>
          <w:ilvl w:val="7"/>
          <w:numId w:val="4"/>
        </w:numPr>
        <w:tabs>
          <w:tab w:val="num" w:pos="1440"/>
        </w:tabs>
        <w:spacing w:before="120" w:after="120"/>
        <w:ind w:left="1440" w:hanging="720"/>
        <w:jc w:val="both"/>
        <w:rPr>
          <w:rFonts w:eastAsia="Arial"/>
        </w:rPr>
      </w:pPr>
      <w:r w:rsidRPr="00BF77C6">
        <w:rPr>
          <w:rFonts w:eastAsia="Times New Roman"/>
          <w:snapToGrid w:val="0"/>
        </w:rPr>
        <w:t>A performance bonus of $</w:t>
      </w:r>
      <w:r w:rsidR="00BC3B23" w:rsidRPr="00BF77C6">
        <w:rPr>
          <w:rFonts w:eastAsia="Times New Roman"/>
          <w:snapToGrid w:val="0"/>
        </w:rPr>
        <w:t>6,738,428</w:t>
      </w:r>
      <w:r w:rsidRPr="00BF77C6">
        <w:rPr>
          <w:rFonts w:eastAsia="Times New Roman"/>
          <w:snapToGrid w:val="0"/>
        </w:rPr>
        <w:t>.</w:t>
      </w:r>
    </w:p>
    <w:p w14:paraId="7065DD92" w14:textId="648B4303" w:rsidR="008E329D" w:rsidRPr="00BF77C6" w:rsidRDefault="008E329D" w:rsidP="00517339">
      <w:pPr>
        <w:pStyle w:val="FOFNumbered"/>
      </w:pPr>
      <w:r w:rsidRPr="00BF77C6">
        <w:t xml:space="preserve">In State Office of Administrative Hearings (SOAH) Order No. </w:t>
      </w:r>
      <w:r w:rsidR="00BC3B23" w:rsidRPr="00BF77C6">
        <w:t>3</w:t>
      </w:r>
      <w:r w:rsidRPr="00BF77C6">
        <w:t xml:space="preserve"> issued Ju</w:t>
      </w:r>
      <w:r w:rsidR="00BC3B23" w:rsidRPr="00BF77C6">
        <w:t>ly 8</w:t>
      </w:r>
      <w:r w:rsidRPr="00BF77C6">
        <w:t>, 201</w:t>
      </w:r>
      <w:r w:rsidR="00BC3B23" w:rsidRPr="00BF77C6">
        <w:t>9</w:t>
      </w:r>
      <w:r w:rsidRPr="00BF77C6">
        <w:t xml:space="preserve">, the SOAH administrative law judge (ALJ) found the application </w:t>
      </w:r>
      <w:proofErr w:type="gramStart"/>
      <w:r w:rsidRPr="00BF77C6">
        <w:t>sufficient</w:t>
      </w:r>
      <w:proofErr w:type="gramEnd"/>
      <w:r w:rsidRPr="00BF77C6">
        <w:t>.</w:t>
      </w:r>
    </w:p>
    <w:p w14:paraId="0EF21929" w14:textId="76D704B0" w:rsidR="00AC7A54" w:rsidRPr="00BF77C6" w:rsidRDefault="00AC7A54" w:rsidP="009D1920">
      <w:pPr>
        <w:pStyle w:val="Heading7"/>
        <w:rPr>
          <w:rFonts w:eastAsia="Times New Roman"/>
          <w:snapToGrid w:val="0"/>
          <w:szCs w:val="20"/>
        </w:rPr>
      </w:pPr>
      <w:r w:rsidRPr="00BF77C6">
        <w:rPr>
          <w:rFonts w:eastAsia="Times New Roman"/>
          <w:snapToGrid w:val="0"/>
        </w:rPr>
        <w:t xml:space="preserve">Notice </w:t>
      </w:r>
      <w:r w:rsidRPr="00BF77C6">
        <w:rPr>
          <w:rFonts w:eastAsia="Times New Roman"/>
          <w:b w:val="0"/>
          <w:snapToGrid w:val="0"/>
          <w:sz w:val="16"/>
          <w:szCs w:val="16"/>
        </w:rPr>
        <w:t>16 TAC §§ 22.55 and 25.18</w:t>
      </w:r>
      <w:r w:rsidR="00D92613" w:rsidRPr="00BF77C6">
        <w:rPr>
          <w:rFonts w:eastAsia="Times New Roman"/>
          <w:b w:val="0"/>
          <w:snapToGrid w:val="0"/>
          <w:sz w:val="16"/>
          <w:szCs w:val="16"/>
        </w:rPr>
        <w:t>2</w:t>
      </w:r>
      <w:r w:rsidRPr="00BF77C6">
        <w:rPr>
          <w:rFonts w:eastAsia="Times New Roman"/>
          <w:b w:val="0"/>
          <w:snapToGrid w:val="0"/>
          <w:sz w:val="16"/>
          <w:szCs w:val="16"/>
        </w:rPr>
        <w:t>(</w:t>
      </w:r>
      <w:r w:rsidR="00D92613" w:rsidRPr="00BF77C6">
        <w:rPr>
          <w:rFonts w:eastAsia="Times New Roman"/>
          <w:b w:val="0"/>
          <w:snapToGrid w:val="0"/>
          <w:sz w:val="16"/>
          <w:szCs w:val="16"/>
        </w:rPr>
        <w:t>d</w:t>
      </w:r>
      <w:r w:rsidRPr="00BF77C6">
        <w:rPr>
          <w:rFonts w:eastAsia="Times New Roman"/>
          <w:b w:val="0"/>
          <w:snapToGrid w:val="0"/>
          <w:sz w:val="16"/>
          <w:szCs w:val="16"/>
        </w:rPr>
        <w:t>)(13), (14)</w:t>
      </w:r>
    </w:p>
    <w:p w14:paraId="78BBFBC1" w14:textId="268F6559" w:rsidR="00AC7A54" w:rsidRPr="00BF77C6" w:rsidRDefault="00AC7A54" w:rsidP="00517339">
      <w:pPr>
        <w:pStyle w:val="FOFNumbered"/>
      </w:pPr>
      <w:r w:rsidRPr="00BF77C6">
        <w:t xml:space="preserve">On </w:t>
      </w:r>
      <w:r w:rsidR="00D92613" w:rsidRPr="00BF77C6">
        <w:t>May 31</w:t>
      </w:r>
      <w:r w:rsidRPr="00BF77C6">
        <w:t>, 201</w:t>
      </w:r>
      <w:r w:rsidR="00D92613" w:rsidRPr="00BF77C6">
        <w:t>9</w:t>
      </w:r>
      <w:r w:rsidRPr="00BF77C6">
        <w:t>, CenterPoint Houston provided notice by first</w:t>
      </w:r>
      <w:r w:rsidR="000079A2" w:rsidRPr="00BF77C6">
        <w:t>-</w:t>
      </w:r>
      <w:r w:rsidRPr="00BF77C6">
        <w:t xml:space="preserve">class mail to </w:t>
      </w:r>
      <w:r w:rsidR="00C81B05" w:rsidRPr="00BF77C6">
        <w:t xml:space="preserve">the following: </w:t>
      </w:r>
      <w:r w:rsidRPr="00BF77C6">
        <w:t xml:space="preserve">each party that participated in </w:t>
      </w:r>
      <w:r w:rsidR="000079A2" w:rsidRPr="00BF77C6">
        <w:t>Docket N</w:t>
      </w:r>
      <w:r w:rsidR="00BF4ED5" w:rsidRPr="00BF77C6">
        <w:t>o</w:t>
      </w:r>
      <w:r w:rsidR="000079A2" w:rsidRPr="00BF77C6">
        <w:t>. 48420</w:t>
      </w:r>
      <w:r w:rsidR="00BF4ED5" w:rsidRPr="00BF77C6">
        <w:t>;</w:t>
      </w:r>
      <w:r w:rsidR="00AA1A78" w:rsidRPr="00BF77C6">
        <w:t xml:space="preserve"> all</w:t>
      </w:r>
      <w:r w:rsidR="00566738" w:rsidRPr="00BF77C6">
        <w:t xml:space="preserve"> retail electric providers</w:t>
      </w:r>
      <w:r w:rsidRPr="00BF77C6">
        <w:t xml:space="preserve"> that </w:t>
      </w:r>
      <w:r w:rsidR="00F70E3F">
        <w:t>we</w:t>
      </w:r>
      <w:r w:rsidRPr="00BF77C6">
        <w:t>re authorized to provide service in CenterPoint Houston’s service area at the time the EECRF application was filed</w:t>
      </w:r>
      <w:r w:rsidR="00C81B05" w:rsidRPr="00BF77C6">
        <w:t>;</w:t>
      </w:r>
      <w:r w:rsidRPr="00BF77C6">
        <w:t xml:space="preserve"> all parties that participated in CenterPoint Houston’s most recent base</w:t>
      </w:r>
      <w:r w:rsidR="00AA1A78" w:rsidRPr="00BF77C6">
        <w:t>-</w:t>
      </w:r>
      <w:r w:rsidRPr="00BF77C6">
        <w:t>rate case</w:t>
      </w:r>
      <w:r w:rsidR="006B2AC3" w:rsidRPr="00BF77C6">
        <w:t xml:space="preserve"> in Docket No. 38339</w:t>
      </w:r>
      <w:r w:rsidR="00C81B05" w:rsidRPr="00BF77C6">
        <w:t>;</w:t>
      </w:r>
      <w:r w:rsidR="006B2AC3" w:rsidRPr="00BF77C6">
        <w:rPr>
          <w:vertAlign w:val="superscript"/>
        </w:rPr>
        <w:footnoteReference w:id="2"/>
      </w:r>
      <w:r w:rsidRPr="00BF77C6">
        <w:t xml:space="preserve"> and</w:t>
      </w:r>
      <w:r w:rsidR="00682DE5" w:rsidRPr="00BF77C6">
        <w:t xml:space="preserve"> </w:t>
      </w:r>
      <w:r w:rsidRPr="00BF77C6">
        <w:t xml:space="preserve">the </w:t>
      </w:r>
      <w:r w:rsidR="006B2AC3" w:rsidRPr="00BF77C6">
        <w:t>Texas Department of Housing and Community Affairs</w:t>
      </w:r>
      <w:r w:rsidRPr="00BF77C6">
        <w:t>, which is the</w:t>
      </w:r>
      <w:r w:rsidR="006B2AC3" w:rsidRPr="00BF77C6">
        <w:t xml:space="preserve"> state agency that administers the federal weatherization program</w:t>
      </w:r>
      <w:r w:rsidRPr="00BF77C6">
        <w:t>.</w:t>
      </w:r>
      <w:r w:rsidR="00C81B05" w:rsidRPr="00BF77C6">
        <w:t xml:space="preserve">  In an affidavit filed by CenterPoint Houston on June 6, 2019, </w:t>
      </w:r>
      <w:r w:rsidR="0092118E" w:rsidRPr="00BF77C6">
        <w:t>Alice S. Hart,</w:t>
      </w:r>
      <w:r w:rsidR="008B0C40" w:rsidRPr="00BF77C6">
        <w:t xml:space="preserve"> </w:t>
      </w:r>
      <w:r w:rsidR="0092118E" w:rsidRPr="00BF77C6">
        <w:t xml:space="preserve">supervisor of regulatory </w:t>
      </w:r>
      <w:r w:rsidR="00BF4ED5" w:rsidRPr="00BF77C6">
        <w:t xml:space="preserve">support </w:t>
      </w:r>
      <w:r w:rsidR="0092118E" w:rsidRPr="00BF77C6">
        <w:t>services</w:t>
      </w:r>
      <w:r w:rsidR="0018700E" w:rsidRPr="00BF77C6">
        <w:t xml:space="preserve"> for CenterPoint Energy Service Company, LLC</w:t>
      </w:r>
      <w:r w:rsidR="00BF4ED5" w:rsidRPr="00BF77C6">
        <w:t>, attested that notice was provided as described in this finding of fact.</w:t>
      </w:r>
    </w:p>
    <w:p w14:paraId="4756B41F" w14:textId="3C42120F" w:rsidR="00702D41" w:rsidRPr="00BF77C6" w:rsidRDefault="00702D41" w:rsidP="00517339">
      <w:pPr>
        <w:pStyle w:val="FOFNumbered"/>
      </w:pPr>
      <w:r w:rsidRPr="00BF77C6">
        <w:t>No party objected to the adequacy of notice</w:t>
      </w:r>
      <w:r w:rsidR="007457A9" w:rsidRPr="00BF77C6">
        <w:t xml:space="preserve"> of the application</w:t>
      </w:r>
      <w:r w:rsidRPr="00BF77C6">
        <w:t>.</w:t>
      </w:r>
    </w:p>
    <w:p w14:paraId="15D9FD22" w14:textId="388A680C" w:rsidR="00AC7A54" w:rsidRPr="00BF77C6" w:rsidRDefault="00AC7A54" w:rsidP="00517339">
      <w:pPr>
        <w:pStyle w:val="FOFNumbered"/>
      </w:pPr>
      <w:r w:rsidRPr="00BF77C6">
        <w:lastRenderedPageBreak/>
        <w:t xml:space="preserve">In SOAH Order No. </w:t>
      </w:r>
      <w:r w:rsidR="00D92613" w:rsidRPr="00BF77C6">
        <w:t>3</w:t>
      </w:r>
      <w:r w:rsidRPr="00BF77C6">
        <w:t xml:space="preserve"> issued Ju</w:t>
      </w:r>
      <w:r w:rsidR="00D92613" w:rsidRPr="00BF77C6">
        <w:t>ly 8</w:t>
      </w:r>
      <w:r w:rsidRPr="00BF77C6">
        <w:t>, 201</w:t>
      </w:r>
      <w:r w:rsidR="00D92613" w:rsidRPr="00BF77C6">
        <w:t>9</w:t>
      </w:r>
      <w:r w:rsidRPr="00BF77C6">
        <w:t xml:space="preserve">, the </w:t>
      </w:r>
      <w:r w:rsidR="00566738" w:rsidRPr="00BF77C6">
        <w:t xml:space="preserve">SOAH </w:t>
      </w:r>
      <w:r w:rsidRPr="00BF77C6">
        <w:t xml:space="preserve">ALJ deemed CenterPoint Houston’s </w:t>
      </w:r>
      <w:r w:rsidR="0064364B" w:rsidRPr="00BF77C6">
        <w:t xml:space="preserve">notice of the </w:t>
      </w:r>
      <w:r w:rsidRPr="00BF77C6">
        <w:t xml:space="preserve">application </w:t>
      </w:r>
      <w:proofErr w:type="gramStart"/>
      <w:r w:rsidRPr="00BF77C6">
        <w:t>sufficient</w:t>
      </w:r>
      <w:proofErr w:type="gramEnd"/>
      <w:r w:rsidRPr="00BF77C6">
        <w:t>.</w:t>
      </w:r>
    </w:p>
    <w:p w14:paraId="66D0ACE2" w14:textId="7747982F" w:rsidR="00AC7A54" w:rsidRPr="00BF77C6" w:rsidRDefault="00AC7A54" w:rsidP="009D1920">
      <w:pPr>
        <w:pStyle w:val="Heading7"/>
        <w:rPr>
          <w:rFonts w:eastAsia="Times New Roman"/>
          <w:snapToGrid w:val="0"/>
          <w:szCs w:val="20"/>
        </w:rPr>
      </w:pPr>
      <w:r w:rsidRPr="00BF77C6">
        <w:rPr>
          <w:rFonts w:eastAsia="Times New Roman"/>
          <w:snapToGrid w:val="0"/>
        </w:rPr>
        <w:t xml:space="preserve">Intervenors and Intervenor Alignment </w:t>
      </w:r>
      <w:r w:rsidRPr="00BF77C6">
        <w:rPr>
          <w:rFonts w:eastAsia="Times New Roman"/>
          <w:b w:val="0"/>
          <w:snapToGrid w:val="0"/>
          <w:sz w:val="16"/>
          <w:szCs w:val="16"/>
        </w:rPr>
        <w:t>16 TAC §§ 22.103</w:t>
      </w:r>
      <w:r w:rsidR="00C83EA6" w:rsidRPr="00BF77C6">
        <w:rPr>
          <w:rFonts w:eastAsia="Times New Roman"/>
          <w:b w:val="0"/>
          <w:snapToGrid w:val="0"/>
          <w:sz w:val="16"/>
          <w:szCs w:val="16"/>
        </w:rPr>
        <w:t>–</w:t>
      </w:r>
      <w:r w:rsidRPr="00BF77C6">
        <w:rPr>
          <w:rFonts w:eastAsia="Times New Roman"/>
          <w:b w:val="0"/>
          <w:snapToGrid w:val="0"/>
          <w:sz w:val="16"/>
          <w:szCs w:val="16"/>
        </w:rPr>
        <w:t>22.105</w:t>
      </w:r>
    </w:p>
    <w:p w14:paraId="6E854865" w14:textId="77777777" w:rsidR="00AC7A54" w:rsidRPr="00BF77C6" w:rsidRDefault="00AC7A54" w:rsidP="00DE1244">
      <w:pPr>
        <w:pStyle w:val="FOFNumbered"/>
      </w:pPr>
      <w:r w:rsidRPr="00BF77C6">
        <w:t>Commission Staff participated in this docket.</w:t>
      </w:r>
    </w:p>
    <w:p w14:paraId="0A3732EC" w14:textId="30C67624" w:rsidR="00AC7A54" w:rsidRPr="00BF77C6" w:rsidRDefault="00D66903" w:rsidP="00517339">
      <w:pPr>
        <w:pStyle w:val="FOFNumbered"/>
      </w:pPr>
      <w:r w:rsidRPr="00BF77C6">
        <w:t xml:space="preserve">In SOAH Order No. 2 issued </w:t>
      </w:r>
      <w:r w:rsidR="00AC7A54" w:rsidRPr="00BF77C6">
        <w:t>June 18, 201</w:t>
      </w:r>
      <w:r w:rsidR="00D92613" w:rsidRPr="00BF77C6">
        <w:t>9</w:t>
      </w:r>
      <w:r w:rsidR="00AC7A54" w:rsidRPr="00BF77C6">
        <w:t xml:space="preserve">, </w:t>
      </w:r>
      <w:r w:rsidRPr="00BF77C6">
        <w:t xml:space="preserve">the </w:t>
      </w:r>
      <w:r w:rsidR="00AC7A54" w:rsidRPr="00BF77C6">
        <w:t xml:space="preserve">SOAH </w:t>
      </w:r>
      <w:r w:rsidRPr="00BF77C6">
        <w:t xml:space="preserve">ALJ </w:t>
      </w:r>
      <w:r w:rsidR="00AC28E8" w:rsidRPr="00BF77C6">
        <w:t>granted</w:t>
      </w:r>
      <w:r w:rsidR="00AC7A54" w:rsidRPr="00BF77C6">
        <w:t xml:space="preserve"> the</w:t>
      </w:r>
      <w:r w:rsidR="00AC28E8" w:rsidRPr="00BF77C6">
        <w:t xml:space="preserve"> </w:t>
      </w:r>
      <w:r w:rsidR="00AC7A54" w:rsidRPr="00BF77C6">
        <w:t>Gulf Coast Coalition of Cities</w:t>
      </w:r>
      <w:r w:rsidR="00D3040F" w:rsidRPr="00BF77C6">
        <w:t>’</w:t>
      </w:r>
      <w:r w:rsidR="00AC7A54" w:rsidRPr="00BF77C6">
        <w:t xml:space="preserve"> </w:t>
      </w:r>
      <w:r w:rsidR="00BF3F26" w:rsidRPr="00BF77C6">
        <w:t>motion to intervene.</w:t>
      </w:r>
    </w:p>
    <w:p w14:paraId="2F62EE89" w14:textId="77777777" w:rsidR="00AC7A54" w:rsidRPr="00BF77C6" w:rsidRDefault="00AC7A54" w:rsidP="009D1920">
      <w:pPr>
        <w:pStyle w:val="Heading7"/>
        <w:rPr>
          <w:rFonts w:eastAsia="Times New Roman"/>
        </w:rPr>
      </w:pPr>
      <w:r w:rsidRPr="00BF77C6">
        <w:t>Statement</w:t>
      </w:r>
      <w:r w:rsidR="00FF6DE1" w:rsidRPr="00BF77C6">
        <w:t>s</w:t>
      </w:r>
      <w:r w:rsidRPr="00BF77C6">
        <w:t xml:space="preserve"> of Position and Pre-filed Testimony</w:t>
      </w:r>
      <w:r w:rsidRPr="00BF77C6">
        <w:rPr>
          <w:rFonts w:eastAsia="Times New Roman"/>
          <w:snapToGrid w:val="0"/>
        </w:rPr>
        <w:t xml:space="preserve"> </w:t>
      </w:r>
      <w:r w:rsidRPr="00BF77C6">
        <w:rPr>
          <w:rFonts w:eastAsia="Times New Roman"/>
          <w:b w:val="0"/>
          <w:snapToGrid w:val="0"/>
          <w:sz w:val="16"/>
          <w:szCs w:val="16"/>
        </w:rPr>
        <w:t>16 TAC §§ 22.124 and 22.225</w:t>
      </w:r>
    </w:p>
    <w:p w14:paraId="37F9C7C8" w14:textId="0C8FF8DE" w:rsidR="00AC7A54" w:rsidRPr="00BF77C6" w:rsidRDefault="00F60737" w:rsidP="00E72D30">
      <w:pPr>
        <w:pStyle w:val="FOFNumbered"/>
      </w:pPr>
      <w:r w:rsidRPr="00BF77C6">
        <w:t>As part of the application filed o</w:t>
      </w:r>
      <w:r w:rsidR="00AC7A54" w:rsidRPr="00BF77C6">
        <w:t xml:space="preserve">n </w:t>
      </w:r>
      <w:r w:rsidR="00B165F6" w:rsidRPr="00BF77C6">
        <w:t>May 31</w:t>
      </w:r>
      <w:r w:rsidR="00AC7A54" w:rsidRPr="00BF77C6">
        <w:t>, 201</w:t>
      </w:r>
      <w:r w:rsidR="00B165F6" w:rsidRPr="00BF77C6">
        <w:t>9</w:t>
      </w:r>
      <w:r w:rsidR="00AC7A54" w:rsidRPr="00BF77C6">
        <w:t xml:space="preserve">, CenterPoint Houston </w:t>
      </w:r>
      <w:r w:rsidR="00340903" w:rsidRPr="00BF77C6">
        <w:t xml:space="preserve">provided </w:t>
      </w:r>
      <w:r w:rsidR="00AC7A54" w:rsidRPr="00BF77C6">
        <w:t>the direct testimonies, e</w:t>
      </w:r>
      <w:r w:rsidR="00AC28E8" w:rsidRPr="00BF77C6">
        <w:t xml:space="preserve">xhibits, and workpapers of </w:t>
      </w:r>
      <w:r w:rsidR="00B165F6" w:rsidRPr="00BF77C6">
        <w:t>Shea A. Richardson</w:t>
      </w:r>
      <w:r w:rsidR="00F7515B" w:rsidRPr="00BF77C6">
        <w:t>, CenterPoint Houston’s manager of energy-efficiency compliance,</w:t>
      </w:r>
      <w:r w:rsidR="00B165F6" w:rsidRPr="00BF77C6">
        <w:t xml:space="preserve"> and </w:t>
      </w:r>
      <w:r w:rsidR="00AC28E8" w:rsidRPr="00BF77C6">
        <w:t>John</w:t>
      </w:r>
      <w:r w:rsidR="00AC7A54" w:rsidRPr="00BF77C6">
        <w:t xml:space="preserve"> R. Durland</w:t>
      </w:r>
      <w:r w:rsidR="00E14AD1" w:rsidRPr="00BF77C6">
        <w:t>, manager of rates for CenterPoint Energy Service Company, LLC</w:t>
      </w:r>
      <w:r w:rsidR="00AC7A54" w:rsidRPr="00BF77C6">
        <w:t>.</w:t>
      </w:r>
    </w:p>
    <w:p w14:paraId="64BDB934" w14:textId="1D0BC15A" w:rsidR="003E30D4" w:rsidRPr="00BF77C6" w:rsidRDefault="003E30D4" w:rsidP="00517339">
      <w:pPr>
        <w:pStyle w:val="FOFNumbered"/>
      </w:pPr>
      <w:r w:rsidRPr="00BF77C6">
        <w:t xml:space="preserve">On August 1, 2019, </w:t>
      </w:r>
      <w:r w:rsidR="00D3040F" w:rsidRPr="00BF77C6">
        <w:t xml:space="preserve">the Gulf Coast Coalition of Cities </w:t>
      </w:r>
      <w:r w:rsidRPr="00BF77C6">
        <w:t>filed the direct testimony of Karl J. Nalepa</w:t>
      </w:r>
      <w:r w:rsidR="00B423B2" w:rsidRPr="00BF77C6">
        <w:t xml:space="preserve"> and the affidavit of attorney Thomas L. Brocato in support of </w:t>
      </w:r>
      <w:r w:rsidR="00B14960" w:rsidRPr="00BF77C6">
        <w:t>its requested rate</w:t>
      </w:r>
      <w:r w:rsidR="00F050E9" w:rsidRPr="00BF77C6">
        <w:noBreakHyphen/>
      </w:r>
      <w:r w:rsidR="00B14960" w:rsidRPr="00BF77C6">
        <w:t>case expenses from Docket No. 48420</w:t>
      </w:r>
      <w:r w:rsidRPr="00BF77C6">
        <w:t>.</w:t>
      </w:r>
    </w:p>
    <w:p w14:paraId="71085775" w14:textId="7ABB8DFD" w:rsidR="0095034E" w:rsidRPr="00BF77C6" w:rsidRDefault="0095034E" w:rsidP="00517339">
      <w:pPr>
        <w:pStyle w:val="FOFNumbered"/>
      </w:pPr>
      <w:r w:rsidRPr="00BF77C6">
        <w:t xml:space="preserve">On </w:t>
      </w:r>
      <w:r w:rsidR="00682DE5" w:rsidRPr="00BF77C6">
        <w:t>August 14,</w:t>
      </w:r>
      <w:r w:rsidRPr="00BF77C6">
        <w:t xml:space="preserve"> 201</w:t>
      </w:r>
      <w:r w:rsidR="00B165F6" w:rsidRPr="00BF77C6">
        <w:t>9</w:t>
      </w:r>
      <w:r w:rsidRPr="00BF77C6">
        <w:t xml:space="preserve">, Commission Staff filed the affidavits of </w:t>
      </w:r>
      <w:r w:rsidR="003E30D4" w:rsidRPr="00BF77C6">
        <w:t>Alicia Maloy, Joe Luna</w:t>
      </w:r>
      <w:r w:rsidR="00ED4DFF">
        <w:t>,</w:t>
      </w:r>
      <w:r w:rsidR="003E30D4" w:rsidRPr="00BF77C6">
        <w:t xml:space="preserve"> and Brian Murphy</w:t>
      </w:r>
      <w:r w:rsidRPr="00BF77C6">
        <w:t xml:space="preserve"> </w:t>
      </w:r>
      <w:r w:rsidR="00B14960" w:rsidRPr="00BF77C6">
        <w:t xml:space="preserve">in </w:t>
      </w:r>
      <w:r w:rsidRPr="00BF77C6">
        <w:t>support</w:t>
      </w:r>
      <w:r w:rsidR="00B14960" w:rsidRPr="00BF77C6">
        <w:t xml:space="preserve"> of</w:t>
      </w:r>
      <w:r w:rsidRPr="00BF77C6">
        <w:t xml:space="preserve"> the agreement. </w:t>
      </w:r>
    </w:p>
    <w:p w14:paraId="4BBE44F4" w14:textId="6AD8C447" w:rsidR="00AC7A54" w:rsidRPr="00BF77C6" w:rsidRDefault="00AC7A54" w:rsidP="009D1920">
      <w:pPr>
        <w:pStyle w:val="Heading7"/>
        <w:rPr>
          <w:rFonts w:eastAsia="Times New Roman"/>
          <w:snapToGrid w:val="0"/>
        </w:rPr>
      </w:pPr>
      <w:r w:rsidRPr="00BF77C6">
        <w:rPr>
          <w:rFonts w:eastAsia="Times New Roman"/>
          <w:snapToGrid w:val="0"/>
        </w:rPr>
        <w:t>Referral to SOAH</w:t>
      </w:r>
      <w:r w:rsidR="00B14960" w:rsidRPr="00BF77C6">
        <w:rPr>
          <w:rFonts w:eastAsia="Times New Roman"/>
          <w:snapToGrid w:val="0"/>
        </w:rPr>
        <w:t xml:space="preserve"> for Hearing</w:t>
      </w:r>
      <w:r w:rsidRPr="00BF77C6">
        <w:rPr>
          <w:rFonts w:eastAsia="Times New Roman"/>
          <w:snapToGrid w:val="0"/>
          <w:sz w:val="16"/>
          <w:szCs w:val="16"/>
        </w:rPr>
        <w:t xml:space="preserve"> </w:t>
      </w:r>
      <w:r w:rsidRPr="00BF77C6">
        <w:rPr>
          <w:rFonts w:eastAsia="Times New Roman"/>
          <w:b w:val="0"/>
          <w:snapToGrid w:val="0"/>
          <w:sz w:val="16"/>
          <w:szCs w:val="16"/>
        </w:rPr>
        <w:t>16 TAC §§ 22.121 and 25.18</w:t>
      </w:r>
      <w:r w:rsidR="00B165F6" w:rsidRPr="00BF77C6">
        <w:rPr>
          <w:rFonts w:eastAsia="Times New Roman"/>
          <w:b w:val="0"/>
          <w:snapToGrid w:val="0"/>
          <w:sz w:val="16"/>
          <w:szCs w:val="16"/>
        </w:rPr>
        <w:t>2</w:t>
      </w:r>
      <w:r w:rsidRPr="00BF77C6">
        <w:rPr>
          <w:rFonts w:eastAsia="Times New Roman"/>
          <w:b w:val="0"/>
          <w:snapToGrid w:val="0"/>
          <w:sz w:val="16"/>
          <w:szCs w:val="16"/>
        </w:rPr>
        <w:t>(</w:t>
      </w:r>
      <w:r w:rsidR="00B165F6" w:rsidRPr="00BF77C6">
        <w:rPr>
          <w:rFonts w:eastAsia="Times New Roman"/>
          <w:b w:val="0"/>
          <w:snapToGrid w:val="0"/>
          <w:sz w:val="16"/>
          <w:szCs w:val="16"/>
        </w:rPr>
        <w:t>d</w:t>
      </w:r>
      <w:r w:rsidRPr="00BF77C6">
        <w:rPr>
          <w:rFonts w:eastAsia="Times New Roman"/>
          <w:b w:val="0"/>
          <w:snapToGrid w:val="0"/>
          <w:sz w:val="16"/>
          <w:szCs w:val="16"/>
        </w:rPr>
        <w:t>)(9)</w:t>
      </w:r>
    </w:p>
    <w:p w14:paraId="5D6816E9" w14:textId="2B435AA9" w:rsidR="00AC7A54" w:rsidRPr="00BF77C6" w:rsidRDefault="00AC7A54" w:rsidP="00517339">
      <w:pPr>
        <w:pStyle w:val="FOFNumbered"/>
      </w:pPr>
      <w:r w:rsidRPr="00BF77C6">
        <w:t xml:space="preserve">On June </w:t>
      </w:r>
      <w:r w:rsidR="00B165F6" w:rsidRPr="00BF77C6">
        <w:t>3</w:t>
      </w:r>
      <w:r w:rsidRPr="00BF77C6">
        <w:t>, 201</w:t>
      </w:r>
      <w:r w:rsidR="00B165F6" w:rsidRPr="00BF77C6">
        <w:t>9</w:t>
      </w:r>
      <w:r w:rsidRPr="00BF77C6">
        <w:t>, the Commission referred this docket to SOAH.</w:t>
      </w:r>
    </w:p>
    <w:p w14:paraId="16F61C8D" w14:textId="51F9C9CE" w:rsidR="007D5045" w:rsidRPr="00BF77C6" w:rsidRDefault="007D5045" w:rsidP="00517339">
      <w:pPr>
        <w:pStyle w:val="FOFNumbered"/>
      </w:pPr>
      <w:r w:rsidRPr="00BF77C6">
        <w:t>On June 1</w:t>
      </w:r>
      <w:r w:rsidR="005D5A97" w:rsidRPr="00BF77C6">
        <w:t>2</w:t>
      </w:r>
      <w:r w:rsidRPr="00BF77C6">
        <w:t>, 2019, Commission Staff requested a hearing</w:t>
      </w:r>
      <w:r w:rsidR="00D76427" w:rsidRPr="00BF77C6">
        <w:t xml:space="preserve"> on the merits</w:t>
      </w:r>
      <w:r w:rsidRPr="00BF77C6">
        <w:t>.</w:t>
      </w:r>
    </w:p>
    <w:p w14:paraId="2E12837E" w14:textId="420EA849" w:rsidR="00AC7A54" w:rsidRPr="00BF77C6" w:rsidRDefault="00AC7A54" w:rsidP="00517339">
      <w:pPr>
        <w:pStyle w:val="FOFNumbered"/>
      </w:pPr>
      <w:r w:rsidRPr="00BF77C6">
        <w:t xml:space="preserve">On June </w:t>
      </w:r>
      <w:r w:rsidR="00B165F6" w:rsidRPr="00BF77C6">
        <w:t>2</w:t>
      </w:r>
      <w:r w:rsidR="005D5A97" w:rsidRPr="00BF77C6">
        <w:t>7</w:t>
      </w:r>
      <w:r w:rsidRPr="00BF77C6">
        <w:t>, 201</w:t>
      </w:r>
      <w:r w:rsidR="00B165F6" w:rsidRPr="00BF77C6">
        <w:t>9</w:t>
      </w:r>
      <w:r w:rsidRPr="00BF77C6">
        <w:t xml:space="preserve">, the Commission issued </w:t>
      </w:r>
      <w:r w:rsidR="00682DE5" w:rsidRPr="00BF77C6">
        <w:t>a</w:t>
      </w:r>
      <w:r w:rsidRPr="00BF77C6">
        <w:t xml:space="preserve"> </w:t>
      </w:r>
      <w:r w:rsidR="00682DE5" w:rsidRPr="00BF77C6">
        <w:t xml:space="preserve">preliminary order </w:t>
      </w:r>
      <w:r w:rsidRPr="00BF77C6">
        <w:t>identifying the issues to be addressed in this proceeding.</w:t>
      </w:r>
    </w:p>
    <w:p w14:paraId="174B4787" w14:textId="3C623EC8" w:rsidR="00AC7A54" w:rsidRPr="00BF77C6" w:rsidRDefault="00077000" w:rsidP="00517339">
      <w:pPr>
        <w:pStyle w:val="FOFNumbered"/>
      </w:pPr>
      <w:r w:rsidRPr="00BF77C6">
        <w:t xml:space="preserve">In SOAH Order No. </w:t>
      </w:r>
      <w:r w:rsidR="00B165F6" w:rsidRPr="00BF77C6">
        <w:t>3</w:t>
      </w:r>
      <w:r w:rsidRPr="00BF77C6">
        <w:t xml:space="preserve"> issued </w:t>
      </w:r>
      <w:r w:rsidR="00AC7A54" w:rsidRPr="00BF77C6">
        <w:t>Ju</w:t>
      </w:r>
      <w:r w:rsidR="00B165F6" w:rsidRPr="00BF77C6">
        <w:t>ly</w:t>
      </w:r>
      <w:r w:rsidR="00AC7A54" w:rsidRPr="00BF77C6">
        <w:t xml:space="preserve"> 8, 201</w:t>
      </w:r>
      <w:r w:rsidR="00B165F6" w:rsidRPr="00BF77C6">
        <w:t>9</w:t>
      </w:r>
      <w:r w:rsidR="00AC7A54" w:rsidRPr="00BF77C6">
        <w:t xml:space="preserve">, </w:t>
      </w:r>
      <w:r w:rsidRPr="00BF77C6">
        <w:t xml:space="preserve">the </w:t>
      </w:r>
      <w:r w:rsidR="00AC7A54" w:rsidRPr="00BF77C6">
        <w:t>SOAH</w:t>
      </w:r>
      <w:r w:rsidRPr="00BF77C6">
        <w:t xml:space="preserve"> ALJ</w:t>
      </w:r>
      <w:r w:rsidR="00AC7A54" w:rsidRPr="00BF77C6">
        <w:t xml:space="preserve"> </w:t>
      </w:r>
      <w:r w:rsidR="003B323F" w:rsidRPr="00BF77C6">
        <w:t xml:space="preserve">gave </w:t>
      </w:r>
      <w:r w:rsidR="00AC7A54" w:rsidRPr="00BF77C6">
        <w:t xml:space="preserve">notice </w:t>
      </w:r>
      <w:r w:rsidR="003B323F" w:rsidRPr="00BF77C6">
        <w:t xml:space="preserve">of </w:t>
      </w:r>
      <w:r w:rsidR="00A03974" w:rsidRPr="00BF77C6">
        <w:t>a</w:t>
      </w:r>
      <w:r w:rsidR="00AC7A54" w:rsidRPr="00BF77C6">
        <w:t xml:space="preserve"> hearing on the merits</w:t>
      </w:r>
      <w:r w:rsidR="003B323F" w:rsidRPr="00BF77C6">
        <w:t xml:space="preserve"> set to begin at 9:00 a</w:t>
      </w:r>
      <w:r w:rsidR="001A372A" w:rsidRPr="00BF77C6">
        <w:t>.</w:t>
      </w:r>
      <w:r w:rsidR="003B323F" w:rsidRPr="00BF77C6">
        <w:t>m</w:t>
      </w:r>
      <w:r w:rsidR="001A372A" w:rsidRPr="00BF77C6">
        <w:t>.</w:t>
      </w:r>
      <w:r w:rsidR="00A03974" w:rsidRPr="00BF77C6">
        <w:t xml:space="preserve"> on</w:t>
      </w:r>
      <w:r w:rsidR="00AC7A54" w:rsidRPr="00BF77C6">
        <w:t xml:space="preserve"> September 1</w:t>
      </w:r>
      <w:r w:rsidR="00B165F6" w:rsidRPr="00BF77C6">
        <w:t>8</w:t>
      </w:r>
      <w:r w:rsidR="00AC7A54" w:rsidRPr="00BF77C6">
        <w:t>, 201</w:t>
      </w:r>
      <w:r w:rsidR="00B165F6" w:rsidRPr="00BF77C6">
        <w:t>9</w:t>
      </w:r>
      <w:r w:rsidR="003B323F" w:rsidRPr="00BF77C6">
        <w:t xml:space="preserve">, at </w:t>
      </w:r>
      <w:r w:rsidR="00022915" w:rsidRPr="00BF77C6">
        <w:t>SOAH’s hearing facility in</w:t>
      </w:r>
      <w:r w:rsidR="003B323F" w:rsidRPr="00BF77C6">
        <w:t xml:space="preserve"> Austin, Texas</w:t>
      </w:r>
      <w:r w:rsidR="00D3040F" w:rsidRPr="00BF77C6">
        <w:t>.</w:t>
      </w:r>
    </w:p>
    <w:p w14:paraId="6CC47F81" w14:textId="3DFC974A" w:rsidR="000F778A" w:rsidRPr="00BF77C6" w:rsidRDefault="000F778A" w:rsidP="000F778A">
      <w:pPr>
        <w:pStyle w:val="FOFNumbered"/>
      </w:pPr>
      <w:r w:rsidRPr="00BF77C6">
        <w:t>In SOAH Order No. 4 issued July 22, 2019, the SOAH ALJ abated the proceeding because the parties had announced an agreement in principle.</w:t>
      </w:r>
    </w:p>
    <w:p w14:paraId="05035AF1" w14:textId="05355E5E" w:rsidR="000F778A" w:rsidRPr="00BF77C6" w:rsidRDefault="000F778A" w:rsidP="000F778A">
      <w:pPr>
        <w:pStyle w:val="FOFNumbered"/>
      </w:pPr>
      <w:r w:rsidRPr="00BF77C6">
        <w:lastRenderedPageBreak/>
        <w:t>On August 14, 2019, CenterPoint Houston, Commission Staff, and the Gulf Coast Coalition of Cities filed a un</w:t>
      </w:r>
      <w:r w:rsidR="00E91D4A" w:rsidRPr="00BF77C6">
        <w:t>animous</w:t>
      </w:r>
      <w:r w:rsidRPr="00BF77C6">
        <w:t xml:space="preserve"> agreement</w:t>
      </w:r>
      <w:r w:rsidR="00AA2A39">
        <w:t xml:space="preserve"> resolving certain issues between them</w:t>
      </w:r>
      <w:r w:rsidRPr="00BF77C6">
        <w:t>.</w:t>
      </w:r>
    </w:p>
    <w:p w14:paraId="2E2A0CBB" w14:textId="022DFA32" w:rsidR="000F778A" w:rsidRPr="00BF77C6" w:rsidRDefault="0072766F" w:rsidP="0072766F">
      <w:pPr>
        <w:pStyle w:val="FOFNumbered"/>
      </w:pPr>
      <w:r w:rsidRPr="00BF77C6">
        <w:t>In SOAH Order No. 5 issued August 16, 2019, the SOAH ALJ dismissed the case from SOAH’s docket and remanded it to the Commission.</w:t>
      </w:r>
    </w:p>
    <w:p w14:paraId="420798E9" w14:textId="15354B8F" w:rsidR="00D041BE" w:rsidRPr="00BF77C6" w:rsidRDefault="00D041BE" w:rsidP="00D041BE">
      <w:pPr>
        <w:pStyle w:val="Heading7"/>
      </w:pPr>
      <w:r w:rsidRPr="00BF77C6">
        <w:t>Evidentiary Record</w:t>
      </w:r>
    </w:p>
    <w:p w14:paraId="38A069B8" w14:textId="141045F0" w:rsidR="00D041BE" w:rsidRPr="00BF77C6" w:rsidRDefault="007932F3" w:rsidP="000C3375">
      <w:pPr>
        <w:pStyle w:val="FOFNumbered"/>
      </w:pPr>
      <w:r w:rsidRPr="00BF77C6">
        <w:t>In SOAH Order No. 5 issued August 16, 2019, the SOAH ALJ admitted the following into the evidentiary record: (a) CenterPoint Houston’s application, including the direct testimony, exhibits, and workpapers of Shea A. Richardson and John R. Durland</w:t>
      </w:r>
      <w:r w:rsidR="00C67ABF" w:rsidRPr="00BF77C6">
        <w:t>,</w:t>
      </w:r>
      <w:r w:rsidRPr="00BF77C6">
        <w:t xml:space="preserve"> filed on May 31, 2019; (b) CenterPoint Houston’s proof of notice</w:t>
      </w:r>
      <w:r w:rsidR="00310C0D" w:rsidRPr="00BF77C6">
        <w:t>,</w:t>
      </w:r>
      <w:r w:rsidRPr="00BF77C6">
        <w:t xml:space="preserve"> filed on June 6, 2019; (c)</w:t>
      </w:r>
      <w:r w:rsidR="000C3375">
        <w:t> </w:t>
      </w:r>
      <w:r w:rsidRPr="00BF77C6">
        <w:t xml:space="preserve">CenterPoint Houston’s </w:t>
      </w:r>
      <w:r w:rsidR="00310C0D" w:rsidRPr="00BF77C6">
        <w:t>amendments to the application,</w:t>
      </w:r>
      <w:r w:rsidRPr="00BF77C6">
        <w:t xml:space="preserve"> filed </w:t>
      </w:r>
      <w:r w:rsidR="00136EA9" w:rsidRPr="00BF77C6">
        <w:t xml:space="preserve">on </w:t>
      </w:r>
      <w:r w:rsidRPr="00BF77C6">
        <w:t>June 10</w:t>
      </w:r>
      <w:r w:rsidR="00136EA9" w:rsidRPr="00BF77C6">
        <w:t xml:space="preserve"> and</w:t>
      </w:r>
      <w:r w:rsidRPr="00BF77C6">
        <w:t xml:space="preserve"> July 29, 2019</w:t>
      </w:r>
      <w:r w:rsidR="009F71EC" w:rsidRPr="00BF77C6">
        <w:t>, respectively</w:t>
      </w:r>
      <w:r w:rsidRPr="00BF77C6">
        <w:t>; (d) the direct testimony of Gulf Coast Coalition of Cities’ witness Karl J. Nalepa</w:t>
      </w:r>
      <w:r w:rsidR="003E6ECB" w:rsidRPr="00BF77C6">
        <w:t>,</w:t>
      </w:r>
      <w:r w:rsidRPr="00BF77C6">
        <w:t xml:space="preserve"> filed on August 1, 2019; (e) Commission Staff’s affidavits in support of the agreement</w:t>
      </w:r>
      <w:r w:rsidR="003E6ECB" w:rsidRPr="00BF77C6">
        <w:t xml:space="preserve">, </w:t>
      </w:r>
      <w:r w:rsidRPr="00BF77C6">
        <w:t>filed on August 14, 2019; and (f) the agreement and attachments filed on August 14, 2019.</w:t>
      </w:r>
    </w:p>
    <w:p w14:paraId="78336942" w14:textId="56EDBFDE" w:rsidR="00AC7A54" w:rsidRPr="00BF77C6" w:rsidRDefault="00AC7A54" w:rsidP="009D1920">
      <w:pPr>
        <w:pStyle w:val="Heading7"/>
        <w:rPr>
          <w:rFonts w:eastAsia="Times New Roman"/>
          <w:b w:val="0"/>
          <w:snapToGrid w:val="0"/>
        </w:rPr>
      </w:pPr>
      <w:r w:rsidRPr="00BF77C6">
        <w:rPr>
          <w:rFonts w:eastAsia="Times New Roman"/>
          <w:snapToGrid w:val="0"/>
        </w:rPr>
        <w:t>Energy</w:t>
      </w:r>
      <w:r w:rsidR="008D6D4B" w:rsidRPr="00BF77C6">
        <w:rPr>
          <w:rFonts w:eastAsia="Times New Roman"/>
          <w:snapToGrid w:val="0"/>
        </w:rPr>
        <w:t>-</w:t>
      </w:r>
      <w:r w:rsidRPr="00BF77C6">
        <w:rPr>
          <w:rFonts w:eastAsia="Times New Roman"/>
          <w:snapToGrid w:val="0"/>
        </w:rPr>
        <w:t>Efficiency Goals</w:t>
      </w:r>
      <w:r w:rsidRPr="00BF77C6">
        <w:rPr>
          <w:rFonts w:eastAsia="Times New Roman"/>
          <w:snapToGrid w:val="0"/>
          <w:sz w:val="16"/>
          <w:szCs w:val="16"/>
        </w:rPr>
        <w:t xml:space="preserve"> </w:t>
      </w:r>
      <w:r w:rsidR="00F7782B" w:rsidRPr="00BF77C6">
        <w:rPr>
          <w:rFonts w:eastAsia="Times New Roman"/>
          <w:b w:val="0"/>
          <w:snapToGrid w:val="0"/>
          <w:sz w:val="16"/>
          <w:szCs w:val="16"/>
        </w:rPr>
        <w:t xml:space="preserve">PURA § 39.905 and </w:t>
      </w:r>
      <w:r w:rsidRPr="00BF77C6">
        <w:rPr>
          <w:rFonts w:eastAsia="Times New Roman"/>
          <w:b w:val="0"/>
          <w:snapToGrid w:val="0"/>
          <w:sz w:val="16"/>
          <w:szCs w:val="16"/>
        </w:rPr>
        <w:t>16 TAC § 25.181(e)</w:t>
      </w:r>
    </w:p>
    <w:p w14:paraId="04DF92DF" w14:textId="549CA7AE" w:rsidR="00AC7A54" w:rsidRPr="00BF77C6" w:rsidRDefault="00AC7A54" w:rsidP="00517339">
      <w:pPr>
        <w:pStyle w:val="FOFNumbered"/>
      </w:pPr>
      <w:r w:rsidRPr="00BF77C6">
        <w:t xml:space="preserve">CenterPoint Houston’s </w:t>
      </w:r>
      <w:r w:rsidR="00A82AB0" w:rsidRPr="00BF77C6">
        <w:t xml:space="preserve">2020 </w:t>
      </w:r>
      <w:r w:rsidRPr="00BF77C6">
        <w:t>demand</w:t>
      </w:r>
      <w:r w:rsidR="00A82AB0" w:rsidRPr="00BF77C6">
        <w:t>-</w:t>
      </w:r>
      <w:r w:rsidRPr="00BF77C6">
        <w:t xml:space="preserve">reduction goal is four-tenths of 1% of CenterPoint Houston’s </w:t>
      </w:r>
      <w:r w:rsidR="007B154C" w:rsidRPr="00BF77C6">
        <w:t xml:space="preserve">summer </w:t>
      </w:r>
      <w:r w:rsidRPr="00BF77C6">
        <w:t>weather</w:t>
      </w:r>
      <w:r w:rsidR="00682DE5" w:rsidRPr="00BF77C6">
        <w:noBreakHyphen/>
      </w:r>
      <w:r w:rsidRPr="00BF77C6">
        <w:t>adjusted peak demand for residential and commercial customers</w:t>
      </w:r>
      <w:r w:rsidR="00B65091" w:rsidRPr="00BF77C6">
        <w:t>; t</w:t>
      </w:r>
      <w:r w:rsidR="00021C17" w:rsidRPr="00BF77C6">
        <w:t>hus</w:t>
      </w:r>
      <w:r w:rsidR="00682DE5" w:rsidRPr="00BF77C6">
        <w:t>,</w:t>
      </w:r>
      <w:r w:rsidR="00021C17" w:rsidRPr="00BF77C6">
        <w:t xml:space="preserve"> its demand reduction goal is 6</w:t>
      </w:r>
      <w:r w:rsidR="00AA427E" w:rsidRPr="00BF77C6">
        <w:t>2.82</w:t>
      </w:r>
      <w:r w:rsidR="00021C17" w:rsidRPr="00BF77C6">
        <w:t xml:space="preserve"> MW</w:t>
      </w:r>
      <w:r w:rsidRPr="00BF77C6">
        <w:t>.</w:t>
      </w:r>
    </w:p>
    <w:p w14:paraId="18D9A5EA" w14:textId="30504272" w:rsidR="00A82AB0" w:rsidRPr="00BF77C6" w:rsidRDefault="00A82AB0" w:rsidP="00A82AB0">
      <w:pPr>
        <w:pStyle w:val="FOFNumbered"/>
      </w:pPr>
      <w:r w:rsidRPr="00BF77C6">
        <w:t>CenterPoint Houston’s weather-adjusted average-annual growth in demand for the previous five years (2014 through 2018) is 15,704 MW.</w:t>
      </w:r>
    </w:p>
    <w:p w14:paraId="10122E69" w14:textId="7991B7B9" w:rsidR="00AC7A54" w:rsidRPr="00BF77C6" w:rsidRDefault="00AC7A54" w:rsidP="00517339">
      <w:pPr>
        <w:pStyle w:val="FOFNumbered"/>
      </w:pPr>
      <w:r w:rsidRPr="00BF77C6">
        <w:t>CenterPoint Houston projects that it will achieve 1</w:t>
      </w:r>
      <w:r w:rsidR="00AA427E" w:rsidRPr="00BF77C6">
        <w:t>61.76</w:t>
      </w:r>
      <w:r w:rsidRPr="00BF77C6">
        <w:t xml:space="preserve"> MW in demand reductions in program</w:t>
      </w:r>
      <w:r w:rsidR="00CF25F6" w:rsidRPr="00BF77C6">
        <w:t xml:space="preserve"> </w:t>
      </w:r>
      <w:r w:rsidRPr="00BF77C6">
        <w:t>year 20</w:t>
      </w:r>
      <w:r w:rsidR="00AA427E" w:rsidRPr="00BF77C6">
        <w:t>20</w:t>
      </w:r>
      <w:r w:rsidRPr="00BF77C6">
        <w:t xml:space="preserve">, which </w:t>
      </w:r>
      <w:r w:rsidR="008704A5" w:rsidRPr="00BF77C6">
        <w:t>exceeds</w:t>
      </w:r>
      <w:r w:rsidRPr="00BF77C6">
        <w:t xml:space="preserve"> the </w:t>
      </w:r>
      <w:r w:rsidR="006B2AC3" w:rsidRPr="00BF77C6">
        <w:t>demand</w:t>
      </w:r>
      <w:r w:rsidR="008704A5" w:rsidRPr="00BF77C6">
        <w:t>-</w:t>
      </w:r>
      <w:r w:rsidR="006B2AC3" w:rsidRPr="00BF77C6">
        <w:t>reduction goal</w:t>
      </w:r>
      <w:r w:rsidRPr="00BF77C6">
        <w:t xml:space="preserve"> of 6</w:t>
      </w:r>
      <w:r w:rsidR="00AA427E" w:rsidRPr="00BF77C6">
        <w:t>2.82</w:t>
      </w:r>
      <w:r w:rsidRPr="00BF77C6">
        <w:t xml:space="preserve"> MW.</w:t>
      </w:r>
    </w:p>
    <w:p w14:paraId="09F84D62" w14:textId="68D840B9" w:rsidR="009131FC" w:rsidRPr="00BF77C6" w:rsidRDefault="009131FC" w:rsidP="00517339">
      <w:pPr>
        <w:pStyle w:val="FOFNumbered"/>
      </w:pPr>
      <w:bookmarkStart w:id="0" w:name="_Hlk15476653"/>
      <w:r w:rsidRPr="00BF77C6">
        <w:t xml:space="preserve">The estimated savings to be achieved through CenterPoint Houston’s </w:t>
      </w:r>
      <w:r w:rsidR="00D260EE" w:rsidRPr="00BF77C6">
        <w:t>20</w:t>
      </w:r>
      <w:r w:rsidR="00623CA5" w:rsidRPr="00BF77C6">
        <w:t>20</w:t>
      </w:r>
      <w:r w:rsidR="00D260EE" w:rsidRPr="00BF77C6">
        <w:t xml:space="preserve"> </w:t>
      </w:r>
      <w:r w:rsidRPr="00BF77C6">
        <w:t xml:space="preserve">programs for hard-to-reach customers is </w:t>
      </w:r>
      <w:r w:rsidR="00D435BC" w:rsidRPr="00BF77C6">
        <w:t>5.8</w:t>
      </w:r>
      <w:r w:rsidRPr="00BF77C6">
        <w:t xml:space="preserve"> MW</w:t>
      </w:r>
      <w:r w:rsidR="003F2803" w:rsidRPr="00BF77C6">
        <w:t>, which is</w:t>
      </w:r>
      <w:r w:rsidRPr="00BF77C6">
        <w:t xml:space="preserve"> </w:t>
      </w:r>
      <w:r w:rsidR="00D435BC" w:rsidRPr="00BF77C6">
        <w:t>9.2</w:t>
      </w:r>
      <w:r w:rsidRPr="00BF77C6">
        <w:t xml:space="preserve">% of the proposed goal of </w:t>
      </w:r>
      <w:r w:rsidR="00D435BC" w:rsidRPr="00BF77C6">
        <w:t>62.82</w:t>
      </w:r>
      <w:r w:rsidRPr="00BF77C6">
        <w:t xml:space="preserve"> MW</w:t>
      </w:r>
      <w:bookmarkEnd w:id="0"/>
      <w:r w:rsidR="00A20C7A">
        <w:t>.</w:t>
      </w:r>
    </w:p>
    <w:p w14:paraId="38ACAFF5" w14:textId="5D516E0C" w:rsidR="001661B9" w:rsidRPr="00BF77C6" w:rsidRDefault="00B500AE" w:rsidP="001661B9">
      <w:pPr>
        <w:pStyle w:val="FOFNumbered"/>
      </w:pPr>
      <w:r w:rsidRPr="00BF77C6">
        <w:t>Because of the mix of energy and demand savings achievable through its programs</w:t>
      </w:r>
      <w:r w:rsidR="00A80D60" w:rsidRPr="00BF77C6">
        <w:t>,</w:t>
      </w:r>
      <w:r w:rsidRPr="00BF77C6">
        <w:t xml:space="preserve"> </w:t>
      </w:r>
      <w:r w:rsidR="001661B9" w:rsidRPr="00BF77C6">
        <w:t>CenterPoint Houston projects that it will achieve energy savings of 189,482 megawatt</w:t>
      </w:r>
      <w:r w:rsidR="001661B9" w:rsidRPr="00BF77C6">
        <w:noBreakHyphen/>
        <w:t>hours (MWh) in program year 2020, which exceeds the minimum of</w:t>
      </w:r>
      <w:r w:rsidRPr="00BF77C6">
        <w:t xml:space="preserve"> </w:t>
      </w:r>
      <w:r w:rsidR="001661B9" w:rsidRPr="00BF77C6">
        <w:t>110,061</w:t>
      </w:r>
      <w:r w:rsidR="00630A5F" w:rsidRPr="00BF77C6">
        <w:t> </w:t>
      </w:r>
      <w:r w:rsidR="001661B9" w:rsidRPr="00BF77C6">
        <w:t>MWh.</w:t>
      </w:r>
    </w:p>
    <w:p w14:paraId="15BD6E10" w14:textId="77777777" w:rsidR="00AC7A54" w:rsidRPr="00BF77C6" w:rsidRDefault="00AC7A54" w:rsidP="009D1920">
      <w:pPr>
        <w:pStyle w:val="Heading7"/>
        <w:rPr>
          <w:rFonts w:eastAsia="Times New Roman"/>
          <w:snapToGrid w:val="0"/>
        </w:rPr>
      </w:pPr>
      <w:r w:rsidRPr="00BF77C6">
        <w:lastRenderedPageBreak/>
        <w:t xml:space="preserve">Agreement </w:t>
      </w:r>
      <w:r w:rsidRPr="00BF77C6">
        <w:rPr>
          <w:rFonts w:eastAsia="Times New Roman"/>
          <w:b w:val="0"/>
          <w:snapToGrid w:val="0"/>
          <w:sz w:val="16"/>
          <w:szCs w:val="16"/>
        </w:rPr>
        <w:t>PURA § 14.054 and 16 TAC § 22.35</w:t>
      </w:r>
    </w:p>
    <w:p w14:paraId="03578646" w14:textId="77777777" w:rsidR="00F87E9A" w:rsidRPr="00BF77C6" w:rsidRDefault="00F87E9A" w:rsidP="00F87E9A">
      <w:pPr>
        <w:pStyle w:val="FOFNumbered"/>
      </w:pPr>
      <w:r w:rsidRPr="00BF77C6">
        <w:t>Under the agreement, CenterPoint Houston’s EECRF will recover $35,401,638, which includes:</w:t>
      </w:r>
    </w:p>
    <w:p w14:paraId="4FC6E01B" w14:textId="77777777" w:rsidR="00F87E9A" w:rsidRPr="00BF77C6" w:rsidRDefault="00F87E9A" w:rsidP="00215CE2">
      <w:pPr>
        <w:spacing w:after="120"/>
        <w:ind w:left="1440" w:hanging="720"/>
        <w:jc w:val="both"/>
        <w:rPr>
          <w:rFonts w:eastAsia="Times New Roman"/>
          <w:snapToGrid w:val="0"/>
        </w:rPr>
      </w:pPr>
      <w:r w:rsidRPr="00BF77C6">
        <w:rPr>
          <w:rFonts w:eastAsia="Times New Roman"/>
          <w:snapToGrid w:val="0"/>
        </w:rPr>
        <w:t>(a)</w:t>
      </w:r>
      <w:r w:rsidRPr="00BF77C6">
        <w:rPr>
          <w:rFonts w:eastAsia="Times New Roman"/>
          <w:snapToGrid w:val="0"/>
        </w:rPr>
        <w:tab/>
        <w:t>Forecasted energy-efficiency costs of $37,820,991 during program year 2020;</w:t>
      </w:r>
    </w:p>
    <w:p w14:paraId="1B9039E3" w14:textId="77777777" w:rsidR="00F87E9A" w:rsidRPr="00BF77C6" w:rsidRDefault="00F87E9A" w:rsidP="00F87E9A">
      <w:pPr>
        <w:spacing w:before="120" w:after="120"/>
        <w:ind w:left="1440" w:hanging="720"/>
        <w:jc w:val="both"/>
        <w:rPr>
          <w:rFonts w:eastAsia="Times New Roman"/>
          <w:snapToGrid w:val="0"/>
        </w:rPr>
      </w:pPr>
      <w:r w:rsidRPr="00BF77C6">
        <w:rPr>
          <w:rFonts w:eastAsia="Times New Roman"/>
          <w:snapToGrid w:val="0"/>
        </w:rPr>
        <w:t>(b)</w:t>
      </w:r>
      <w:r w:rsidRPr="00BF77C6">
        <w:rPr>
          <w:rFonts w:eastAsia="Times New Roman"/>
          <w:snapToGrid w:val="0"/>
        </w:rPr>
        <w:tab/>
        <w:t>Projected EM&amp;V expenses in the amount of $550,514 for program year 2020;</w:t>
      </w:r>
    </w:p>
    <w:p w14:paraId="07097749" w14:textId="49B7B10E" w:rsidR="00F87E9A" w:rsidRPr="00BF77C6" w:rsidRDefault="00F87E9A" w:rsidP="00F87E9A">
      <w:pPr>
        <w:spacing w:before="120" w:after="120"/>
        <w:ind w:left="1440" w:hanging="720"/>
        <w:jc w:val="both"/>
        <w:rPr>
          <w:rFonts w:eastAsia="Times New Roman"/>
          <w:snapToGrid w:val="0"/>
        </w:rPr>
      </w:pPr>
      <w:r w:rsidRPr="00BF77C6">
        <w:rPr>
          <w:rFonts w:eastAsia="Times New Roman"/>
          <w:snapToGrid w:val="0"/>
        </w:rPr>
        <w:t>(c)</w:t>
      </w:r>
      <w:r w:rsidRPr="00BF77C6">
        <w:rPr>
          <w:rFonts w:eastAsia="Times New Roman"/>
          <w:snapToGrid w:val="0"/>
        </w:rPr>
        <w:tab/>
        <w:t>A</w:t>
      </w:r>
      <w:r w:rsidR="00DD48F1">
        <w:rPr>
          <w:rFonts w:eastAsia="Times New Roman"/>
          <w:snapToGrid w:val="0"/>
        </w:rPr>
        <w:t xml:space="preserve">n adjustment </w:t>
      </w:r>
      <w:r w:rsidRPr="00BF77C6">
        <w:rPr>
          <w:rFonts w:eastAsia="Times New Roman"/>
          <w:snapToGrid w:val="0"/>
        </w:rPr>
        <w:t>of $6,101,507 for CenterPoint</w:t>
      </w:r>
      <w:r w:rsidR="00445357">
        <w:rPr>
          <w:rFonts w:eastAsia="Times New Roman"/>
          <w:snapToGrid w:val="0"/>
        </w:rPr>
        <w:t xml:space="preserve"> </w:t>
      </w:r>
      <w:r w:rsidR="00AD19F4">
        <w:rPr>
          <w:rFonts w:eastAsia="Times New Roman"/>
          <w:snapToGrid w:val="0"/>
        </w:rPr>
        <w:t>Houston</w:t>
      </w:r>
      <w:r w:rsidRPr="00BF77C6">
        <w:rPr>
          <w:rFonts w:eastAsia="Times New Roman"/>
          <w:snapToGrid w:val="0"/>
        </w:rPr>
        <w:t>’s net over-recovery</w:t>
      </w:r>
      <w:r w:rsidR="000811D3" w:rsidRPr="00BF77C6">
        <w:rPr>
          <w:rFonts w:eastAsia="Times New Roman"/>
          <w:snapToGrid w:val="0"/>
        </w:rPr>
        <w:t>, including interest,</w:t>
      </w:r>
      <w:r w:rsidRPr="00BF77C6">
        <w:rPr>
          <w:rFonts w:eastAsia="Times New Roman"/>
          <w:snapToGrid w:val="0"/>
        </w:rPr>
        <w:t xml:space="preserve"> of program year 2018 energy-efficiency costs;</w:t>
      </w:r>
    </w:p>
    <w:p w14:paraId="1131D961" w14:textId="4D080F96" w:rsidR="00F87E9A" w:rsidRPr="00BF77C6" w:rsidRDefault="00F87E9A" w:rsidP="00F87E9A">
      <w:pPr>
        <w:spacing w:before="120" w:after="120"/>
        <w:ind w:left="1440" w:hanging="720"/>
        <w:jc w:val="both"/>
        <w:rPr>
          <w:rFonts w:eastAsia="Times New Roman"/>
          <w:snapToGrid w:val="0"/>
        </w:rPr>
      </w:pPr>
      <w:r w:rsidRPr="00BF77C6">
        <w:rPr>
          <w:rFonts w:eastAsia="Times New Roman"/>
          <w:snapToGrid w:val="0"/>
        </w:rPr>
        <w:t>(e)</w:t>
      </w:r>
      <w:r w:rsidRPr="00BF77C6">
        <w:rPr>
          <w:rFonts w:eastAsia="Times New Roman"/>
          <w:snapToGrid w:val="0"/>
        </w:rPr>
        <w:tab/>
        <w:t xml:space="preserve">Rate-case expenses in the amount of $93,211 </w:t>
      </w:r>
      <w:r w:rsidR="007F4594" w:rsidRPr="00BF77C6">
        <w:rPr>
          <w:rFonts w:eastAsia="Times New Roman"/>
          <w:snapToGrid w:val="0"/>
        </w:rPr>
        <w:t xml:space="preserve">($59,266 for CenterPoint Houston, $16,536 for the Gulf Coast Coalition of Cities, and $17,410 for the City of Houston) </w:t>
      </w:r>
      <w:r w:rsidRPr="00BF77C6">
        <w:rPr>
          <w:rFonts w:eastAsia="Times New Roman"/>
          <w:snapToGrid w:val="0"/>
        </w:rPr>
        <w:t>for participation in Docket No. 48420;</w:t>
      </w:r>
    </w:p>
    <w:p w14:paraId="406D1802" w14:textId="77777777" w:rsidR="00F87E9A" w:rsidRPr="00BF77C6" w:rsidRDefault="00F87E9A" w:rsidP="00F87E9A">
      <w:pPr>
        <w:spacing w:before="120" w:after="120"/>
        <w:ind w:left="1440" w:hanging="720"/>
        <w:jc w:val="both"/>
        <w:rPr>
          <w:rFonts w:eastAsia="Times New Roman"/>
          <w:snapToGrid w:val="0"/>
        </w:rPr>
      </w:pPr>
      <w:r w:rsidRPr="00BF77C6">
        <w:rPr>
          <w:rFonts w:eastAsia="Times New Roman"/>
          <w:snapToGrid w:val="0"/>
        </w:rPr>
        <w:t>(f)</w:t>
      </w:r>
      <w:r w:rsidRPr="00BF77C6">
        <w:rPr>
          <w:rFonts w:eastAsia="Times New Roman"/>
          <w:snapToGrid w:val="0"/>
        </w:rPr>
        <w:tab/>
        <w:t>A performance bonus of $6,738,428; and</w:t>
      </w:r>
    </w:p>
    <w:p w14:paraId="1ED6D8A8" w14:textId="59121D04" w:rsidR="00AC7A54" w:rsidRPr="00BF77C6" w:rsidRDefault="00F87E9A" w:rsidP="00215CE2">
      <w:pPr>
        <w:ind w:left="1440" w:hanging="720"/>
        <w:rPr>
          <w:u w:val="single"/>
        </w:rPr>
      </w:pPr>
      <w:r w:rsidRPr="00BF77C6">
        <w:rPr>
          <w:rFonts w:eastAsia="Times New Roman"/>
          <w:snapToGrid w:val="0"/>
        </w:rPr>
        <w:t>(g)</w:t>
      </w:r>
      <w:r w:rsidRPr="00BF77C6">
        <w:rPr>
          <w:rFonts w:eastAsia="Times New Roman"/>
          <w:snapToGrid w:val="0"/>
        </w:rPr>
        <w:tab/>
        <w:t xml:space="preserve">A black-box reduction of $3,700,000 to </w:t>
      </w:r>
      <w:r w:rsidR="001E775C" w:rsidRPr="00BF77C6">
        <w:rPr>
          <w:rFonts w:eastAsia="Times New Roman"/>
          <w:snapToGrid w:val="0"/>
        </w:rPr>
        <w:t xml:space="preserve">the 2020 </w:t>
      </w:r>
      <w:r w:rsidRPr="00BF77C6">
        <w:rPr>
          <w:rFonts w:eastAsia="Times New Roman"/>
          <w:snapToGrid w:val="0"/>
        </w:rPr>
        <w:t>EECRF revenue requirement.</w:t>
      </w:r>
    </w:p>
    <w:p w14:paraId="33426F96" w14:textId="345DCBCA" w:rsidR="002718E0" w:rsidRPr="00BF77C6" w:rsidRDefault="00823B86" w:rsidP="00215CE2">
      <w:pPr>
        <w:pStyle w:val="FOFNumbered"/>
        <w:spacing w:before="240"/>
      </w:pPr>
      <w:r w:rsidRPr="00BF77C6">
        <w:t>Under the</w:t>
      </w:r>
      <w:r w:rsidR="002718E0" w:rsidRPr="00BF77C6">
        <w:t xml:space="preserve"> </w:t>
      </w:r>
      <w:r w:rsidR="00682DE5" w:rsidRPr="00BF77C6">
        <w:t>agreement</w:t>
      </w:r>
      <w:r w:rsidRPr="00BF77C6">
        <w:t xml:space="preserve">, allocation adjustments are made to CenterPoint Houston’s proposed EM&amp;V </w:t>
      </w:r>
      <w:r w:rsidR="00333B72" w:rsidRPr="00BF77C6">
        <w:t>expenses</w:t>
      </w:r>
      <w:r w:rsidRPr="00BF77C6">
        <w:t xml:space="preserve">, the reconciliation of </w:t>
      </w:r>
      <w:r w:rsidR="00682DE5" w:rsidRPr="00BF77C6">
        <w:t>CenterPoint Houston’s</w:t>
      </w:r>
      <w:r w:rsidRPr="00BF77C6">
        <w:t xml:space="preserve"> 2016 performance bonus</w:t>
      </w:r>
      <w:r w:rsidR="00D60FF2" w:rsidRPr="00BF77C6">
        <w:t>,</w:t>
      </w:r>
      <w:r w:rsidRPr="00BF77C6">
        <w:t xml:space="preserve"> and 2018 EECRF rate</w:t>
      </w:r>
      <w:r w:rsidR="00682DE5" w:rsidRPr="00BF77C6">
        <w:t>-</w:t>
      </w:r>
      <w:r w:rsidRPr="00BF77C6">
        <w:t>case expenses</w:t>
      </w:r>
      <w:r w:rsidR="00E270A9" w:rsidRPr="00BF77C6">
        <w:t xml:space="preserve">.  Also, </w:t>
      </w:r>
      <w:r w:rsidRPr="00BF77C6">
        <w:t>the revenue requirement to be collected through the 2020 EECRF tariff</w:t>
      </w:r>
      <w:r w:rsidR="00473738" w:rsidRPr="00BF77C6">
        <w:t xml:space="preserve"> is reduced by $3,700,000</w:t>
      </w:r>
      <w:r w:rsidR="00016302" w:rsidRPr="00BF77C6">
        <w:t>.</w:t>
      </w:r>
    </w:p>
    <w:p w14:paraId="723D6FCA" w14:textId="1459A1B9" w:rsidR="00F94C04" w:rsidRPr="00BF77C6" w:rsidRDefault="00F94C04" w:rsidP="00517339">
      <w:pPr>
        <w:pStyle w:val="FOFNumbered"/>
        <w:spacing w:before="240"/>
      </w:pPr>
      <w:r w:rsidRPr="00BF77C6">
        <w:t xml:space="preserve">Under the agreement, the </w:t>
      </w:r>
      <w:r w:rsidR="00350373" w:rsidRPr="00BF77C6">
        <w:t>$3,700,000 reduction to</w:t>
      </w:r>
      <w:r w:rsidRPr="00BF77C6">
        <w:t xml:space="preserve"> CenterPoint Houston’s</w:t>
      </w:r>
      <w:r w:rsidR="005459D6" w:rsidRPr="00BF77C6">
        <w:t xml:space="preserve"> EECRF</w:t>
      </w:r>
      <w:r w:rsidRPr="00BF77C6">
        <w:t xml:space="preserve"> revenue requirement is </w:t>
      </w:r>
      <w:r w:rsidR="005F0FA2" w:rsidRPr="00BF77C6">
        <w:t>intended solely as a reduction to the total amount of rates collected under the EECRF tariff to reduce the possibility that CenterPoint Houston would over-recover in program year 2020.</w:t>
      </w:r>
      <w:r w:rsidR="00514E8A" w:rsidRPr="00BF77C6">
        <w:t xml:space="preserve">  </w:t>
      </w:r>
      <w:r w:rsidR="002442F5" w:rsidRPr="00BF77C6">
        <w:t>Under the agreement, t</w:t>
      </w:r>
      <w:r w:rsidR="005F0FA2" w:rsidRPr="00BF77C6">
        <w:t>he reduction</w:t>
      </w:r>
      <w:r w:rsidR="00514E8A" w:rsidRPr="00BF77C6">
        <w:t xml:space="preserve"> is not related to the reasonableness of CenterPoint Houston’s 2020 program estimates, proposed bonus calculation</w:t>
      </w:r>
      <w:r w:rsidR="003D5549" w:rsidRPr="00BF77C6">
        <w:t>,</w:t>
      </w:r>
      <w:r w:rsidR="00514E8A" w:rsidRPr="00BF77C6">
        <w:t xml:space="preserve"> or historical program expenses.</w:t>
      </w:r>
    </w:p>
    <w:p w14:paraId="5FC77388" w14:textId="5B5556A6" w:rsidR="003A6E8C" w:rsidRPr="00BF77C6" w:rsidRDefault="0095546C" w:rsidP="00B71EEC">
      <w:pPr>
        <w:pStyle w:val="FOFNumbered"/>
      </w:pPr>
      <w:r w:rsidRPr="00BF77C6">
        <w:t>Under the agreement, CenterPoint Houston’s 2020 EECRF</w:t>
      </w:r>
      <w:r w:rsidR="00AC28E8" w:rsidRPr="00BF77C6">
        <w:t xml:space="preserve"> </w:t>
      </w:r>
      <w:r w:rsidRPr="00BF77C6">
        <w:t>is effective beginning with</w:t>
      </w:r>
      <w:r w:rsidR="00AC7A54" w:rsidRPr="00BF77C6">
        <w:t xml:space="preserve"> </w:t>
      </w:r>
      <w:r w:rsidR="003E089B" w:rsidRPr="00BF77C6">
        <w:t xml:space="preserve">its </w:t>
      </w:r>
      <w:r w:rsidR="00AC7A54" w:rsidRPr="00BF77C6">
        <w:t>March</w:t>
      </w:r>
      <w:r w:rsidR="004F54EE" w:rsidRPr="00BF77C6">
        <w:t> </w:t>
      </w:r>
      <w:r w:rsidR="00AC7A54" w:rsidRPr="00BF77C6">
        <w:t>20</w:t>
      </w:r>
      <w:r w:rsidR="00623659" w:rsidRPr="00BF77C6">
        <w:t>20</w:t>
      </w:r>
      <w:r w:rsidR="00AC7A54" w:rsidRPr="00BF77C6">
        <w:t xml:space="preserve"> billing month until February </w:t>
      </w:r>
      <w:r w:rsidR="003E089B" w:rsidRPr="00BF77C6">
        <w:t>2</w:t>
      </w:r>
      <w:r w:rsidR="00623659" w:rsidRPr="00BF77C6">
        <w:t>8</w:t>
      </w:r>
      <w:r w:rsidR="00AC7A54" w:rsidRPr="00BF77C6">
        <w:t>, 202</w:t>
      </w:r>
      <w:r w:rsidR="00623659" w:rsidRPr="00BF77C6">
        <w:t>1</w:t>
      </w:r>
      <w:r w:rsidR="00AC7A54" w:rsidRPr="00BF77C6">
        <w:t>.</w:t>
      </w:r>
    </w:p>
    <w:p w14:paraId="01D41434" w14:textId="7F0A820D" w:rsidR="00F532A5" w:rsidRPr="00BF77C6" w:rsidRDefault="00F532A5" w:rsidP="00B71EEC">
      <w:pPr>
        <w:pStyle w:val="FOFNumbered"/>
        <w:keepNext/>
        <w:spacing w:after="120"/>
      </w:pPr>
      <w:r w:rsidRPr="00BF77C6">
        <w:lastRenderedPageBreak/>
        <w:t xml:space="preserve">Under the agreement, CenterPoint Houston’s rate-class factors </w:t>
      </w:r>
      <w:r w:rsidR="009A5792" w:rsidRPr="00BF77C6">
        <w:t>for its</w:t>
      </w:r>
      <w:r w:rsidR="009251A9" w:rsidRPr="00BF77C6">
        <w:t xml:space="preserve"> 20</w:t>
      </w:r>
      <w:r w:rsidR="00623659" w:rsidRPr="00BF77C6">
        <w:t>20</w:t>
      </w:r>
      <w:r w:rsidR="009251A9" w:rsidRPr="00BF77C6">
        <w:t xml:space="preserve"> </w:t>
      </w:r>
      <w:r w:rsidRPr="00BF77C6">
        <w:t xml:space="preserve">EECRF </w:t>
      </w:r>
      <w:r w:rsidR="00A20C7A">
        <w:t xml:space="preserve">tariff rider </w:t>
      </w:r>
      <w:r w:rsidRPr="00BF77C6">
        <w:t>are as follows:</w:t>
      </w:r>
    </w:p>
    <w:tbl>
      <w:tblPr>
        <w:tblStyle w:val="TableGrid1"/>
        <w:tblW w:w="0" w:type="auto"/>
        <w:tblInd w:w="828" w:type="dxa"/>
        <w:tblLook w:val="04A0" w:firstRow="1" w:lastRow="0" w:firstColumn="1" w:lastColumn="0" w:noHBand="0" w:noVBand="1"/>
      </w:tblPr>
      <w:tblGrid>
        <w:gridCol w:w="4477"/>
        <w:gridCol w:w="2160"/>
        <w:gridCol w:w="1530"/>
      </w:tblGrid>
      <w:tr w:rsidR="00623659" w:rsidRPr="00BF77C6" w14:paraId="43894802" w14:textId="77777777" w:rsidTr="00B31C59">
        <w:tc>
          <w:tcPr>
            <w:tcW w:w="4477" w:type="dxa"/>
            <w:vAlign w:val="center"/>
          </w:tcPr>
          <w:p w14:paraId="4017B99A" w14:textId="66E8B0C1" w:rsidR="00623659" w:rsidRPr="00BF77C6" w:rsidRDefault="00623659" w:rsidP="00533A5C">
            <w:pPr>
              <w:keepNext/>
              <w:keepLines/>
              <w:tabs>
                <w:tab w:val="center" w:pos="4680"/>
              </w:tabs>
              <w:rPr>
                <w:b/>
                <w:snapToGrid w:val="0"/>
                <w:sz w:val="22"/>
                <w:szCs w:val="22"/>
              </w:rPr>
            </w:pPr>
            <w:r w:rsidRPr="00BF77C6">
              <w:rPr>
                <w:b/>
                <w:sz w:val="24"/>
                <w:szCs w:val="24"/>
              </w:rPr>
              <w:t>Rate Class</w:t>
            </w:r>
          </w:p>
        </w:tc>
        <w:tc>
          <w:tcPr>
            <w:tcW w:w="2160" w:type="dxa"/>
            <w:vAlign w:val="center"/>
          </w:tcPr>
          <w:p w14:paraId="693810F4" w14:textId="146915DE" w:rsidR="00623659" w:rsidRPr="00BF77C6" w:rsidRDefault="00623659" w:rsidP="00533A5C">
            <w:pPr>
              <w:keepNext/>
              <w:keepLines/>
              <w:tabs>
                <w:tab w:val="center" w:pos="4680"/>
              </w:tabs>
              <w:jc w:val="center"/>
              <w:rPr>
                <w:b/>
                <w:snapToGrid w:val="0"/>
                <w:sz w:val="22"/>
                <w:szCs w:val="22"/>
              </w:rPr>
            </w:pPr>
            <w:r w:rsidRPr="00BF77C6">
              <w:rPr>
                <w:b/>
                <w:sz w:val="24"/>
                <w:szCs w:val="24"/>
              </w:rPr>
              <w:t>EECRF Charge</w:t>
            </w:r>
          </w:p>
        </w:tc>
        <w:tc>
          <w:tcPr>
            <w:tcW w:w="1530" w:type="dxa"/>
            <w:vAlign w:val="center"/>
          </w:tcPr>
          <w:p w14:paraId="26EF407A" w14:textId="155ADE42" w:rsidR="00623659" w:rsidRPr="00BF77C6" w:rsidRDefault="00623659" w:rsidP="00B31C59">
            <w:pPr>
              <w:keepNext/>
              <w:keepLines/>
              <w:tabs>
                <w:tab w:val="center" w:pos="4680"/>
              </w:tabs>
              <w:jc w:val="center"/>
              <w:rPr>
                <w:b/>
                <w:snapToGrid w:val="0"/>
                <w:sz w:val="22"/>
                <w:szCs w:val="22"/>
              </w:rPr>
            </w:pPr>
            <w:r w:rsidRPr="00BF77C6">
              <w:rPr>
                <w:b/>
                <w:sz w:val="24"/>
                <w:szCs w:val="24"/>
              </w:rPr>
              <w:t>Billing Unit</w:t>
            </w:r>
          </w:p>
        </w:tc>
      </w:tr>
      <w:tr w:rsidR="00623659" w:rsidRPr="00BF77C6" w14:paraId="32565578" w14:textId="77777777" w:rsidTr="00B31C59">
        <w:tc>
          <w:tcPr>
            <w:tcW w:w="4477" w:type="dxa"/>
            <w:vAlign w:val="center"/>
          </w:tcPr>
          <w:p w14:paraId="049C5DB4" w14:textId="5A0D4D7C" w:rsidR="00623659" w:rsidRPr="00BF77C6" w:rsidRDefault="00623659" w:rsidP="00533A5C">
            <w:pPr>
              <w:keepNext/>
              <w:keepLines/>
              <w:tabs>
                <w:tab w:val="center" w:pos="4680"/>
              </w:tabs>
              <w:rPr>
                <w:snapToGrid w:val="0"/>
                <w:sz w:val="22"/>
                <w:szCs w:val="22"/>
              </w:rPr>
            </w:pPr>
            <w:r w:rsidRPr="00BF77C6">
              <w:rPr>
                <w:sz w:val="24"/>
                <w:szCs w:val="24"/>
              </w:rPr>
              <w:t>Residential</w:t>
            </w:r>
          </w:p>
        </w:tc>
        <w:tc>
          <w:tcPr>
            <w:tcW w:w="2160" w:type="dxa"/>
            <w:vAlign w:val="center"/>
          </w:tcPr>
          <w:p w14:paraId="7DC38838" w14:textId="0B9CC45B" w:rsidR="00623659" w:rsidRPr="00BF77C6" w:rsidRDefault="00623659" w:rsidP="00533A5C">
            <w:pPr>
              <w:keepNext/>
              <w:keepLines/>
              <w:tabs>
                <w:tab w:val="center" w:pos="4680"/>
              </w:tabs>
              <w:jc w:val="center"/>
              <w:rPr>
                <w:snapToGrid w:val="0"/>
                <w:sz w:val="22"/>
                <w:szCs w:val="22"/>
              </w:rPr>
            </w:pPr>
            <w:r w:rsidRPr="00BF77C6">
              <w:rPr>
                <w:sz w:val="24"/>
                <w:szCs w:val="24"/>
              </w:rPr>
              <w:t>$0.000546</w:t>
            </w:r>
          </w:p>
        </w:tc>
        <w:tc>
          <w:tcPr>
            <w:tcW w:w="1530" w:type="dxa"/>
            <w:vAlign w:val="center"/>
          </w:tcPr>
          <w:p w14:paraId="514DD7A2" w14:textId="4B628123" w:rsidR="00623659" w:rsidRPr="00BF77C6" w:rsidRDefault="007A7E16" w:rsidP="00B31C59">
            <w:pPr>
              <w:keepNext/>
              <w:keepLines/>
              <w:tabs>
                <w:tab w:val="center" w:pos="4680"/>
              </w:tabs>
              <w:jc w:val="center"/>
              <w:rPr>
                <w:snapToGrid w:val="0"/>
                <w:sz w:val="22"/>
                <w:szCs w:val="22"/>
              </w:rPr>
            </w:pPr>
            <w:r w:rsidRPr="00BF77C6">
              <w:rPr>
                <w:sz w:val="24"/>
                <w:szCs w:val="24"/>
              </w:rPr>
              <w:t>p</w:t>
            </w:r>
            <w:r w:rsidR="00623659" w:rsidRPr="00BF77C6">
              <w:rPr>
                <w:sz w:val="24"/>
                <w:szCs w:val="24"/>
              </w:rPr>
              <w:t>er kWh</w:t>
            </w:r>
          </w:p>
        </w:tc>
      </w:tr>
      <w:tr w:rsidR="00623659" w:rsidRPr="00BF77C6" w14:paraId="3980A823" w14:textId="77777777" w:rsidTr="00B31C59">
        <w:tc>
          <w:tcPr>
            <w:tcW w:w="4477" w:type="dxa"/>
            <w:vAlign w:val="center"/>
          </w:tcPr>
          <w:p w14:paraId="35199A7C" w14:textId="48D91A42" w:rsidR="00623659" w:rsidRPr="00BF77C6" w:rsidRDefault="00623659" w:rsidP="00533A5C">
            <w:pPr>
              <w:keepNext/>
              <w:keepLines/>
              <w:tabs>
                <w:tab w:val="center" w:pos="4680"/>
              </w:tabs>
              <w:rPr>
                <w:snapToGrid w:val="0"/>
                <w:sz w:val="22"/>
                <w:szCs w:val="22"/>
              </w:rPr>
            </w:pPr>
            <w:r w:rsidRPr="00BF77C6">
              <w:rPr>
                <w:sz w:val="24"/>
                <w:szCs w:val="24"/>
              </w:rPr>
              <w:t xml:space="preserve">Secondary </w:t>
            </w:r>
            <w:r w:rsidR="00AC243B" w:rsidRPr="00BF77C6">
              <w:rPr>
                <w:sz w:val="24"/>
                <w:szCs w:val="24"/>
              </w:rPr>
              <w:t xml:space="preserve">≤ </w:t>
            </w:r>
            <w:r w:rsidRPr="00BF77C6">
              <w:rPr>
                <w:sz w:val="24"/>
                <w:szCs w:val="24"/>
              </w:rPr>
              <w:t>10 kVA</w:t>
            </w:r>
          </w:p>
        </w:tc>
        <w:tc>
          <w:tcPr>
            <w:tcW w:w="2160" w:type="dxa"/>
            <w:vAlign w:val="center"/>
          </w:tcPr>
          <w:p w14:paraId="3248623C" w14:textId="5C847F6A" w:rsidR="00623659" w:rsidRPr="00BF77C6" w:rsidRDefault="00623659" w:rsidP="00533A5C">
            <w:pPr>
              <w:keepNext/>
              <w:keepLines/>
              <w:tabs>
                <w:tab w:val="center" w:pos="4680"/>
              </w:tabs>
              <w:jc w:val="center"/>
              <w:rPr>
                <w:snapToGrid w:val="0"/>
                <w:sz w:val="22"/>
                <w:szCs w:val="22"/>
              </w:rPr>
            </w:pPr>
            <w:r w:rsidRPr="00BF77C6">
              <w:rPr>
                <w:sz w:val="24"/>
                <w:szCs w:val="24"/>
              </w:rPr>
              <w:t>$0.000229</w:t>
            </w:r>
          </w:p>
        </w:tc>
        <w:tc>
          <w:tcPr>
            <w:tcW w:w="1530" w:type="dxa"/>
            <w:vAlign w:val="center"/>
          </w:tcPr>
          <w:p w14:paraId="1DED73D0" w14:textId="3312F760" w:rsidR="00623659" w:rsidRPr="00BF77C6" w:rsidRDefault="007A7E16" w:rsidP="00B31C59">
            <w:pPr>
              <w:keepNext/>
              <w:keepLines/>
              <w:tabs>
                <w:tab w:val="center" w:pos="4680"/>
              </w:tabs>
              <w:jc w:val="center"/>
              <w:rPr>
                <w:snapToGrid w:val="0"/>
                <w:sz w:val="22"/>
                <w:szCs w:val="22"/>
              </w:rPr>
            </w:pPr>
            <w:r w:rsidRPr="00BF77C6">
              <w:rPr>
                <w:sz w:val="24"/>
                <w:szCs w:val="24"/>
              </w:rPr>
              <w:t>p</w:t>
            </w:r>
            <w:r w:rsidR="00623659" w:rsidRPr="00BF77C6">
              <w:rPr>
                <w:sz w:val="24"/>
                <w:szCs w:val="24"/>
              </w:rPr>
              <w:t>er kWh</w:t>
            </w:r>
          </w:p>
        </w:tc>
      </w:tr>
      <w:tr w:rsidR="00623659" w:rsidRPr="00BF77C6" w14:paraId="45017132" w14:textId="77777777" w:rsidTr="00B31C59">
        <w:tc>
          <w:tcPr>
            <w:tcW w:w="4477" w:type="dxa"/>
            <w:vAlign w:val="center"/>
          </w:tcPr>
          <w:p w14:paraId="17BF1BB0" w14:textId="60179177" w:rsidR="00623659" w:rsidRPr="00BF77C6" w:rsidRDefault="00623659" w:rsidP="00533A5C">
            <w:pPr>
              <w:keepNext/>
              <w:keepLines/>
              <w:tabs>
                <w:tab w:val="center" w:pos="4680"/>
              </w:tabs>
              <w:rPr>
                <w:snapToGrid w:val="0"/>
                <w:sz w:val="22"/>
                <w:szCs w:val="22"/>
              </w:rPr>
            </w:pPr>
            <w:r w:rsidRPr="00BF77C6">
              <w:rPr>
                <w:sz w:val="24"/>
                <w:szCs w:val="24"/>
              </w:rPr>
              <w:t xml:space="preserve">Secondary </w:t>
            </w:r>
            <w:r w:rsidR="00AC243B" w:rsidRPr="00BF77C6">
              <w:rPr>
                <w:sz w:val="24"/>
                <w:szCs w:val="24"/>
              </w:rPr>
              <w:t>≥</w:t>
            </w:r>
            <w:r w:rsidRPr="00BF77C6">
              <w:rPr>
                <w:sz w:val="24"/>
                <w:szCs w:val="24"/>
              </w:rPr>
              <w:t xml:space="preserve"> 10 kVA </w:t>
            </w:r>
          </w:p>
        </w:tc>
        <w:tc>
          <w:tcPr>
            <w:tcW w:w="2160" w:type="dxa"/>
            <w:vAlign w:val="center"/>
          </w:tcPr>
          <w:p w14:paraId="1995E1AB" w14:textId="0E4E60C3" w:rsidR="00623659" w:rsidRPr="00BF77C6" w:rsidRDefault="00623659" w:rsidP="00533A5C">
            <w:pPr>
              <w:keepNext/>
              <w:keepLines/>
              <w:tabs>
                <w:tab w:val="center" w:pos="4680"/>
              </w:tabs>
              <w:jc w:val="center"/>
              <w:rPr>
                <w:snapToGrid w:val="0"/>
                <w:sz w:val="22"/>
                <w:szCs w:val="22"/>
              </w:rPr>
            </w:pPr>
            <w:r w:rsidRPr="00BF77C6">
              <w:rPr>
                <w:sz w:val="24"/>
                <w:szCs w:val="24"/>
              </w:rPr>
              <w:t>$0.000428</w:t>
            </w:r>
          </w:p>
        </w:tc>
        <w:tc>
          <w:tcPr>
            <w:tcW w:w="1530" w:type="dxa"/>
            <w:vAlign w:val="center"/>
          </w:tcPr>
          <w:p w14:paraId="25FF0F7A" w14:textId="03346344" w:rsidR="00623659" w:rsidRPr="00BF77C6" w:rsidRDefault="007A7E16" w:rsidP="00B31C59">
            <w:pPr>
              <w:keepNext/>
              <w:keepLines/>
              <w:tabs>
                <w:tab w:val="center" w:pos="4680"/>
              </w:tabs>
              <w:jc w:val="center"/>
              <w:rPr>
                <w:snapToGrid w:val="0"/>
                <w:sz w:val="22"/>
                <w:szCs w:val="22"/>
              </w:rPr>
            </w:pPr>
            <w:r w:rsidRPr="00BF77C6">
              <w:rPr>
                <w:sz w:val="24"/>
                <w:szCs w:val="24"/>
              </w:rPr>
              <w:t>p</w:t>
            </w:r>
            <w:r w:rsidR="00623659" w:rsidRPr="00BF77C6">
              <w:rPr>
                <w:sz w:val="24"/>
                <w:szCs w:val="24"/>
              </w:rPr>
              <w:t>er kWh</w:t>
            </w:r>
          </w:p>
        </w:tc>
      </w:tr>
      <w:tr w:rsidR="00623659" w:rsidRPr="00BF77C6" w14:paraId="3DAEC30E" w14:textId="77777777" w:rsidTr="00B31C59">
        <w:tc>
          <w:tcPr>
            <w:tcW w:w="4477" w:type="dxa"/>
            <w:vAlign w:val="center"/>
          </w:tcPr>
          <w:p w14:paraId="636055A4" w14:textId="0BD0E3CD" w:rsidR="00623659" w:rsidRPr="00BF77C6" w:rsidRDefault="00623659" w:rsidP="00B31C59">
            <w:pPr>
              <w:keepNext/>
              <w:keepLines/>
              <w:tabs>
                <w:tab w:val="center" w:pos="4680"/>
              </w:tabs>
              <w:rPr>
                <w:snapToGrid w:val="0"/>
                <w:sz w:val="22"/>
                <w:szCs w:val="22"/>
              </w:rPr>
            </w:pPr>
            <w:r w:rsidRPr="00BF77C6">
              <w:rPr>
                <w:sz w:val="24"/>
                <w:szCs w:val="24"/>
              </w:rPr>
              <w:t>Primary</w:t>
            </w:r>
          </w:p>
        </w:tc>
        <w:tc>
          <w:tcPr>
            <w:tcW w:w="2160" w:type="dxa"/>
            <w:vAlign w:val="center"/>
          </w:tcPr>
          <w:p w14:paraId="01C2638D" w14:textId="0F1E2D3E" w:rsidR="00623659" w:rsidRPr="00BF77C6" w:rsidRDefault="00623659" w:rsidP="00B31C59">
            <w:pPr>
              <w:keepNext/>
              <w:keepLines/>
              <w:tabs>
                <w:tab w:val="center" w:pos="4680"/>
              </w:tabs>
              <w:jc w:val="center"/>
              <w:rPr>
                <w:snapToGrid w:val="0"/>
                <w:sz w:val="22"/>
                <w:szCs w:val="22"/>
              </w:rPr>
            </w:pPr>
            <w:r w:rsidRPr="00BF77C6">
              <w:rPr>
                <w:sz w:val="24"/>
                <w:szCs w:val="24"/>
              </w:rPr>
              <w:t>$0.000934</w:t>
            </w:r>
          </w:p>
        </w:tc>
        <w:tc>
          <w:tcPr>
            <w:tcW w:w="1530" w:type="dxa"/>
            <w:vAlign w:val="center"/>
          </w:tcPr>
          <w:p w14:paraId="1971CC13" w14:textId="67BFD683" w:rsidR="00623659" w:rsidRPr="00BF77C6" w:rsidRDefault="007A7E16" w:rsidP="00B31C59">
            <w:pPr>
              <w:keepNext/>
              <w:keepLines/>
              <w:tabs>
                <w:tab w:val="center" w:pos="4680"/>
              </w:tabs>
              <w:jc w:val="center"/>
              <w:rPr>
                <w:snapToGrid w:val="0"/>
                <w:sz w:val="22"/>
                <w:szCs w:val="22"/>
              </w:rPr>
            </w:pPr>
            <w:r w:rsidRPr="00BF77C6">
              <w:rPr>
                <w:sz w:val="24"/>
                <w:szCs w:val="24"/>
              </w:rPr>
              <w:t>p</w:t>
            </w:r>
            <w:r w:rsidR="00623659" w:rsidRPr="00BF77C6">
              <w:rPr>
                <w:sz w:val="24"/>
                <w:szCs w:val="24"/>
              </w:rPr>
              <w:t>er kWh</w:t>
            </w:r>
          </w:p>
        </w:tc>
      </w:tr>
      <w:tr w:rsidR="00623659" w:rsidRPr="00BF77C6" w14:paraId="427A7A80" w14:textId="77777777" w:rsidTr="00B31C59">
        <w:tc>
          <w:tcPr>
            <w:tcW w:w="4477" w:type="dxa"/>
            <w:vAlign w:val="center"/>
          </w:tcPr>
          <w:p w14:paraId="747DCBDF" w14:textId="56A0F158" w:rsidR="00623659" w:rsidRPr="00BF77C6" w:rsidRDefault="00623659" w:rsidP="00B31C59">
            <w:pPr>
              <w:keepNext/>
              <w:keepLines/>
              <w:tabs>
                <w:tab w:val="center" w:pos="4680"/>
              </w:tabs>
              <w:spacing w:line="276" w:lineRule="auto"/>
              <w:rPr>
                <w:sz w:val="24"/>
                <w:szCs w:val="24"/>
              </w:rPr>
            </w:pPr>
            <w:r w:rsidRPr="00BF77C6">
              <w:rPr>
                <w:sz w:val="24"/>
                <w:szCs w:val="24"/>
              </w:rPr>
              <w:t>Transmission</w:t>
            </w:r>
            <w:r w:rsidR="00CB76B8" w:rsidRPr="00BF77C6">
              <w:rPr>
                <w:sz w:val="24"/>
                <w:szCs w:val="24"/>
              </w:rPr>
              <w:t xml:space="preserve"> – </w:t>
            </w:r>
            <w:r w:rsidRPr="00BF77C6">
              <w:rPr>
                <w:sz w:val="24"/>
                <w:szCs w:val="24"/>
              </w:rPr>
              <w:t>Non-</w:t>
            </w:r>
            <w:r w:rsidR="0017009D" w:rsidRPr="00BF77C6">
              <w:rPr>
                <w:sz w:val="24"/>
                <w:szCs w:val="24"/>
              </w:rPr>
              <w:t>p</w:t>
            </w:r>
            <w:r w:rsidRPr="00BF77C6">
              <w:rPr>
                <w:sz w:val="24"/>
                <w:szCs w:val="24"/>
              </w:rPr>
              <w:t xml:space="preserve">rofit </w:t>
            </w:r>
            <w:r w:rsidR="0017009D" w:rsidRPr="00BF77C6">
              <w:rPr>
                <w:sz w:val="24"/>
                <w:szCs w:val="24"/>
              </w:rPr>
              <w:t>g</w:t>
            </w:r>
            <w:r w:rsidRPr="00BF77C6">
              <w:rPr>
                <w:sz w:val="24"/>
                <w:szCs w:val="24"/>
              </w:rPr>
              <w:t>overnmental</w:t>
            </w:r>
          </w:p>
        </w:tc>
        <w:tc>
          <w:tcPr>
            <w:tcW w:w="2160" w:type="dxa"/>
            <w:vAlign w:val="center"/>
          </w:tcPr>
          <w:p w14:paraId="19031769" w14:textId="0C91D32E" w:rsidR="00623659" w:rsidRPr="00BF77C6" w:rsidRDefault="00623659" w:rsidP="00B31C59">
            <w:pPr>
              <w:keepNext/>
              <w:keepLines/>
              <w:tabs>
                <w:tab w:val="center" w:pos="4680"/>
              </w:tabs>
              <w:jc w:val="center"/>
              <w:rPr>
                <w:snapToGrid w:val="0"/>
                <w:sz w:val="22"/>
                <w:szCs w:val="22"/>
              </w:rPr>
            </w:pPr>
            <w:r w:rsidRPr="00BF77C6">
              <w:rPr>
                <w:sz w:val="24"/>
                <w:szCs w:val="24"/>
              </w:rPr>
              <w:t>$0.000240</w:t>
            </w:r>
          </w:p>
        </w:tc>
        <w:tc>
          <w:tcPr>
            <w:tcW w:w="1530" w:type="dxa"/>
            <w:vAlign w:val="center"/>
          </w:tcPr>
          <w:p w14:paraId="26A5D21D" w14:textId="7757AEC8" w:rsidR="00623659" w:rsidRPr="00BF77C6" w:rsidRDefault="008E07E2" w:rsidP="00B31C59">
            <w:pPr>
              <w:keepNext/>
              <w:keepLines/>
              <w:tabs>
                <w:tab w:val="center" w:pos="4680"/>
              </w:tabs>
              <w:jc w:val="center"/>
              <w:rPr>
                <w:snapToGrid w:val="0"/>
                <w:sz w:val="22"/>
                <w:szCs w:val="22"/>
              </w:rPr>
            </w:pPr>
            <w:r>
              <w:rPr>
                <w:sz w:val="24"/>
                <w:szCs w:val="24"/>
              </w:rPr>
              <w:pict w14:anchorId="4C449A6A">
                <v:shapetype id="_x0000_t202" coordsize="21600,21600" o:spt="202" path="m,l,21600r21600,l21600,xe">
                  <v:stroke joinstyle="miter"/>
                  <v:path gradientshapeok="t" o:connecttype="rect"/>
                </v:shapetype>
                <v:shape id="Text Box 12" o:spid="_x0000_s1029" type="#_x0000_t202" style="position:absolute;left:0;text-align:left;margin-left:186.8pt;margin-top:-1.35pt;width:22.2pt;height:21.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&#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" fillcolor="white [3201]" stroked="f" strokeweight=".5pt">
                  <v:textbox style="mso-next-textbox:#Text Box 12">
                    <w:txbxContent>
                      <w:p w14:paraId="7EE4A8B9" w14:textId="77777777" w:rsidR="00C41D30" w:rsidRDefault="00C41D30"/>
                    </w:txbxContent>
                  </v:textbox>
                </v:shape>
              </w:pict>
            </w:r>
            <w:r w:rsidR="007A7E16" w:rsidRPr="00BF77C6">
              <w:rPr>
                <w:sz w:val="24"/>
                <w:szCs w:val="24"/>
              </w:rPr>
              <w:t>p</w:t>
            </w:r>
            <w:r w:rsidR="00623659" w:rsidRPr="00BF77C6">
              <w:rPr>
                <w:sz w:val="24"/>
                <w:szCs w:val="24"/>
              </w:rPr>
              <w:t>er kWh</w:t>
            </w:r>
          </w:p>
        </w:tc>
      </w:tr>
      <w:tr w:rsidR="00623659" w:rsidRPr="00BF77C6" w14:paraId="44A970D9" w14:textId="77777777" w:rsidTr="00B31C59">
        <w:tc>
          <w:tcPr>
            <w:tcW w:w="4477" w:type="dxa"/>
            <w:vAlign w:val="center"/>
          </w:tcPr>
          <w:p w14:paraId="6FBA63C7" w14:textId="1B662591" w:rsidR="00623659" w:rsidRPr="00BF77C6" w:rsidRDefault="00623659" w:rsidP="00B31C59">
            <w:pPr>
              <w:keepNext/>
              <w:keepLines/>
              <w:tabs>
                <w:tab w:val="center" w:pos="4680"/>
              </w:tabs>
              <w:rPr>
                <w:snapToGrid w:val="0"/>
                <w:sz w:val="22"/>
                <w:szCs w:val="22"/>
              </w:rPr>
            </w:pPr>
            <w:r w:rsidRPr="00BF77C6">
              <w:rPr>
                <w:sz w:val="24"/>
                <w:szCs w:val="24"/>
              </w:rPr>
              <w:t>Transmission – Industrial</w:t>
            </w:r>
          </w:p>
        </w:tc>
        <w:tc>
          <w:tcPr>
            <w:tcW w:w="2160" w:type="dxa"/>
            <w:vAlign w:val="center"/>
          </w:tcPr>
          <w:p w14:paraId="5C92BCFB" w14:textId="5599EAB8" w:rsidR="00623659" w:rsidRPr="00BF77C6" w:rsidRDefault="00623659" w:rsidP="00B31C59">
            <w:pPr>
              <w:keepNext/>
              <w:keepLines/>
              <w:tabs>
                <w:tab w:val="center" w:pos="4680"/>
              </w:tabs>
              <w:jc w:val="center"/>
              <w:rPr>
                <w:snapToGrid w:val="0"/>
                <w:sz w:val="22"/>
                <w:szCs w:val="22"/>
              </w:rPr>
            </w:pPr>
            <w:r w:rsidRPr="00BF77C6">
              <w:rPr>
                <w:sz w:val="24"/>
                <w:szCs w:val="24"/>
              </w:rPr>
              <w:t>$0.000000</w:t>
            </w:r>
          </w:p>
        </w:tc>
        <w:tc>
          <w:tcPr>
            <w:tcW w:w="1530" w:type="dxa"/>
            <w:vAlign w:val="center"/>
          </w:tcPr>
          <w:p w14:paraId="0468D469" w14:textId="38BBE658" w:rsidR="00623659" w:rsidRPr="00BF77C6" w:rsidRDefault="007A7E16" w:rsidP="00B31C59">
            <w:pPr>
              <w:keepNext/>
              <w:keepLines/>
              <w:tabs>
                <w:tab w:val="center" w:pos="4680"/>
              </w:tabs>
              <w:jc w:val="center"/>
              <w:rPr>
                <w:snapToGrid w:val="0"/>
                <w:sz w:val="22"/>
                <w:szCs w:val="22"/>
              </w:rPr>
            </w:pPr>
            <w:r w:rsidRPr="00BF77C6">
              <w:rPr>
                <w:sz w:val="24"/>
                <w:szCs w:val="24"/>
              </w:rPr>
              <w:t>p</w:t>
            </w:r>
            <w:r w:rsidR="00623659" w:rsidRPr="00BF77C6">
              <w:rPr>
                <w:sz w:val="24"/>
                <w:szCs w:val="24"/>
              </w:rPr>
              <w:t>er kWh</w:t>
            </w:r>
            <w:r w:rsidR="00623659" w:rsidRPr="00BF77C6">
              <w:rPr>
                <w:b/>
                <w:noProof/>
                <w:sz w:val="24"/>
                <w:szCs w:val="24"/>
              </w:rPr>
              <w:t xml:space="preserve"> </w:t>
            </w:r>
            <w:r w:rsidR="008E07E2">
              <w:rPr>
                <w:sz w:val="24"/>
                <w:szCs w:val="24"/>
              </w:rPr>
              <w:pict w14:anchorId="6AC5EFB6">
                <v:shape id="_x0000_s1030" type="#_x0000_t202" style="position:absolute;left:0;text-align:left;margin-left:180.1pt;margin-top:-3.5pt;width:24pt;height:21.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" filled="f" stroked="f">
                  <v:textbox style="mso-next-textbox:#_x0000_s1030;mso-fit-shape-to-text:t">
                    <w:txbxContent>
                      <w:p w14:paraId="468A1366" w14:textId="77777777" w:rsidR="00C41D30" w:rsidRDefault="00C41D30"/>
                    </w:txbxContent>
                  </v:textbox>
                </v:shape>
              </w:pict>
            </w:r>
          </w:p>
        </w:tc>
      </w:tr>
      <w:tr w:rsidR="00623659" w:rsidRPr="00BF77C6" w14:paraId="12518BDB" w14:textId="77777777" w:rsidTr="00B31C59">
        <w:tc>
          <w:tcPr>
            <w:tcW w:w="4477" w:type="dxa"/>
            <w:vAlign w:val="center"/>
          </w:tcPr>
          <w:p w14:paraId="335B1138" w14:textId="1B80A06D" w:rsidR="00623659" w:rsidRPr="00BF77C6" w:rsidRDefault="00623659" w:rsidP="00916357">
            <w:pPr>
              <w:tabs>
                <w:tab w:val="center" w:pos="4680"/>
              </w:tabs>
              <w:rPr>
                <w:snapToGrid w:val="0"/>
                <w:sz w:val="22"/>
                <w:szCs w:val="22"/>
              </w:rPr>
            </w:pPr>
            <w:r w:rsidRPr="00BF77C6">
              <w:rPr>
                <w:sz w:val="24"/>
                <w:szCs w:val="24"/>
              </w:rPr>
              <w:t>Lighting</w:t>
            </w:r>
          </w:p>
        </w:tc>
        <w:tc>
          <w:tcPr>
            <w:tcW w:w="2160" w:type="dxa"/>
            <w:vAlign w:val="center"/>
          </w:tcPr>
          <w:p w14:paraId="47B069C2" w14:textId="4814D50D" w:rsidR="00623659" w:rsidRPr="00BF77C6" w:rsidRDefault="00623659" w:rsidP="00916357">
            <w:pPr>
              <w:tabs>
                <w:tab w:val="center" w:pos="4680"/>
              </w:tabs>
              <w:jc w:val="center"/>
              <w:rPr>
                <w:snapToGrid w:val="0"/>
                <w:sz w:val="22"/>
                <w:szCs w:val="22"/>
              </w:rPr>
            </w:pPr>
            <w:r w:rsidRPr="00BF77C6">
              <w:rPr>
                <w:sz w:val="24"/>
                <w:szCs w:val="24"/>
              </w:rPr>
              <w:t>N/A</w:t>
            </w:r>
          </w:p>
        </w:tc>
        <w:tc>
          <w:tcPr>
            <w:tcW w:w="1530" w:type="dxa"/>
            <w:vAlign w:val="center"/>
          </w:tcPr>
          <w:p w14:paraId="55D61E34" w14:textId="1F90D25A" w:rsidR="00623659" w:rsidRPr="00BF77C6" w:rsidRDefault="008E07E2" w:rsidP="00B31C59">
            <w:pPr>
              <w:tabs>
                <w:tab w:val="center" w:pos="4680"/>
              </w:tabs>
              <w:jc w:val="center"/>
              <w:rPr>
                <w:snapToGrid w:val="0"/>
                <w:sz w:val="22"/>
                <w:szCs w:val="22"/>
              </w:rPr>
            </w:pPr>
            <w:r>
              <w:rPr>
                <w:sz w:val="24"/>
                <w:szCs w:val="24"/>
              </w:rPr>
              <w:pict w14:anchorId="0718F6F8">
                <v:shape id="_x0000_s1031" type="#_x0000_t202" style="position:absolute;left:0;text-align:left;margin-left:183.35pt;margin-top:-5.45pt;width:24pt;height:21.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" filled="f" stroked="f">
                  <v:textbox style="mso-next-textbox:#_x0000_s1031;mso-fit-shape-to-text:t">
                    <w:txbxContent>
                      <w:p w14:paraId="63C74828" w14:textId="77777777" w:rsidR="00C41D30" w:rsidRDefault="00C41D30"/>
                    </w:txbxContent>
                  </v:textbox>
                </v:shape>
              </w:pict>
            </w:r>
            <w:r w:rsidR="000F5D1D">
              <w:rPr>
                <w:snapToGrid w:val="0"/>
                <w:sz w:val="22"/>
                <w:szCs w:val="22"/>
              </w:rPr>
              <w:t>N/A</w:t>
            </w:r>
          </w:p>
        </w:tc>
      </w:tr>
    </w:tbl>
    <w:p w14:paraId="04046CE8" w14:textId="03474086" w:rsidR="00AC7A54" w:rsidRPr="00BF77C6" w:rsidRDefault="00AC7A54" w:rsidP="00235E6E">
      <w:pPr>
        <w:pStyle w:val="Heading7"/>
        <w:rPr>
          <w:rFonts w:eastAsia="Times New Roman"/>
          <w:snapToGrid w:val="0"/>
        </w:rPr>
      </w:pPr>
      <w:r w:rsidRPr="00BF77C6">
        <w:rPr>
          <w:rFonts w:eastAsia="Times New Roman"/>
          <w:snapToGrid w:val="0"/>
        </w:rPr>
        <w:t xml:space="preserve">Elements of Recovery and Coordination of Base Rate Recovery </w:t>
      </w:r>
      <w:r w:rsidRPr="00BF77C6">
        <w:rPr>
          <w:rFonts w:eastAsia="Times New Roman"/>
          <w:snapToGrid w:val="0"/>
          <w:sz w:val="16"/>
          <w:szCs w:val="16"/>
        </w:rPr>
        <w:t>16 TAC §§ 25.18</w:t>
      </w:r>
      <w:r w:rsidR="00EA1EDC" w:rsidRPr="00BF77C6">
        <w:rPr>
          <w:rFonts w:eastAsia="Times New Roman"/>
          <w:snapToGrid w:val="0"/>
          <w:sz w:val="16"/>
          <w:szCs w:val="16"/>
        </w:rPr>
        <w:t>2</w:t>
      </w:r>
      <w:r w:rsidRPr="00BF77C6">
        <w:rPr>
          <w:rFonts w:eastAsia="Times New Roman"/>
          <w:snapToGrid w:val="0"/>
          <w:sz w:val="16"/>
          <w:szCs w:val="16"/>
        </w:rPr>
        <w:t>(</w:t>
      </w:r>
      <w:r w:rsidR="00EA1EDC" w:rsidRPr="00BF77C6">
        <w:rPr>
          <w:rFonts w:eastAsia="Times New Roman"/>
          <w:snapToGrid w:val="0"/>
          <w:sz w:val="16"/>
          <w:szCs w:val="16"/>
        </w:rPr>
        <w:t>d</w:t>
      </w:r>
      <w:r w:rsidRPr="00BF77C6">
        <w:rPr>
          <w:rFonts w:eastAsia="Times New Roman"/>
          <w:snapToGrid w:val="0"/>
          <w:sz w:val="16"/>
          <w:szCs w:val="16"/>
        </w:rPr>
        <w:t>)(1) and (</w:t>
      </w:r>
      <w:r w:rsidR="00EA1EDC" w:rsidRPr="00BF77C6">
        <w:rPr>
          <w:rFonts w:eastAsia="Times New Roman"/>
          <w:snapToGrid w:val="0"/>
          <w:sz w:val="16"/>
          <w:szCs w:val="16"/>
        </w:rPr>
        <w:t>d</w:t>
      </w:r>
      <w:r w:rsidRPr="00BF77C6">
        <w:rPr>
          <w:rFonts w:eastAsia="Times New Roman"/>
          <w:snapToGrid w:val="0"/>
          <w:sz w:val="16"/>
          <w:szCs w:val="16"/>
        </w:rPr>
        <w:t>)(6)</w:t>
      </w:r>
      <w:r w:rsidRPr="00BF77C6">
        <w:rPr>
          <w:rFonts w:eastAsia="Times New Roman"/>
          <w:snapToGrid w:val="0"/>
        </w:rPr>
        <w:t xml:space="preserve"> </w:t>
      </w:r>
    </w:p>
    <w:p w14:paraId="38D2A3B9" w14:textId="39ECDB31" w:rsidR="00AC7A54" w:rsidRPr="00BF77C6" w:rsidRDefault="00AC7A54" w:rsidP="00517339">
      <w:pPr>
        <w:pStyle w:val="FOFNumbered"/>
      </w:pPr>
      <w:r w:rsidRPr="00BF77C6">
        <w:t xml:space="preserve">CenterPoint Houston’s EECRF is calculated to recover </w:t>
      </w:r>
      <w:r w:rsidR="00537518">
        <w:t>it</w:t>
      </w:r>
      <w:r w:rsidRPr="00BF77C6">
        <w:t xml:space="preserve">s forecasted annual energy-efficiency program expenditures, proceeding expenses from </w:t>
      </w:r>
      <w:r w:rsidR="00AA26C6">
        <w:t>it</w:t>
      </w:r>
      <w:r w:rsidRPr="00BF77C6">
        <w:t xml:space="preserve">s </w:t>
      </w:r>
      <w:r w:rsidR="00AC4ADD" w:rsidRPr="00BF77C6">
        <w:t>201</w:t>
      </w:r>
      <w:r w:rsidR="00EA1EDC" w:rsidRPr="00BF77C6">
        <w:t>8</w:t>
      </w:r>
      <w:r w:rsidR="00AC4ADD" w:rsidRPr="00BF77C6">
        <w:t xml:space="preserve"> </w:t>
      </w:r>
      <w:r w:rsidRPr="00BF77C6">
        <w:t xml:space="preserve">EECRF docket, </w:t>
      </w:r>
      <w:r w:rsidR="007A3A8B" w:rsidRPr="00BF77C6">
        <w:t xml:space="preserve">a </w:t>
      </w:r>
      <w:r w:rsidRPr="00BF77C6">
        <w:t>performance bonus,</w:t>
      </w:r>
      <w:r w:rsidR="005E64BD" w:rsidRPr="00BF77C6">
        <w:t xml:space="preserve"> and</w:t>
      </w:r>
      <w:r w:rsidRPr="00BF77C6">
        <w:t xml:space="preserve"> EM&amp;V </w:t>
      </w:r>
      <w:r w:rsidR="00333B72" w:rsidRPr="00BF77C6">
        <w:t>expenses</w:t>
      </w:r>
      <w:r w:rsidRPr="00BF77C6">
        <w:t xml:space="preserve"> allocated to CenterPoint Houston by the Commission</w:t>
      </w:r>
      <w:r w:rsidR="00086479" w:rsidRPr="00BF77C6">
        <w:t>.</w:t>
      </w:r>
      <w:r w:rsidR="00B1656F" w:rsidRPr="00BF77C6">
        <w:t xml:space="preserve"> </w:t>
      </w:r>
      <w:r w:rsidR="00086479" w:rsidRPr="00BF77C6">
        <w:t xml:space="preserve"> The EECRF is also calculated </w:t>
      </w:r>
      <w:r w:rsidR="00B1656F" w:rsidRPr="00BF77C6">
        <w:t xml:space="preserve">to refund the preceding year’s over-recovery. </w:t>
      </w:r>
    </w:p>
    <w:p w14:paraId="03DFC6D4" w14:textId="77777777" w:rsidR="00AC7A54" w:rsidRPr="00BF77C6" w:rsidRDefault="00AC7A54" w:rsidP="00517339">
      <w:pPr>
        <w:pStyle w:val="FOFNumbered"/>
      </w:pPr>
      <w:r w:rsidRPr="00BF77C6">
        <w:t>CenterPoint Houston does not recover any energy-efficiency costs in its base rates.</w:t>
      </w:r>
    </w:p>
    <w:p w14:paraId="3ADB6598" w14:textId="2BD6EC45" w:rsidR="00AC7A54" w:rsidRPr="00BF77C6" w:rsidRDefault="00AC7A54" w:rsidP="00517339">
      <w:pPr>
        <w:pStyle w:val="FOFNumbered"/>
      </w:pPr>
      <w:r w:rsidRPr="00BF77C6">
        <w:t>CenterPoint Houston’s EECRF is designed to provide only for energy charges for residential and commercial rate classes in compliance with 16 TAC § 25.18</w:t>
      </w:r>
      <w:r w:rsidR="00EA1EDC" w:rsidRPr="00BF77C6">
        <w:t>2</w:t>
      </w:r>
      <w:r w:rsidRPr="00BF77C6">
        <w:t>(</w:t>
      </w:r>
      <w:r w:rsidR="00EA1EDC" w:rsidRPr="00BF77C6">
        <w:t>d</w:t>
      </w:r>
      <w:r w:rsidRPr="00BF77C6">
        <w:t>)(6).</w:t>
      </w:r>
    </w:p>
    <w:p w14:paraId="0DD54300" w14:textId="31E0C869" w:rsidR="00AC7A54" w:rsidRPr="00BF77C6" w:rsidRDefault="00AC7A54" w:rsidP="009D1920">
      <w:pPr>
        <w:pStyle w:val="Heading7"/>
        <w:spacing w:before="240"/>
        <w:rPr>
          <w:rFonts w:eastAsia="Times New Roman"/>
          <w:snapToGrid w:val="0"/>
        </w:rPr>
      </w:pPr>
      <w:r w:rsidRPr="00BF77C6">
        <w:rPr>
          <w:rFonts w:eastAsia="Times New Roman"/>
          <w:snapToGrid w:val="0"/>
        </w:rPr>
        <w:t xml:space="preserve">EECRF Cost Caps </w:t>
      </w:r>
      <w:r w:rsidRPr="00BF77C6">
        <w:rPr>
          <w:rFonts w:eastAsia="Times New Roman"/>
          <w:b w:val="0"/>
          <w:snapToGrid w:val="0"/>
          <w:sz w:val="16"/>
          <w:szCs w:val="16"/>
        </w:rPr>
        <w:t>16 TAC § 25.18</w:t>
      </w:r>
      <w:r w:rsidR="00EA1EDC" w:rsidRPr="00BF77C6">
        <w:rPr>
          <w:rFonts w:eastAsia="Times New Roman"/>
          <w:b w:val="0"/>
          <w:snapToGrid w:val="0"/>
          <w:sz w:val="16"/>
          <w:szCs w:val="16"/>
        </w:rPr>
        <w:t>2</w:t>
      </w:r>
      <w:r w:rsidRPr="00BF77C6">
        <w:rPr>
          <w:rFonts w:eastAsia="Times New Roman"/>
          <w:b w:val="0"/>
          <w:snapToGrid w:val="0"/>
          <w:sz w:val="16"/>
          <w:szCs w:val="16"/>
        </w:rPr>
        <w:t>(</w:t>
      </w:r>
      <w:r w:rsidR="00EA1EDC" w:rsidRPr="00BF77C6">
        <w:rPr>
          <w:rFonts w:eastAsia="Times New Roman"/>
          <w:b w:val="0"/>
          <w:snapToGrid w:val="0"/>
          <w:sz w:val="16"/>
          <w:szCs w:val="16"/>
        </w:rPr>
        <w:t>d</w:t>
      </w:r>
      <w:r w:rsidRPr="00BF77C6">
        <w:rPr>
          <w:rFonts w:eastAsia="Times New Roman"/>
          <w:b w:val="0"/>
          <w:snapToGrid w:val="0"/>
          <w:sz w:val="16"/>
          <w:szCs w:val="16"/>
        </w:rPr>
        <w:t>)(7)</w:t>
      </w:r>
    </w:p>
    <w:p w14:paraId="1ECEE9A1" w14:textId="22385F6F" w:rsidR="00F67F1B" w:rsidRPr="00BF77C6" w:rsidRDefault="009B425A" w:rsidP="00517339">
      <w:pPr>
        <w:pStyle w:val="FOFNumbered"/>
      </w:pPr>
      <w:r w:rsidRPr="00BF77C6">
        <w:t>Before applying the consumer price index adjustment, CenterPoint Houston used a base cap of $.001303 per kWh for the residential class and $.000815 per kWh for the commercial classes.  CenterPoint Houston calculated its EECRF cost caps for the 2020 program year to be $.001332 per kWh for the residential class and $.000833 per kWh for commercial customers.</w:t>
      </w:r>
    </w:p>
    <w:p w14:paraId="02E59524" w14:textId="6336F812" w:rsidR="00AC7A54" w:rsidRPr="00852152" w:rsidRDefault="00AC7A54" w:rsidP="00517339">
      <w:pPr>
        <w:pStyle w:val="FOFNumbered"/>
      </w:pPr>
      <w:r w:rsidRPr="00852152">
        <w:t>CenterPoint Houston’s EECRF tariff rider will impose a charge of $0.000</w:t>
      </w:r>
      <w:r w:rsidR="0087714E" w:rsidRPr="00852152">
        <w:t>546</w:t>
      </w:r>
      <w:r w:rsidRPr="00852152">
        <w:t xml:space="preserve"> per kWh on residential customers and a range of $0.00000 per kWh to $0.000</w:t>
      </w:r>
      <w:r w:rsidR="0087714E" w:rsidRPr="00852152">
        <w:t>934</w:t>
      </w:r>
      <w:r w:rsidRPr="00852152">
        <w:t xml:space="preserve"> per kWh for the commercial classes.</w:t>
      </w:r>
      <w:r w:rsidR="002F43E4" w:rsidRPr="00852152">
        <w:t xml:space="preserve">  The group rate is $0.000469 per kWh for the purpose of the commercial cost cap.</w:t>
      </w:r>
    </w:p>
    <w:p w14:paraId="3C973CC7" w14:textId="360FCF18" w:rsidR="00AC7A54" w:rsidRPr="00BF77C6" w:rsidRDefault="00AC7A54" w:rsidP="009D1920">
      <w:pPr>
        <w:pStyle w:val="Heading7"/>
        <w:rPr>
          <w:rFonts w:eastAsia="Times New Roman"/>
          <w:snapToGrid w:val="0"/>
          <w:sz w:val="16"/>
          <w:szCs w:val="16"/>
        </w:rPr>
      </w:pPr>
      <w:r w:rsidRPr="00BF77C6">
        <w:rPr>
          <w:rFonts w:eastAsia="Times New Roman"/>
          <w:snapToGrid w:val="0"/>
        </w:rPr>
        <w:t xml:space="preserve">Over- or Under-Recovery </w:t>
      </w:r>
      <w:r w:rsidRPr="00BF77C6">
        <w:rPr>
          <w:rFonts w:eastAsia="Times New Roman"/>
          <w:b w:val="0"/>
          <w:snapToGrid w:val="0"/>
          <w:sz w:val="16"/>
          <w:szCs w:val="16"/>
        </w:rPr>
        <w:t>16 TAC § 25.18</w:t>
      </w:r>
      <w:r w:rsidR="0087714E" w:rsidRPr="00BF77C6">
        <w:rPr>
          <w:rFonts w:eastAsia="Times New Roman"/>
          <w:b w:val="0"/>
          <w:snapToGrid w:val="0"/>
          <w:sz w:val="16"/>
          <w:szCs w:val="16"/>
        </w:rPr>
        <w:t>2</w:t>
      </w:r>
      <w:r w:rsidRPr="00BF77C6">
        <w:rPr>
          <w:rFonts w:eastAsia="Times New Roman"/>
          <w:b w:val="0"/>
          <w:snapToGrid w:val="0"/>
          <w:sz w:val="16"/>
          <w:szCs w:val="16"/>
        </w:rPr>
        <w:t>(</w:t>
      </w:r>
      <w:r w:rsidR="0087714E" w:rsidRPr="00BF77C6">
        <w:rPr>
          <w:rFonts w:eastAsia="Times New Roman"/>
          <w:b w:val="0"/>
          <w:snapToGrid w:val="0"/>
          <w:sz w:val="16"/>
          <w:szCs w:val="16"/>
        </w:rPr>
        <w:t>d</w:t>
      </w:r>
      <w:r w:rsidRPr="00BF77C6">
        <w:rPr>
          <w:rFonts w:eastAsia="Times New Roman"/>
          <w:b w:val="0"/>
          <w:snapToGrid w:val="0"/>
          <w:sz w:val="16"/>
          <w:szCs w:val="16"/>
        </w:rPr>
        <w:t>)(2)</w:t>
      </w:r>
    </w:p>
    <w:p w14:paraId="110368B4" w14:textId="1FFE0A1F" w:rsidR="005B0631" w:rsidRPr="00BF77C6" w:rsidRDefault="005B0631" w:rsidP="00517339">
      <w:pPr>
        <w:pStyle w:val="FOFNumbered"/>
      </w:pPr>
      <w:r w:rsidRPr="00BF77C6">
        <w:t xml:space="preserve">CenterPoint Houston requests to refund to each rate class the difference between the actual EECRF revenues and </w:t>
      </w:r>
      <w:r w:rsidR="00A0044A" w:rsidRPr="00BF77C6">
        <w:t xml:space="preserve">the </w:t>
      </w:r>
      <w:r w:rsidRPr="00BF77C6">
        <w:t>actual costs for that class, which results in a net over-recovery.</w:t>
      </w:r>
    </w:p>
    <w:p w14:paraId="4AD473AB" w14:textId="0B726654" w:rsidR="00AC7A54" w:rsidRPr="00BF77C6" w:rsidRDefault="00B5042F" w:rsidP="00517339">
      <w:pPr>
        <w:pStyle w:val="FOFNumbered"/>
      </w:pPr>
      <w:r w:rsidRPr="00BF77C6">
        <w:lastRenderedPageBreak/>
        <w:t>CenterPoint Houston</w:t>
      </w:r>
      <w:r w:rsidR="005D7FD8" w:rsidRPr="00BF77C6">
        <w:t xml:space="preserve"> </w:t>
      </w:r>
      <w:r w:rsidR="00AC7A54" w:rsidRPr="00BF77C6">
        <w:t>accurately calculate</w:t>
      </w:r>
      <w:r w:rsidR="005B0631" w:rsidRPr="00BF77C6">
        <w:t>d</w:t>
      </w:r>
      <w:r w:rsidR="00AC7A54" w:rsidRPr="00BF77C6">
        <w:t xml:space="preserve"> the</w:t>
      </w:r>
      <w:r w:rsidR="00F0763E">
        <w:t xml:space="preserve"> </w:t>
      </w:r>
      <w:r w:rsidR="00AC7A54" w:rsidRPr="00BF77C6">
        <w:t>over-recovery of 201</w:t>
      </w:r>
      <w:r w:rsidR="0087714E" w:rsidRPr="00BF77C6">
        <w:t>8</w:t>
      </w:r>
      <w:r w:rsidR="00AC7A54" w:rsidRPr="00BF77C6">
        <w:t xml:space="preserve"> program costs</w:t>
      </w:r>
      <w:r w:rsidR="0087714E" w:rsidRPr="00BF77C6">
        <w:t xml:space="preserve"> </w:t>
      </w:r>
      <w:r w:rsidR="00F0763E">
        <w:t>in the amount of</w:t>
      </w:r>
      <w:r w:rsidR="00B514D1" w:rsidRPr="00BF77C6">
        <w:t xml:space="preserve"> $5,920,293 plus</w:t>
      </w:r>
      <w:r w:rsidR="0087714E" w:rsidRPr="00BF77C6">
        <w:t xml:space="preserve"> </w:t>
      </w:r>
      <w:r w:rsidR="00F0763E" w:rsidRPr="00BF77C6">
        <w:t>$181,214</w:t>
      </w:r>
      <w:r w:rsidR="00F0763E">
        <w:t xml:space="preserve"> in </w:t>
      </w:r>
      <w:r w:rsidR="00822A9D" w:rsidRPr="00BF77C6">
        <w:t>interest</w:t>
      </w:r>
      <w:r w:rsidR="00AC7A54" w:rsidRPr="00BF77C6">
        <w:t>.</w:t>
      </w:r>
    </w:p>
    <w:p w14:paraId="53663C63" w14:textId="2BA895E6" w:rsidR="00AC7A54" w:rsidRPr="00BF77C6" w:rsidRDefault="00AC7A54" w:rsidP="009D1920">
      <w:pPr>
        <w:pStyle w:val="Heading7"/>
        <w:rPr>
          <w:rFonts w:eastAsia="Times New Roman"/>
          <w:snapToGrid w:val="0"/>
        </w:rPr>
      </w:pPr>
      <w:r w:rsidRPr="00BF77C6">
        <w:rPr>
          <w:rFonts w:eastAsia="Times New Roman"/>
          <w:snapToGrid w:val="0"/>
        </w:rPr>
        <w:t xml:space="preserve">Proceeding Expenses </w:t>
      </w:r>
      <w:r w:rsidRPr="00BF77C6">
        <w:rPr>
          <w:rFonts w:eastAsia="Times New Roman"/>
          <w:b w:val="0"/>
          <w:snapToGrid w:val="0"/>
          <w:sz w:val="16"/>
          <w:szCs w:val="16"/>
        </w:rPr>
        <w:t>16 TAC § 25.18</w:t>
      </w:r>
      <w:r w:rsidR="0087714E" w:rsidRPr="00BF77C6">
        <w:rPr>
          <w:rFonts w:eastAsia="Times New Roman"/>
          <w:b w:val="0"/>
          <w:snapToGrid w:val="0"/>
          <w:sz w:val="16"/>
          <w:szCs w:val="16"/>
        </w:rPr>
        <w:t>2</w:t>
      </w:r>
      <w:r w:rsidRPr="00BF77C6">
        <w:rPr>
          <w:rFonts w:eastAsia="Times New Roman"/>
          <w:b w:val="0"/>
          <w:snapToGrid w:val="0"/>
          <w:sz w:val="16"/>
          <w:szCs w:val="16"/>
        </w:rPr>
        <w:t>(</w:t>
      </w:r>
      <w:r w:rsidR="0087714E" w:rsidRPr="00BF77C6">
        <w:rPr>
          <w:rFonts w:eastAsia="Times New Roman"/>
          <w:b w:val="0"/>
          <w:snapToGrid w:val="0"/>
          <w:sz w:val="16"/>
          <w:szCs w:val="16"/>
        </w:rPr>
        <w:t>d</w:t>
      </w:r>
      <w:r w:rsidRPr="00BF77C6">
        <w:rPr>
          <w:rFonts w:eastAsia="Times New Roman"/>
          <w:b w:val="0"/>
          <w:snapToGrid w:val="0"/>
          <w:sz w:val="16"/>
          <w:szCs w:val="16"/>
        </w:rPr>
        <w:t>)(3)</w:t>
      </w:r>
    </w:p>
    <w:p w14:paraId="142796EE" w14:textId="1EF9B613" w:rsidR="00AC7A54" w:rsidRPr="00BF77C6" w:rsidRDefault="004E1254" w:rsidP="00517339">
      <w:pPr>
        <w:pStyle w:val="FOFNumbered"/>
      </w:pPr>
      <w:r w:rsidRPr="00BF77C6">
        <w:t xml:space="preserve">As part of the application, </w:t>
      </w:r>
      <w:r w:rsidR="00AC7A54" w:rsidRPr="00BF77C6">
        <w:t xml:space="preserve">CenterPoint Houston </w:t>
      </w:r>
      <w:r w:rsidR="005B0631" w:rsidRPr="00BF77C6">
        <w:t xml:space="preserve">filed </w:t>
      </w:r>
      <w:r w:rsidR="00AC7A54" w:rsidRPr="00BF77C6">
        <w:t xml:space="preserve">the affidavit of </w:t>
      </w:r>
      <w:r w:rsidR="00CC01E7" w:rsidRPr="00BF77C6">
        <w:t>Se H. Chang</w:t>
      </w:r>
      <w:r w:rsidR="00AC7A54" w:rsidRPr="00BF77C6">
        <w:t xml:space="preserve"> </w:t>
      </w:r>
      <w:r w:rsidR="005B0631" w:rsidRPr="00BF77C6">
        <w:t xml:space="preserve">to support </w:t>
      </w:r>
      <w:r w:rsidR="00AC7A54" w:rsidRPr="00BF77C6">
        <w:t xml:space="preserve">the reasonableness and necessity of </w:t>
      </w:r>
      <w:r w:rsidR="005B0631" w:rsidRPr="00BF77C6">
        <w:t>its</w:t>
      </w:r>
      <w:r w:rsidR="00AC7A54" w:rsidRPr="00BF77C6">
        <w:t xml:space="preserve"> rate-case expenses</w:t>
      </w:r>
      <w:r w:rsidRPr="00BF77C6">
        <w:t xml:space="preserve"> in Docket No. 48420</w:t>
      </w:r>
      <w:r w:rsidR="005B0631" w:rsidRPr="00BF77C6">
        <w:t>.</w:t>
      </w:r>
      <w:r w:rsidR="00AC7A54" w:rsidRPr="00BF77C6">
        <w:t xml:space="preserve"> </w:t>
      </w:r>
      <w:r w:rsidR="005B0631" w:rsidRPr="00BF77C6">
        <w:t xml:space="preserve"> Based on his experience, </w:t>
      </w:r>
      <w:r w:rsidR="00AC7A54" w:rsidRPr="00BF77C6">
        <w:t>Mr.</w:t>
      </w:r>
      <w:r w:rsidR="00077000" w:rsidRPr="00BF77C6">
        <w:t> </w:t>
      </w:r>
      <w:r w:rsidR="00CC01E7" w:rsidRPr="00BF77C6">
        <w:t>Chang</w:t>
      </w:r>
      <w:r w:rsidR="00AC7A54" w:rsidRPr="00BF77C6">
        <w:t xml:space="preserve"> </w:t>
      </w:r>
      <w:r w:rsidR="005B0631" w:rsidRPr="00BF77C6">
        <w:t xml:space="preserve">opined </w:t>
      </w:r>
      <w:r w:rsidR="00AC7A54" w:rsidRPr="00BF77C6">
        <w:t xml:space="preserve">that CenterPoint Houston’s rate-case expenses </w:t>
      </w:r>
      <w:r w:rsidR="008C598F" w:rsidRPr="00BF77C6">
        <w:t>of $</w:t>
      </w:r>
      <w:r w:rsidR="00CC01E7" w:rsidRPr="00BF77C6">
        <w:t>59,265.71</w:t>
      </w:r>
      <w:r w:rsidR="008C598F" w:rsidRPr="00BF77C6">
        <w:t xml:space="preserve"> </w:t>
      </w:r>
      <w:r w:rsidR="00AC7A54" w:rsidRPr="00BF77C6">
        <w:t>incurred in Docket No. 4</w:t>
      </w:r>
      <w:r w:rsidR="00CC01E7" w:rsidRPr="00BF77C6">
        <w:t>8420</w:t>
      </w:r>
      <w:r w:rsidR="003D5549" w:rsidRPr="00BF77C6">
        <w:t xml:space="preserve"> </w:t>
      </w:r>
      <w:r w:rsidR="00AC7A54" w:rsidRPr="00BF77C6">
        <w:t>were reasonable and necessary.</w:t>
      </w:r>
    </w:p>
    <w:p w14:paraId="4DD5F0B1" w14:textId="1B21FA82" w:rsidR="00AC7A54" w:rsidRPr="00BF77C6" w:rsidRDefault="005656EF" w:rsidP="00517339">
      <w:pPr>
        <w:pStyle w:val="FOFNumbered"/>
      </w:pPr>
      <w:r w:rsidRPr="00BF77C6">
        <w:t>The Gulf Coast Coalition of Cities</w:t>
      </w:r>
      <w:r w:rsidR="00AC7A54" w:rsidRPr="00BF77C6">
        <w:t xml:space="preserve"> filed the affidavit of </w:t>
      </w:r>
      <w:r w:rsidR="0030351E" w:rsidRPr="00BF77C6">
        <w:t xml:space="preserve">attorney </w:t>
      </w:r>
      <w:r w:rsidR="00CC01E7" w:rsidRPr="00BF77C6">
        <w:t>Thomas L</w:t>
      </w:r>
      <w:r w:rsidR="00D62A1F" w:rsidRPr="00BF77C6">
        <w:t>.</w:t>
      </w:r>
      <w:r w:rsidR="00CC01E7" w:rsidRPr="00BF77C6">
        <w:t xml:space="preserve"> Brocato</w:t>
      </w:r>
      <w:r w:rsidR="00AC7A54" w:rsidRPr="00BF77C6">
        <w:t xml:space="preserve"> </w:t>
      </w:r>
      <w:r w:rsidR="003E30D4" w:rsidRPr="00BF77C6">
        <w:t xml:space="preserve">and </w:t>
      </w:r>
      <w:r w:rsidR="00D62A1F" w:rsidRPr="00BF77C6">
        <w:t xml:space="preserve">the </w:t>
      </w:r>
      <w:r w:rsidR="003E30D4" w:rsidRPr="00BF77C6">
        <w:t xml:space="preserve">direct testimony of Karl J. Nalepa </w:t>
      </w:r>
      <w:r w:rsidR="00AC7A54" w:rsidRPr="00BF77C6">
        <w:t xml:space="preserve">in support of the reasonableness and necessity of </w:t>
      </w:r>
      <w:r w:rsidR="009251A9" w:rsidRPr="00BF77C6">
        <w:t>its</w:t>
      </w:r>
      <w:r w:rsidRPr="00BF77C6">
        <w:t xml:space="preserve"> </w:t>
      </w:r>
      <w:r w:rsidR="00AC7A54" w:rsidRPr="00BF77C6">
        <w:t>rate</w:t>
      </w:r>
      <w:r w:rsidR="00C12916" w:rsidRPr="00BF77C6">
        <w:t>-</w:t>
      </w:r>
      <w:r w:rsidR="00AC7A54" w:rsidRPr="00BF77C6">
        <w:t>case expenses</w:t>
      </w:r>
      <w:r w:rsidR="0030351E" w:rsidRPr="00BF77C6">
        <w:t xml:space="preserve"> incurred in Docket No. 48420</w:t>
      </w:r>
      <w:r w:rsidR="00AC7A54" w:rsidRPr="00BF77C6">
        <w:t xml:space="preserve">.  </w:t>
      </w:r>
      <w:r w:rsidR="007D46EA" w:rsidRPr="00BF77C6">
        <w:t xml:space="preserve">Based on his experience, </w:t>
      </w:r>
      <w:r w:rsidR="00AC7A54" w:rsidRPr="00BF77C6">
        <w:t>M</w:t>
      </w:r>
      <w:r w:rsidR="00CC01E7" w:rsidRPr="00BF77C6">
        <w:t>r. Brocato</w:t>
      </w:r>
      <w:r w:rsidR="00AC7A54" w:rsidRPr="00BF77C6">
        <w:t xml:space="preserve"> </w:t>
      </w:r>
      <w:r w:rsidR="005B0631" w:rsidRPr="00BF77C6">
        <w:t xml:space="preserve">opined </w:t>
      </w:r>
      <w:r w:rsidR="00AC7A54" w:rsidRPr="00BF77C6">
        <w:t xml:space="preserve">that </w:t>
      </w:r>
      <w:r w:rsidRPr="00BF77C6">
        <w:t xml:space="preserve">the </w:t>
      </w:r>
      <w:r w:rsidR="009251A9" w:rsidRPr="00BF77C6">
        <w:t>Cities</w:t>
      </w:r>
      <w:r w:rsidR="00E60DEE" w:rsidRPr="00BF77C6">
        <w:t>’</w:t>
      </w:r>
      <w:r w:rsidR="009251A9" w:rsidRPr="00BF77C6">
        <w:t xml:space="preserve"> </w:t>
      </w:r>
      <w:r w:rsidR="00AC7A54" w:rsidRPr="00BF77C6">
        <w:t xml:space="preserve">rate-case expenses </w:t>
      </w:r>
      <w:r w:rsidR="009251A9" w:rsidRPr="00BF77C6">
        <w:t>of $</w:t>
      </w:r>
      <w:r w:rsidR="00CC01E7" w:rsidRPr="00BF77C6">
        <w:t>16,535.70</w:t>
      </w:r>
      <w:r w:rsidR="009251A9" w:rsidRPr="00BF77C6">
        <w:t xml:space="preserve"> </w:t>
      </w:r>
      <w:r w:rsidR="00AC7A54" w:rsidRPr="00BF77C6">
        <w:t>incurred in Docket No. 4</w:t>
      </w:r>
      <w:r w:rsidR="00CC01E7" w:rsidRPr="00BF77C6">
        <w:t>8420</w:t>
      </w:r>
      <w:r w:rsidR="001A372A" w:rsidRPr="00BF77C6">
        <w:t xml:space="preserve"> </w:t>
      </w:r>
      <w:r w:rsidR="00AC7A54" w:rsidRPr="00BF77C6">
        <w:t>were reasonable and necessary.</w:t>
      </w:r>
    </w:p>
    <w:p w14:paraId="4DA2FF13" w14:textId="1F9A1AE2" w:rsidR="00CC01E7" w:rsidRPr="00BF77C6" w:rsidRDefault="00340821" w:rsidP="009D1920">
      <w:pPr>
        <w:pStyle w:val="FOFNumbered"/>
      </w:pPr>
      <w:r w:rsidRPr="00BF77C6">
        <w:t>In the amendment to the application filed on July 7, 2019, CenterPoint Houston filed on behalf of t</w:t>
      </w:r>
      <w:r w:rsidR="00CC01E7" w:rsidRPr="00BF77C6">
        <w:t>he City of Houston the affidavits of Alisa Talley</w:t>
      </w:r>
      <w:r w:rsidRPr="00BF77C6">
        <w:t>, the city’s division manager in its administration and regulatory affairs department,</w:t>
      </w:r>
      <w:r w:rsidR="00CC01E7" w:rsidRPr="00BF77C6">
        <w:t xml:space="preserve"> and </w:t>
      </w:r>
      <w:proofErr w:type="spellStart"/>
      <w:r w:rsidR="00CC01E7" w:rsidRPr="00BF77C6">
        <w:t>YuShan</w:t>
      </w:r>
      <w:proofErr w:type="spellEnd"/>
      <w:r w:rsidR="00CC01E7" w:rsidRPr="00BF77C6">
        <w:t xml:space="preserve"> Chang</w:t>
      </w:r>
      <w:r w:rsidR="00192340" w:rsidRPr="00BF77C6">
        <w:t>, a senior assistant city attorney,</w:t>
      </w:r>
      <w:r w:rsidR="00CC01E7" w:rsidRPr="00BF77C6">
        <w:t xml:space="preserve"> to support the reasonableness and necessity of </w:t>
      </w:r>
      <w:r w:rsidR="00B97B14" w:rsidRPr="00BF77C6">
        <w:t>the city’s</w:t>
      </w:r>
      <w:r w:rsidR="00CC01E7" w:rsidRPr="00BF77C6">
        <w:t xml:space="preserve"> rate-case expenses</w:t>
      </w:r>
      <w:r w:rsidR="00AA26C6">
        <w:t xml:space="preserve"> in Docket No. 48420</w:t>
      </w:r>
      <w:r w:rsidR="00CC01E7" w:rsidRPr="00BF77C6">
        <w:t xml:space="preserve">.  Based on </w:t>
      </w:r>
      <w:r w:rsidR="00957AA7" w:rsidRPr="00BF77C6">
        <w:t>thei</w:t>
      </w:r>
      <w:r w:rsidR="00CC01E7" w:rsidRPr="00BF77C6">
        <w:t>r experience, Ms</w:t>
      </w:r>
      <w:r w:rsidR="00AA7588" w:rsidRPr="00BF77C6">
        <w:t>s</w:t>
      </w:r>
      <w:r w:rsidR="00CC01E7" w:rsidRPr="00BF77C6">
        <w:t xml:space="preserve">. </w:t>
      </w:r>
      <w:r w:rsidR="00957AA7" w:rsidRPr="00BF77C6">
        <w:t xml:space="preserve">Talley and </w:t>
      </w:r>
      <w:r w:rsidR="00CC01E7" w:rsidRPr="00BF77C6">
        <w:t>Chang</w:t>
      </w:r>
      <w:r w:rsidR="009D136F" w:rsidRPr="00BF77C6">
        <w:t xml:space="preserve"> together</w:t>
      </w:r>
      <w:r w:rsidR="00CC01E7" w:rsidRPr="00BF77C6">
        <w:t xml:space="preserve"> opined that the City of Houston’s rate-case expenses of </w:t>
      </w:r>
      <w:r w:rsidR="00957AA7" w:rsidRPr="00BF77C6">
        <w:t xml:space="preserve">$17,410 </w:t>
      </w:r>
      <w:r w:rsidR="00A845BB">
        <w:t xml:space="preserve">incurred in Docket No. 48420 </w:t>
      </w:r>
      <w:r w:rsidR="00957AA7" w:rsidRPr="00BF77C6">
        <w:t>were reasonable and necessary.</w:t>
      </w:r>
    </w:p>
    <w:p w14:paraId="237F940A" w14:textId="6329C6DB" w:rsidR="00AC7A54" w:rsidRPr="00BF77C6" w:rsidRDefault="00AC7A54" w:rsidP="009D1920">
      <w:pPr>
        <w:pStyle w:val="Heading7"/>
        <w:rPr>
          <w:rFonts w:eastAsia="Times New Roman"/>
          <w:snapToGrid w:val="0"/>
        </w:rPr>
      </w:pPr>
      <w:r w:rsidRPr="00BF77C6">
        <w:rPr>
          <w:rFonts w:eastAsia="Times New Roman"/>
          <w:snapToGrid w:val="0"/>
        </w:rPr>
        <w:t xml:space="preserve">Performance Bonus Calculation </w:t>
      </w:r>
      <w:r w:rsidRPr="00BF77C6">
        <w:rPr>
          <w:rFonts w:eastAsia="Times New Roman"/>
          <w:b w:val="0"/>
          <w:snapToGrid w:val="0"/>
          <w:sz w:val="16"/>
          <w:szCs w:val="16"/>
        </w:rPr>
        <w:t>16 TAC § 25.18</w:t>
      </w:r>
      <w:r w:rsidR="00957AA7" w:rsidRPr="00BF77C6">
        <w:rPr>
          <w:rFonts w:eastAsia="Times New Roman"/>
          <w:b w:val="0"/>
          <w:snapToGrid w:val="0"/>
          <w:sz w:val="16"/>
          <w:szCs w:val="16"/>
        </w:rPr>
        <w:t>2</w:t>
      </w:r>
      <w:r w:rsidRPr="00BF77C6">
        <w:rPr>
          <w:rFonts w:eastAsia="Times New Roman"/>
          <w:b w:val="0"/>
          <w:snapToGrid w:val="0"/>
          <w:sz w:val="16"/>
          <w:szCs w:val="16"/>
        </w:rPr>
        <w:t>(</w:t>
      </w:r>
      <w:r w:rsidR="00957AA7" w:rsidRPr="00BF77C6">
        <w:rPr>
          <w:rFonts w:eastAsia="Times New Roman"/>
          <w:b w:val="0"/>
          <w:snapToGrid w:val="0"/>
          <w:sz w:val="16"/>
          <w:szCs w:val="16"/>
        </w:rPr>
        <w:t>e</w:t>
      </w:r>
      <w:r w:rsidRPr="00BF77C6">
        <w:rPr>
          <w:rFonts w:eastAsia="Times New Roman"/>
          <w:b w:val="0"/>
          <w:snapToGrid w:val="0"/>
          <w:sz w:val="16"/>
          <w:szCs w:val="16"/>
        </w:rPr>
        <w:t>)</w:t>
      </w:r>
    </w:p>
    <w:p w14:paraId="0790CF75" w14:textId="35B1A3E8" w:rsidR="005112D5" w:rsidRPr="00BF77C6" w:rsidRDefault="001B6030" w:rsidP="00517339">
      <w:pPr>
        <w:pStyle w:val="FOFNumbered"/>
      </w:pPr>
      <w:r w:rsidRPr="00BF77C6">
        <w:t>T</w:t>
      </w:r>
      <w:r w:rsidR="005112D5" w:rsidRPr="00BF77C6">
        <w:t xml:space="preserve">he total present value of the avoided costs associated with </w:t>
      </w:r>
      <w:r w:rsidRPr="00BF77C6">
        <w:t>CenterPoint Houston’s</w:t>
      </w:r>
      <w:r w:rsidR="005112D5" w:rsidRPr="00BF77C6">
        <w:t xml:space="preserve"> 201</w:t>
      </w:r>
      <w:r w:rsidRPr="00BF77C6">
        <w:t>8</w:t>
      </w:r>
      <w:r w:rsidR="005112D5" w:rsidRPr="00BF77C6">
        <w:t xml:space="preserve"> demand reductions and energy savings is $</w:t>
      </w:r>
      <w:r w:rsidRPr="00BF77C6">
        <w:t>109,553,416</w:t>
      </w:r>
      <w:r w:rsidR="005112D5" w:rsidRPr="00BF77C6">
        <w:t>.  CenterPoint Houston</w:t>
      </w:r>
      <w:r w:rsidR="00290D95" w:rsidRPr="00BF77C6">
        <w:t>’s</w:t>
      </w:r>
      <w:r w:rsidR="005112D5" w:rsidRPr="00BF77C6">
        <w:t xml:space="preserve"> total program costs</w:t>
      </w:r>
      <w:r w:rsidR="0078479F" w:rsidRPr="00BF77C6">
        <w:t xml:space="preserve"> in 2018</w:t>
      </w:r>
      <w:r w:rsidR="005112D5" w:rsidRPr="00BF77C6">
        <w:t xml:space="preserve"> </w:t>
      </w:r>
      <w:r w:rsidRPr="00BF77C6">
        <w:t>were</w:t>
      </w:r>
      <w:r w:rsidR="005112D5" w:rsidRPr="00BF77C6">
        <w:t xml:space="preserve"> $</w:t>
      </w:r>
      <w:r w:rsidR="00C45806" w:rsidRPr="00BF77C6">
        <w:t>42,</w:t>
      </w:r>
      <w:r w:rsidRPr="00BF77C6">
        <w:t>1</w:t>
      </w:r>
      <w:r w:rsidR="00F33AEE" w:rsidRPr="00BF77C6">
        <w:t>69</w:t>
      </w:r>
      <w:r w:rsidRPr="00BF77C6">
        <w:t>,</w:t>
      </w:r>
      <w:r w:rsidR="00F33AEE" w:rsidRPr="00BF77C6">
        <w:t>140</w:t>
      </w:r>
      <w:r w:rsidR="005112D5" w:rsidRPr="00BF77C6">
        <w:t>.  The resulting net benefits are $</w:t>
      </w:r>
      <w:r w:rsidRPr="00BF77C6">
        <w:t>67,384,276</w:t>
      </w:r>
      <w:r w:rsidR="005112D5" w:rsidRPr="00BF77C6">
        <w:t xml:space="preserve">.  </w:t>
      </w:r>
    </w:p>
    <w:p w14:paraId="597376EC" w14:textId="7AE9C7DB" w:rsidR="00AC7A54" w:rsidRPr="00BF77C6" w:rsidRDefault="005112D5" w:rsidP="00517339">
      <w:pPr>
        <w:pStyle w:val="FOFNumbered"/>
      </w:pPr>
      <w:r w:rsidRPr="00BF77C6">
        <w:t xml:space="preserve">In the </w:t>
      </w:r>
      <w:r w:rsidR="00193EDE" w:rsidRPr="00BF77C6">
        <w:t>agreement</w:t>
      </w:r>
      <w:r w:rsidR="00AC7A54" w:rsidRPr="00BF77C6">
        <w:t xml:space="preserve">, CenterPoint Houston </w:t>
      </w:r>
      <w:r w:rsidR="009F457D" w:rsidRPr="00BF77C6">
        <w:t>sought</w:t>
      </w:r>
      <w:r w:rsidRPr="00BF77C6">
        <w:t xml:space="preserve"> </w:t>
      </w:r>
      <w:r w:rsidR="00AC7A54" w:rsidRPr="00BF77C6">
        <w:t>the maximum allowable performance bonus</w:t>
      </w:r>
      <w:r w:rsidRPr="00BF77C6">
        <w:t xml:space="preserve"> under 16 TAC § 25.18</w:t>
      </w:r>
      <w:r w:rsidR="001B6030" w:rsidRPr="00BF77C6">
        <w:t>2</w:t>
      </w:r>
      <w:r w:rsidRPr="00BF77C6">
        <w:t>(</w:t>
      </w:r>
      <w:r w:rsidR="001B6030" w:rsidRPr="00BF77C6">
        <w:t>e</w:t>
      </w:r>
      <w:r w:rsidRPr="00BF77C6">
        <w:t>)</w:t>
      </w:r>
      <w:r w:rsidR="00AC7A54" w:rsidRPr="00BF77C6">
        <w:t>, which is 10% of the net benefits of $</w:t>
      </w:r>
      <w:r w:rsidR="001B6030" w:rsidRPr="00BF77C6">
        <w:t>67,384,276</w:t>
      </w:r>
      <w:r w:rsidR="00AC7A54" w:rsidRPr="00BF77C6">
        <w:t xml:space="preserve"> achieved through its energy-efficiency incentive program costs</w:t>
      </w:r>
      <w:r w:rsidR="006E2029" w:rsidRPr="00BF77C6">
        <w:t>,</w:t>
      </w:r>
      <w:r w:rsidR="00AC7A54" w:rsidRPr="00BF77C6">
        <w:t xml:space="preserve"> for exceeding its goal for calendar year 201</w:t>
      </w:r>
      <w:r w:rsidR="001B6030" w:rsidRPr="00BF77C6">
        <w:t>8</w:t>
      </w:r>
      <w:r w:rsidR="00AC7A54" w:rsidRPr="00BF77C6">
        <w:t xml:space="preserve">. </w:t>
      </w:r>
      <w:r w:rsidR="00654EB0" w:rsidRPr="00BF77C6">
        <w:t xml:space="preserve"> </w:t>
      </w:r>
      <w:r w:rsidR="00AC7A54" w:rsidRPr="00BF77C6">
        <w:t>The resulting performance bonus from this calculation is $</w:t>
      </w:r>
      <w:r w:rsidR="00823FA6" w:rsidRPr="00BF77C6">
        <w:t>6,738,428</w:t>
      </w:r>
      <w:r w:rsidR="00AC7A54" w:rsidRPr="00BF77C6">
        <w:t>.</w:t>
      </w:r>
    </w:p>
    <w:p w14:paraId="3DA61726" w14:textId="4E14E436" w:rsidR="00AC7A54" w:rsidRPr="00BF77C6" w:rsidRDefault="00AC7A54" w:rsidP="009D1920">
      <w:pPr>
        <w:pStyle w:val="Heading7"/>
        <w:rPr>
          <w:rFonts w:eastAsia="Times New Roman"/>
          <w:snapToGrid w:val="0"/>
        </w:rPr>
      </w:pPr>
      <w:r w:rsidRPr="00BF77C6">
        <w:rPr>
          <w:rFonts w:eastAsia="Times New Roman"/>
          <w:snapToGrid w:val="0"/>
        </w:rPr>
        <w:lastRenderedPageBreak/>
        <w:t xml:space="preserve">Evaluation, Measurement, and Verification Costs </w:t>
      </w:r>
      <w:r w:rsidRPr="00BF77C6">
        <w:rPr>
          <w:rFonts w:eastAsia="Times New Roman"/>
          <w:b w:val="0"/>
          <w:snapToGrid w:val="0"/>
          <w:sz w:val="16"/>
          <w:szCs w:val="16"/>
        </w:rPr>
        <w:t>16 TAC § 25.181(</w:t>
      </w:r>
      <w:r w:rsidR="00F33AEE" w:rsidRPr="00BF77C6">
        <w:rPr>
          <w:rFonts w:eastAsia="Times New Roman"/>
          <w:b w:val="0"/>
          <w:snapToGrid w:val="0"/>
          <w:sz w:val="16"/>
          <w:szCs w:val="16"/>
        </w:rPr>
        <w:t>o</w:t>
      </w:r>
      <w:r w:rsidRPr="00BF77C6">
        <w:rPr>
          <w:rFonts w:eastAsia="Times New Roman"/>
          <w:b w:val="0"/>
          <w:snapToGrid w:val="0"/>
          <w:sz w:val="16"/>
          <w:szCs w:val="16"/>
        </w:rPr>
        <w:t>)</w:t>
      </w:r>
      <w:r w:rsidRPr="00BF77C6">
        <w:rPr>
          <w:rFonts w:eastAsia="Times New Roman"/>
          <w:snapToGrid w:val="0"/>
        </w:rPr>
        <w:t xml:space="preserve"> </w:t>
      </w:r>
    </w:p>
    <w:p w14:paraId="27D2D75C" w14:textId="07815483" w:rsidR="00AC7A54" w:rsidRPr="00BF77C6" w:rsidRDefault="00AC7A54" w:rsidP="009D1920">
      <w:pPr>
        <w:pStyle w:val="FOFNumbered"/>
      </w:pPr>
      <w:r w:rsidRPr="00BF77C6">
        <w:t>CenterPoint Houston’s share of the estimated total 20</w:t>
      </w:r>
      <w:r w:rsidR="00F33AEE" w:rsidRPr="00BF77C6">
        <w:t>20</w:t>
      </w:r>
      <w:r w:rsidRPr="00BF77C6">
        <w:t xml:space="preserve"> EM&amp;V </w:t>
      </w:r>
      <w:r w:rsidR="00AA13A9" w:rsidRPr="00BF77C6">
        <w:t>expenses</w:t>
      </w:r>
      <w:r w:rsidRPr="00BF77C6">
        <w:t xml:space="preserve"> </w:t>
      </w:r>
      <w:r w:rsidR="00570792" w:rsidRPr="00BF77C6">
        <w:t xml:space="preserve">is </w:t>
      </w:r>
      <w:r w:rsidRPr="00BF77C6">
        <w:t>$</w:t>
      </w:r>
      <w:r w:rsidR="00F33AEE" w:rsidRPr="00BF77C6">
        <w:t>550,514</w:t>
      </w:r>
      <w:r w:rsidR="00102059" w:rsidRPr="00BF77C6">
        <w:t>,</w:t>
      </w:r>
      <w:r w:rsidR="00570792" w:rsidRPr="00BF77C6">
        <w:t xml:space="preserve"> and to the maximum extent reasonably possible,</w:t>
      </w:r>
      <w:r w:rsidRPr="00BF77C6">
        <w:t xml:space="preserve"> </w:t>
      </w:r>
      <w:r w:rsidR="00102059" w:rsidRPr="00BF77C6">
        <w:t xml:space="preserve">it </w:t>
      </w:r>
      <w:r w:rsidRPr="00BF77C6">
        <w:t>is directly assigned to each rate class that receives services under its programs.</w:t>
      </w:r>
    </w:p>
    <w:p w14:paraId="5E9CB3FF" w14:textId="602CFD2F" w:rsidR="00AC7A54" w:rsidRPr="00BF77C6" w:rsidRDefault="00AC7A54" w:rsidP="009D1920">
      <w:pPr>
        <w:pStyle w:val="Heading7"/>
        <w:rPr>
          <w:rFonts w:eastAsia="Times New Roman"/>
          <w:snapToGrid w:val="0"/>
        </w:rPr>
      </w:pPr>
      <w:r w:rsidRPr="00BF77C6">
        <w:rPr>
          <w:rFonts w:eastAsia="Times New Roman"/>
          <w:snapToGrid w:val="0"/>
        </w:rPr>
        <w:t xml:space="preserve">Administrative and Research and Development Cost Caps </w:t>
      </w:r>
      <w:r w:rsidRPr="00BF77C6">
        <w:rPr>
          <w:rFonts w:eastAsia="Times New Roman"/>
          <w:b w:val="0"/>
          <w:snapToGrid w:val="0"/>
          <w:sz w:val="16"/>
          <w:szCs w:val="16"/>
        </w:rPr>
        <w:t>16 TAC § 25.181(</w:t>
      </w:r>
      <w:r w:rsidR="00F33AEE" w:rsidRPr="00BF77C6">
        <w:rPr>
          <w:rFonts w:eastAsia="Times New Roman"/>
          <w:b w:val="0"/>
          <w:snapToGrid w:val="0"/>
          <w:sz w:val="16"/>
          <w:szCs w:val="16"/>
        </w:rPr>
        <w:t>g</w:t>
      </w:r>
      <w:r w:rsidRPr="00BF77C6">
        <w:rPr>
          <w:rFonts w:eastAsia="Times New Roman"/>
          <w:b w:val="0"/>
          <w:snapToGrid w:val="0"/>
          <w:sz w:val="16"/>
          <w:szCs w:val="16"/>
        </w:rPr>
        <w:t>)</w:t>
      </w:r>
    </w:p>
    <w:p w14:paraId="3CB213BB" w14:textId="1A8DF8D6" w:rsidR="00AC7A54" w:rsidRPr="00BF77C6" w:rsidRDefault="00AC7A54" w:rsidP="009D1920">
      <w:pPr>
        <w:pStyle w:val="FOFNumbered"/>
      </w:pPr>
      <w:r w:rsidRPr="00BF77C6">
        <w:t xml:space="preserve">CenterPoint Houston incurred </w:t>
      </w:r>
      <w:r w:rsidR="00C15F6F" w:rsidRPr="00BF77C6">
        <w:t>$3,</w:t>
      </w:r>
      <w:r w:rsidR="00AE2C41" w:rsidRPr="00BF77C6">
        <w:t>365,289</w:t>
      </w:r>
      <w:r w:rsidR="00AC2396" w:rsidRPr="00BF77C6">
        <w:t xml:space="preserve"> (11% of </w:t>
      </w:r>
      <w:r w:rsidR="000208AB" w:rsidRPr="00BF77C6">
        <w:t xml:space="preserve">its </w:t>
      </w:r>
      <w:r w:rsidR="00AC2396" w:rsidRPr="00BF77C6">
        <w:t>total program costs)</w:t>
      </w:r>
      <w:r w:rsidRPr="00BF77C6">
        <w:t xml:space="preserve"> in necessary administrative costs</w:t>
      </w:r>
      <w:r w:rsidR="00C02FA4" w:rsidRPr="00BF77C6">
        <w:t xml:space="preserve"> and $0 in research and development costs</w:t>
      </w:r>
      <w:r w:rsidRPr="00BF77C6">
        <w:t xml:space="preserve"> for the 201</w:t>
      </w:r>
      <w:r w:rsidR="00F33AEE" w:rsidRPr="00BF77C6">
        <w:t>8</w:t>
      </w:r>
      <w:r w:rsidRPr="00BF77C6">
        <w:t xml:space="preserve"> energy</w:t>
      </w:r>
      <w:r w:rsidR="00E62EFA" w:rsidRPr="00BF77C6">
        <w:noBreakHyphen/>
      </w:r>
      <w:r w:rsidRPr="00BF77C6">
        <w:t>efficiency programs to meet CenterPoint Houston’s goals</w:t>
      </w:r>
      <w:r w:rsidR="002610DD" w:rsidRPr="00BF77C6">
        <w:t>.</w:t>
      </w:r>
      <w:r w:rsidRPr="00BF77C6">
        <w:t xml:space="preserve"> </w:t>
      </w:r>
      <w:r w:rsidR="00C15F6F" w:rsidRPr="00BF77C6">
        <w:t xml:space="preserve"> </w:t>
      </w:r>
      <w:r w:rsidRPr="00BF77C6">
        <w:t xml:space="preserve">Therefore, CenterPoint Houston’s cumulative cost of administration and research and development was approximately </w:t>
      </w:r>
      <w:r w:rsidR="00C15F6F" w:rsidRPr="00BF77C6">
        <w:t>1</w:t>
      </w:r>
      <w:r w:rsidR="00AE2C41" w:rsidRPr="00BF77C6">
        <w:t>1.0</w:t>
      </w:r>
      <w:r w:rsidR="00C15F6F" w:rsidRPr="00BF77C6">
        <w:t>%</w:t>
      </w:r>
      <w:r w:rsidRPr="00BF77C6">
        <w:t xml:space="preserve"> of the total program costs.</w:t>
      </w:r>
    </w:p>
    <w:p w14:paraId="16ABBB76" w14:textId="3E6061C1" w:rsidR="00AC7A54" w:rsidRPr="00BF77C6" w:rsidRDefault="00AC7A54" w:rsidP="00517339">
      <w:pPr>
        <w:pStyle w:val="FOFNumbered"/>
      </w:pPr>
      <w:r w:rsidRPr="00BF77C6">
        <w:t xml:space="preserve">CenterPoint Houston’s cost of administration did not exceed 15% of its total costs. CenterPoint Houston’s cost of research and development did not exceed 10% of its total program costs. </w:t>
      </w:r>
      <w:r w:rsidR="001A372A" w:rsidRPr="00BF77C6">
        <w:t xml:space="preserve"> </w:t>
      </w:r>
      <w:r w:rsidRPr="00BF77C6">
        <w:t>CenterPoint Houston’s cumulative cost of administration and research and development did not exceed 20% of its total program costs</w:t>
      </w:r>
      <w:r w:rsidR="005032E1" w:rsidRPr="00BF77C6">
        <w:t xml:space="preserve"> for program year</w:t>
      </w:r>
      <w:r w:rsidR="000A7000" w:rsidRPr="00BF77C6">
        <w:t xml:space="preserve"> 2018</w:t>
      </w:r>
      <w:r w:rsidRPr="00BF77C6">
        <w:t>.</w:t>
      </w:r>
    </w:p>
    <w:p w14:paraId="226C37A1" w14:textId="77777777" w:rsidR="00AC7A54" w:rsidRPr="00BF77C6" w:rsidRDefault="00AC7A54" w:rsidP="00B659FE">
      <w:pPr>
        <w:pStyle w:val="Heading7"/>
        <w:rPr>
          <w:rFonts w:eastAsia="Times New Roman"/>
          <w:b w:val="0"/>
          <w:snapToGrid w:val="0"/>
        </w:rPr>
      </w:pPr>
      <w:r w:rsidRPr="00BF77C6">
        <w:rPr>
          <w:rFonts w:eastAsia="Times New Roman"/>
          <w:snapToGrid w:val="0"/>
        </w:rPr>
        <w:t xml:space="preserve">Cost Effectiveness </w:t>
      </w:r>
      <w:r w:rsidRPr="00BF77C6">
        <w:rPr>
          <w:rFonts w:eastAsia="Times New Roman"/>
          <w:b w:val="0"/>
          <w:snapToGrid w:val="0"/>
          <w:sz w:val="16"/>
          <w:szCs w:val="16"/>
        </w:rPr>
        <w:t>16 TAC § 25.181(d)</w:t>
      </w:r>
    </w:p>
    <w:p w14:paraId="2C9EEB70" w14:textId="71E74546" w:rsidR="00704939" w:rsidRPr="00BF77C6" w:rsidRDefault="00704939" w:rsidP="00517339">
      <w:pPr>
        <w:pStyle w:val="FOFNumbered"/>
      </w:pPr>
      <w:r w:rsidRPr="00BF77C6">
        <w:t xml:space="preserve">In determining </w:t>
      </w:r>
      <w:r w:rsidR="00AD08A1" w:rsidRPr="00BF77C6">
        <w:t>the</w:t>
      </w:r>
      <w:r w:rsidR="00193EDE" w:rsidRPr="00BF77C6">
        <w:t xml:space="preserve"> </w:t>
      </w:r>
      <w:r w:rsidRPr="00BF77C6">
        <w:t>cost effectiveness</w:t>
      </w:r>
      <w:r w:rsidR="00AD08A1" w:rsidRPr="00BF77C6">
        <w:t xml:space="preserve"> of its 2018 EECRF program</w:t>
      </w:r>
      <w:r w:rsidRPr="00BF77C6">
        <w:t>, CenterPoint Houston used an avoided cost capacity of $80 per kW and Commission Staff’s posted avoided cost of energy of $0.0</w:t>
      </w:r>
      <w:r w:rsidR="00FF255F" w:rsidRPr="00BF77C6">
        <w:t>3757</w:t>
      </w:r>
      <w:r w:rsidRPr="00BF77C6">
        <w:t xml:space="preserve"> per kW</w:t>
      </w:r>
      <w:r w:rsidR="000A6A0B">
        <w:t xml:space="preserve"> for 2018</w:t>
      </w:r>
      <w:r w:rsidRPr="00BF77C6">
        <w:t xml:space="preserve">. </w:t>
      </w:r>
    </w:p>
    <w:p w14:paraId="0B1F9643" w14:textId="569F6BC1" w:rsidR="00AC7A54" w:rsidRPr="00BF77C6" w:rsidRDefault="00AC7A54" w:rsidP="00517339">
      <w:pPr>
        <w:pStyle w:val="FOFNumbered"/>
      </w:pPr>
      <w:r w:rsidRPr="00BF77C6">
        <w:t>CenterPoint Houston determined that its 201</w:t>
      </w:r>
      <w:r w:rsidR="00FF255F" w:rsidRPr="00BF77C6">
        <w:t>8</w:t>
      </w:r>
      <w:r w:rsidRPr="00BF77C6">
        <w:t xml:space="preserve"> portfolio of energy-efficiency programs produced a benefit-cost ratio of </w:t>
      </w:r>
      <w:r w:rsidR="00FF255F" w:rsidRPr="00BF77C6">
        <w:t>2.6</w:t>
      </w:r>
      <w:r w:rsidRPr="00BF77C6">
        <w:t>, which exceeds the benefit-cost ratio of 1.0 or greater required by 16 TAC § 25.181(d).</w:t>
      </w:r>
    </w:p>
    <w:p w14:paraId="55D44B79" w14:textId="3604D2BA" w:rsidR="00AC7A54" w:rsidRPr="00BF77C6" w:rsidRDefault="00AC7A54" w:rsidP="00517339">
      <w:pPr>
        <w:pStyle w:val="FOFNumbered"/>
      </w:pPr>
      <w:r w:rsidRPr="00BF77C6">
        <w:t>CenterPoint Houston’s forecasted 20</w:t>
      </w:r>
      <w:r w:rsidR="00FF255F" w:rsidRPr="00BF77C6">
        <w:t>20</w:t>
      </w:r>
      <w:r w:rsidRPr="00BF77C6">
        <w:t xml:space="preserve"> energy-efficiency program costs of $37,8</w:t>
      </w:r>
      <w:r w:rsidR="00FF255F" w:rsidRPr="00BF77C6">
        <w:t>20,991</w:t>
      </w:r>
      <w:r w:rsidRPr="00BF77C6">
        <w:t xml:space="preserve"> </w:t>
      </w:r>
      <w:r w:rsidR="00C1359F" w:rsidRPr="00BF77C6">
        <w:t>are</w:t>
      </w:r>
      <w:r w:rsidR="008C598F" w:rsidRPr="00BF77C6">
        <w:t xml:space="preserve"> a </w:t>
      </w:r>
      <w:r w:rsidRPr="00BF77C6">
        <w:t xml:space="preserve">reasonable estimate of the costs necessary to provide energy-efficiency programs and meet CenterPoint Houston’s goals for </w:t>
      </w:r>
      <w:r w:rsidR="00702C1B" w:rsidRPr="00BF77C6">
        <w:t xml:space="preserve">program year </w:t>
      </w:r>
      <w:r w:rsidRPr="00BF77C6">
        <w:t>20</w:t>
      </w:r>
      <w:r w:rsidR="00FF255F" w:rsidRPr="00BF77C6">
        <w:t>20</w:t>
      </w:r>
      <w:r w:rsidRPr="00BF77C6">
        <w:t>.</w:t>
      </w:r>
    </w:p>
    <w:p w14:paraId="4C605791" w14:textId="3A368783" w:rsidR="00AC7A54" w:rsidRPr="00BF77C6" w:rsidRDefault="00AC7A54" w:rsidP="00B659FE">
      <w:pPr>
        <w:pStyle w:val="Heading7"/>
        <w:rPr>
          <w:rFonts w:eastAsia="Times New Roman"/>
          <w:b w:val="0"/>
          <w:snapToGrid w:val="0"/>
        </w:rPr>
      </w:pPr>
      <w:r w:rsidRPr="00BF77C6">
        <w:rPr>
          <w:rFonts w:eastAsia="Times New Roman"/>
          <w:snapToGrid w:val="0"/>
        </w:rPr>
        <w:t xml:space="preserve">Total Cost Recovery </w:t>
      </w:r>
      <w:r w:rsidRPr="00BF77C6">
        <w:rPr>
          <w:rFonts w:eastAsia="Times New Roman"/>
          <w:b w:val="0"/>
          <w:snapToGrid w:val="0"/>
          <w:sz w:val="16"/>
          <w:szCs w:val="16"/>
        </w:rPr>
        <w:t>16 TAC § 25.18</w:t>
      </w:r>
      <w:r w:rsidR="00FF255F" w:rsidRPr="00BF77C6">
        <w:rPr>
          <w:rFonts w:eastAsia="Times New Roman"/>
          <w:b w:val="0"/>
          <w:snapToGrid w:val="0"/>
          <w:sz w:val="16"/>
          <w:szCs w:val="16"/>
        </w:rPr>
        <w:t>2</w:t>
      </w:r>
      <w:r w:rsidRPr="00BF77C6">
        <w:rPr>
          <w:rFonts w:eastAsia="Times New Roman"/>
          <w:b w:val="0"/>
          <w:snapToGrid w:val="0"/>
          <w:sz w:val="16"/>
          <w:szCs w:val="16"/>
        </w:rPr>
        <w:t>(</w:t>
      </w:r>
      <w:r w:rsidR="00FF255F" w:rsidRPr="00BF77C6">
        <w:rPr>
          <w:rFonts w:eastAsia="Times New Roman"/>
          <w:b w:val="0"/>
          <w:snapToGrid w:val="0"/>
          <w:sz w:val="16"/>
          <w:szCs w:val="16"/>
        </w:rPr>
        <w:t>d</w:t>
      </w:r>
      <w:r w:rsidRPr="00BF77C6">
        <w:rPr>
          <w:rFonts w:eastAsia="Times New Roman"/>
          <w:b w:val="0"/>
          <w:snapToGrid w:val="0"/>
          <w:sz w:val="16"/>
          <w:szCs w:val="16"/>
        </w:rPr>
        <w:t>)</w:t>
      </w:r>
    </w:p>
    <w:p w14:paraId="1C9E2910" w14:textId="0EE16A56" w:rsidR="00AC7A54" w:rsidRPr="00BF77C6" w:rsidRDefault="00AC7A54" w:rsidP="00517339">
      <w:pPr>
        <w:pStyle w:val="FOFNumbered"/>
      </w:pPr>
      <w:r w:rsidRPr="00BF77C6">
        <w:t xml:space="preserve">CenterPoint Houston’s </w:t>
      </w:r>
      <w:r w:rsidR="00C06705" w:rsidRPr="00BF77C6">
        <w:t xml:space="preserve">net </w:t>
      </w:r>
      <w:r w:rsidRPr="00BF77C6">
        <w:t>cost recovery of $</w:t>
      </w:r>
      <w:r w:rsidR="002A4F22">
        <w:t>1,280,646</w:t>
      </w:r>
      <w:r w:rsidR="007F4604">
        <w:t xml:space="preserve">—which </w:t>
      </w:r>
      <w:r w:rsidRPr="00BF77C6">
        <w:t>consi</w:t>
      </w:r>
      <w:r w:rsidR="00E3297A" w:rsidRPr="00BF77C6">
        <w:t>sts of</w:t>
      </w:r>
      <w:r w:rsidR="00C06705" w:rsidRPr="00BF77C6">
        <w:t xml:space="preserve"> </w:t>
      </w:r>
      <w:r w:rsidR="00D63EBC">
        <w:t xml:space="preserve">CenterPoint Houston’s projected EM&amp;V expenses to be </w:t>
      </w:r>
      <w:r w:rsidR="00837BEA">
        <w:t>recovered</w:t>
      </w:r>
      <w:r w:rsidR="00D63EBC">
        <w:t xml:space="preserve"> in 2020, CenterPoint</w:t>
      </w:r>
      <w:r w:rsidR="004E741E">
        <w:t xml:space="preserve"> Houston</w:t>
      </w:r>
      <w:r w:rsidR="00D63EBC">
        <w:t>’s net</w:t>
      </w:r>
      <w:r w:rsidR="00C06705" w:rsidRPr="00BF77C6">
        <w:t xml:space="preserve"> </w:t>
      </w:r>
      <w:r w:rsidRPr="00BF77C6">
        <w:t>over</w:t>
      </w:r>
      <w:r w:rsidR="00D63EBC">
        <w:noBreakHyphen/>
      </w:r>
      <w:r w:rsidRPr="00BF77C6">
        <w:t xml:space="preserve">recovery </w:t>
      </w:r>
      <w:r w:rsidR="00D63EBC">
        <w:t>of program year 2018 energy-efficiency costs plus interest, CenterPoint</w:t>
      </w:r>
      <w:r w:rsidR="00950323">
        <w:t xml:space="preserve"> </w:t>
      </w:r>
      <w:r w:rsidR="00950323">
        <w:lastRenderedPageBreak/>
        <w:t>Houston</w:t>
      </w:r>
      <w:r w:rsidR="00D63EBC">
        <w:t>’s performance bonus earned in 2018, and rate case expenses</w:t>
      </w:r>
      <w:r w:rsidR="00FF1474">
        <w:t xml:space="preserve"> from Docket No. 48420—is a reasonable amount</w:t>
      </w:r>
      <w:r w:rsidR="00BF6C51" w:rsidRPr="00BF77C6">
        <w:t>.</w:t>
      </w:r>
    </w:p>
    <w:p w14:paraId="034F70F1" w14:textId="10415C93" w:rsidR="00AC7A54" w:rsidRPr="00BF77C6" w:rsidRDefault="00AC7A54" w:rsidP="00B659FE">
      <w:pPr>
        <w:pStyle w:val="Heading7"/>
        <w:rPr>
          <w:rFonts w:eastAsia="Times New Roman"/>
          <w:b w:val="0"/>
          <w:snapToGrid w:val="0"/>
        </w:rPr>
      </w:pPr>
      <w:r w:rsidRPr="00BF77C6">
        <w:rPr>
          <w:rFonts w:eastAsia="Times New Roman"/>
          <w:snapToGrid w:val="0"/>
        </w:rPr>
        <w:t xml:space="preserve">Rate Classes and Direct Assignment of Costs </w:t>
      </w:r>
      <w:r w:rsidRPr="00BF77C6">
        <w:rPr>
          <w:rFonts w:eastAsia="Times New Roman"/>
          <w:b w:val="0"/>
          <w:snapToGrid w:val="0"/>
          <w:sz w:val="16"/>
          <w:szCs w:val="16"/>
        </w:rPr>
        <w:t>16 TAC § 25.18</w:t>
      </w:r>
      <w:r w:rsidR="007A724E" w:rsidRPr="00BF77C6">
        <w:rPr>
          <w:rFonts w:eastAsia="Times New Roman"/>
          <w:b w:val="0"/>
          <w:snapToGrid w:val="0"/>
          <w:sz w:val="16"/>
          <w:szCs w:val="16"/>
        </w:rPr>
        <w:t>2</w:t>
      </w:r>
      <w:r w:rsidRPr="00BF77C6">
        <w:rPr>
          <w:rFonts w:eastAsia="Times New Roman"/>
          <w:b w:val="0"/>
          <w:snapToGrid w:val="0"/>
          <w:sz w:val="16"/>
          <w:szCs w:val="16"/>
        </w:rPr>
        <w:t>(</w:t>
      </w:r>
      <w:r w:rsidR="007A724E" w:rsidRPr="00BF77C6">
        <w:rPr>
          <w:rFonts w:eastAsia="Times New Roman"/>
          <w:b w:val="0"/>
          <w:snapToGrid w:val="0"/>
          <w:sz w:val="16"/>
          <w:szCs w:val="16"/>
        </w:rPr>
        <w:t>d</w:t>
      </w:r>
      <w:r w:rsidRPr="00BF77C6">
        <w:rPr>
          <w:rFonts w:eastAsia="Times New Roman"/>
          <w:b w:val="0"/>
          <w:snapToGrid w:val="0"/>
          <w:sz w:val="16"/>
          <w:szCs w:val="16"/>
        </w:rPr>
        <w:t>)(2)</w:t>
      </w:r>
    </w:p>
    <w:p w14:paraId="19AC9004" w14:textId="415E8466" w:rsidR="00AC7A54" w:rsidRPr="00BF77C6" w:rsidRDefault="00D5536F" w:rsidP="00B659FE">
      <w:pPr>
        <w:pStyle w:val="FOFNumbered"/>
      </w:pPr>
      <w:r>
        <w:t>T</w:t>
      </w:r>
      <w:r w:rsidRPr="00BF77C6">
        <w:t>o the maximum extent reasonably possible</w:t>
      </w:r>
      <w:r>
        <w:t xml:space="preserve">, </w:t>
      </w:r>
      <w:r w:rsidR="00AC7A54" w:rsidRPr="00BF77C6">
        <w:t>CenterPoint Houston directly assigned costs to each rate class that receives services under the programs.</w:t>
      </w:r>
    </w:p>
    <w:p w14:paraId="0C1DA15B" w14:textId="7E0720D4" w:rsidR="00AC7A54" w:rsidRPr="00BF77C6" w:rsidRDefault="00AC7A54" w:rsidP="00B659FE">
      <w:pPr>
        <w:pStyle w:val="Heading7"/>
        <w:rPr>
          <w:rFonts w:eastAsia="Times New Roman"/>
          <w:b w:val="0"/>
          <w:sz w:val="16"/>
          <w:szCs w:val="16"/>
        </w:rPr>
      </w:pPr>
      <w:r w:rsidRPr="00BF77C6">
        <w:rPr>
          <w:rFonts w:eastAsia="Times New Roman"/>
        </w:rPr>
        <w:t>Fostering of Competition Among Energy-Efficiency Service Providers</w:t>
      </w:r>
      <w:r w:rsidRPr="00BF77C6">
        <w:rPr>
          <w:rFonts w:eastAsia="Times New Roman"/>
          <w:sz w:val="16"/>
          <w:szCs w:val="16"/>
        </w:rPr>
        <w:t xml:space="preserve"> </w:t>
      </w:r>
      <w:r w:rsidRPr="00BF77C6">
        <w:rPr>
          <w:rFonts w:eastAsia="Times New Roman"/>
          <w:b w:val="0"/>
          <w:sz w:val="16"/>
          <w:szCs w:val="16"/>
        </w:rPr>
        <w:t>16 TAC § 25.181(</w:t>
      </w:r>
      <w:r w:rsidR="007A724E" w:rsidRPr="00BF77C6">
        <w:rPr>
          <w:rFonts w:eastAsia="Times New Roman"/>
          <w:b w:val="0"/>
          <w:sz w:val="16"/>
          <w:szCs w:val="16"/>
        </w:rPr>
        <w:t>g</w:t>
      </w:r>
      <w:r w:rsidRPr="00BF77C6">
        <w:rPr>
          <w:rFonts w:eastAsia="Times New Roman"/>
          <w:b w:val="0"/>
          <w:sz w:val="16"/>
          <w:szCs w:val="16"/>
        </w:rPr>
        <w:t>)(2)</w:t>
      </w:r>
    </w:p>
    <w:p w14:paraId="67C3D781" w14:textId="77777777" w:rsidR="00AC7A54" w:rsidRPr="00BF77C6" w:rsidRDefault="00AC7A54" w:rsidP="00B659FE">
      <w:pPr>
        <w:pStyle w:val="FOFNumbered"/>
      </w:pPr>
      <w:r w:rsidRPr="00BF77C6">
        <w:t>CenterPoint Houston has furthered the development of energy-efficiency service providers through training, seminars, and adjusting to changes in the market as they arise.  CenterPoint Houston also uses its purchasing policy, which requires competitive bidding for all purchases that equal or exceed $50,000, to foster competition among energy</w:t>
      </w:r>
      <w:r w:rsidR="00623264" w:rsidRPr="00BF77C6">
        <w:noBreakHyphen/>
      </w:r>
      <w:r w:rsidRPr="00BF77C6">
        <w:t xml:space="preserve">efficiency service providers. </w:t>
      </w:r>
    </w:p>
    <w:p w14:paraId="5F2F5996" w14:textId="3FF80B5B" w:rsidR="00AC7A54" w:rsidRPr="00BF77C6" w:rsidRDefault="00AC7A54" w:rsidP="00B659FE">
      <w:pPr>
        <w:pStyle w:val="Heading7"/>
        <w:rPr>
          <w:rFonts w:eastAsia="Times New Roman"/>
          <w:b w:val="0"/>
          <w:snapToGrid w:val="0"/>
        </w:rPr>
      </w:pPr>
      <w:r w:rsidRPr="00BF77C6">
        <w:rPr>
          <w:rFonts w:eastAsia="Times New Roman"/>
          <w:snapToGrid w:val="0"/>
        </w:rPr>
        <w:t xml:space="preserve">Requirements for Standard Offer, Market Transformation, and Self-Delivered Programs </w:t>
      </w:r>
      <w:r w:rsidRPr="00BF77C6">
        <w:rPr>
          <w:rFonts w:eastAsia="Times New Roman"/>
          <w:b w:val="0"/>
          <w:snapToGrid w:val="0"/>
          <w:sz w:val="16"/>
          <w:szCs w:val="16"/>
        </w:rPr>
        <w:t>16 TAC §§ 25.181(</w:t>
      </w:r>
      <w:r w:rsidR="007A724E" w:rsidRPr="00BF77C6">
        <w:rPr>
          <w:rFonts w:eastAsia="Times New Roman"/>
          <w:b w:val="0"/>
          <w:snapToGrid w:val="0"/>
          <w:sz w:val="16"/>
          <w:szCs w:val="16"/>
        </w:rPr>
        <w:t>h</w:t>
      </w:r>
      <w:r w:rsidRPr="00BF77C6">
        <w:rPr>
          <w:rFonts w:eastAsia="Times New Roman"/>
          <w:b w:val="0"/>
          <w:snapToGrid w:val="0"/>
          <w:sz w:val="16"/>
          <w:szCs w:val="16"/>
        </w:rPr>
        <w:t>)–(</w:t>
      </w:r>
      <w:r w:rsidR="007A724E" w:rsidRPr="00BF77C6">
        <w:rPr>
          <w:rFonts w:eastAsia="Times New Roman"/>
          <w:b w:val="0"/>
          <w:snapToGrid w:val="0"/>
          <w:sz w:val="16"/>
          <w:szCs w:val="16"/>
        </w:rPr>
        <w:t>j</w:t>
      </w:r>
      <w:r w:rsidRPr="00BF77C6">
        <w:rPr>
          <w:rFonts w:eastAsia="Times New Roman"/>
          <w:b w:val="0"/>
          <w:snapToGrid w:val="0"/>
          <w:sz w:val="16"/>
          <w:szCs w:val="16"/>
        </w:rPr>
        <w:t>)</w:t>
      </w:r>
    </w:p>
    <w:p w14:paraId="368CB4A5" w14:textId="07C9F96E" w:rsidR="00AC7A54" w:rsidRPr="00BF77C6" w:rsidRDefault="00AC7A54" w:rsidP="00B659FE">
      <w:pPr>
        <w:pStyle w:val="FOFNumbered"/>
      </w:pPr>
      <w:r w:rsidRPr="00BF77C6">
        <w:t>CenterPoint Houston’s energy-efficiency program includes standard offer</w:t>
      </w:r>
      <w:r w:rsidR="002610DD" w:rsidRPr="00BF77C6">
        <w:t xml:space="preserve"> and</w:t>
      </w:r>
      <w:r w:rsidRPr="00BF77C6">
        <w:t xml:space="preserve"> market transformation programs.</w:t>
      </w:r>
    </w:p>
    <w:p w14:paraId="4EFB0006" w14:textId="6249EA98" w:rsidR="00AC7A54" w:rsidRPr="00BF77C6" w:rsidRDefault="00AC7A54" w:rsidP="00B659FE">
      <w:pPr>
        <w:pStyle w:val="Heading7"/>
        <w:rPr>
          <w:rFonts w:eastAsia="Times New Roman"/>
          <w:snapToGrid w:val="0"/>
        </w:rPr>
      </w:pPr>
      <w:r w:rsidRPr="00BF77C6">
        <w:rPr>
          <w:rFonts w:eastAsia="Times New Roman"/>
          <w:snapToGrid w:val="0"/>
        </w:rPr>
        <w:t xml:space="preserve">Incentive Payments </w:t>
      </w:r>
      <w:r w:rsidRPr="00BF77C6">
        <w:rPr>
          <w:rFonts w:eastAsia="Times New Roman"/>
          <w:b w:val="0"/>
          <w:snapToGrid w:val="0"/>
          <w:sz w:val="16"/>
          <w:szCs w:val="16"/>
        </w:rPr>
        <w:t>16 TAC § 25.181(</w:t>
      </w:r>
      <w:r w:rsidR="007A724E" w:rsidRPr="00BF77C6">
        <w:rPr>
          <w:rFonts w:eastAsia="Times New Roman"/>
          <w:b w:val="0"/>
          <w:snapToGrid w:val="0"/>
          <w:sz w:val="16"/>
          <w:szCs w:val="16"/>
        </w:rPr>
        <w:t>f</w:t>
      </w:r>
      <w:r w:rsidRPr="00BF77C6">
        <w:rPr>
          <w:rFonts w:eastAsia="Times New Roman"/>
          <w:b w:val="0"/>
          <w:snapToGrid w:val="0"/>
          <w:sz w:val="16"/>
          <w:szCs w:val="16"/>
        </w:rPr>
        <w:t>)</w:t>
      </w:r>
    </w:p>
    <w:p w14:paraId="3B864E18" w14:textId="5A790DC4" w:rsidR="0017006B" w:rsidRPr="00BF77C6" w:rsidRDefault="0017006B" w:rsidP="00517339">
      <w:pPr>
        <w:pStyle w:val="FOFNumbered"/>
      </w:pPr>
      <w:r w:rsidRPr="00BF77C6">
        <w:t xml:space="preserve">CenterPoint Houston’s incentive payments for </w:t>
      </w:r>
      <w:r w:rsidR="00583E44" w:rsidRPr="00BF77C6">
        <w:t>each</w:t>
      </w:r>
      <w:r w:rsidRPr="00BF77C6">
        <w:t xml:space="preserve"> customer class in program year 201</w:t>
      </w:r>
      <w:r w:rsidR="007A724E" w:rsidRPr="00BF77C6">
        <w:t>8</w:t>
      </w:r>
      <w:r w:rsidRPr="00BF77C6">
        <w:t xml:space="preserve"> </w:t>
      </w:r>
      <w:r w:rsidRPr="00BF77C6">
        <w:rPr>
          <w:rFonts w:eastAsia="Arial"/>
        </w:rPr>
        <w:t xml:space="preserve">are less than 100% of avoided cost for </w:t>
      </w:r>
      <w:r w:rsidR="004250CD" w:rsidRPr="00BF77C6">
        <w:rPr>
          <w:rFonts w:eastAsia="Arial"/>
        </w:rPr>
        <w:t>that</w:t>
      </w:r>
      <w:r w:rsidRPr="00BF77C6">
        <w:rPr>
          <w:rFonts w:eastAsia="Arial"/>
        </w:rPr>
        <w:t xml:space="preserve"> class</w:t>
      </w:r>
      <w:r w:rsidRPr="00BF77C6">
        <w:t xml:space="preserve">.  </w:t>
      </w:r>
    </w:p>
    <w:p w14:paraId="0B069B92" w14:textId="7BD1296B" w:rsidR="00AC7A54" w:rsidRPr="00BF77C6" w:rsidRDefault="00AC7A54" w:rsidP="00B659FE">
      <w:pPr>
        <w:pStyle w:val="Heading7"/>
        <w:rPr>
          <w:rFonts w:eastAsia="Times New Roman"/>
          <w:b w:val="0"/>
          <w:snapToGrid w:val="0"/>
          <w:sz w:val="16"/>
          <w:szCs w:val="16"/>
        </w:rPr>
      </w:pPr>
      <w:r w:rsidRPr="00BF77C6">
        <w:rPr>
          <w:rFonts w:eastAsia="Times New Roman"/>
          <w:snapToGrid w:val="0"/>
        </w:rPr>
        <w:t xml:space="preserve">Affiliate Costs </w:t>
      </w:r>
      <w:r w:rsidRPr="00BF77C6">
        <w:rPr>
          <w:rFonts w:eastAsia="Times New Roman"/>
          <w:b w:val="0"/>
          <w:snapToGrid w:val="0"/>
          <w:sz w:val="16"/>
          <w:szCs w:val="16"/>
        </w:rPr>
        <w:t>PURA § 36.058, 16 TAC §§ 25.181(c)(1) and 25.18</w:t>
      </w:r>
      <w:r w:rsidR="004E6E30" w:rsidRPr="00BF77C6">
        <w:rPr>
          <w:rFonts w:eastAsia="Times New Roman"/>
          <w:b w:val="0"/>
          <w:snapToGrid w:val="0"/>
          <w:sz w:val="16"/>
          <w:szCs w:val="16"/>
        </w:rPr>
        <w:t>2</w:t>
      </w:r>
      <w:r w:rsidRPr="00BF77C6">
        <w:rPr>
          <w:rFonts w:eastAsia="Times New Roman"/>
          <w:b w:val="0"/>
          <w:snapToGrid w:val="0"/>
          <w:sz w:val="16"/>
          <w:szCs w:val="16"/>
        </w:rPr>
        <w:t>(</w:t>
      </w:r>
      <w:r w:rsidR="004E6E30" w:rsidRPr="00BF77C6">
        <w:rPr>
          <w:rFonts w:eastAsia="Times New Roman"/>
          <w:b w:val="0"/>
          <w:snapToGrid w:val="0"/>
          <w:sz w:val="16"/>
          <w:szCs w:val="16"/>
        </w:rPr>
        <w:t>d</w:t>
      </w:r>
      <w:r w:rsidRPr="00BF77C6">
        <w:rPr>
          <w:rFonts w:eastAsia="Times New Roman"/>
          <w:b w:val="0"/>
          <w:snapToGrid w:val="0"/>
          <w:sz w:val="16"/>
          <w:szCs w:val="16"/>
        </w:rPr>
        <w:t>)(10)(I)</w:t>
      </w:r>
    </w:p>
    <w:p w14:paraId="178AF8F2" w14:textId="2E2E061D" w:rsidR="00D55FAE" w:rsidRPr="00BF77C6" w:rsidRDefault="00226F09" w:rsidP="00B659FE">
      <w:pPr>
        <w:pStyle w:val="FOFNumbered"/>
      </w:pPr>
      <w:r w:rsidRPr="00BF77C6">
        <w:t>The</w:t>
      </w:r>
      <w:r w:rsidR="0017006B" w:rsidRPr="00BF77C6">
        <w:t xml:space="preserve"> application </w:t>
      </w:r>
      <w:r w:rsidR="00AC7A54" w:rsidRPr="00BF77C6">
        <w:t>included the affidavit of Michelle Townsend</w:t>
      </w:r>
      <w:r w:rsidR="00065FFC" w:rsidRPr="00BF77C6">
        <w:t xml:space="preserve">, </w:t>
      </w:r>
      <w:r w:rsidRPr="00BF77C6">
        <w:t>m</w:t>
      </w:r>
      <w:r w:rsidR="00065FFC" w:rsidRPr="00BF77C6">
        <w:t xml:space="preserve">anager of </w:t>
      </w:r>
      <w:r w:rsidRPr="00BF77C6">
        <w:t>b</w:t>
      </w:r>
      <w:r w:rsidR="00065FFC" w:rsidRPr="00BF77C6">
        <w:t xml:space="preserve">usiness </w:t>
      </w:r>
      <w:r w:rsidRPr="00BF77C6">
        <w:t>s</w:t>
      </w:r>
      <w:r w:rsidR="00065FFC" w:rsidRPr="00BF77C6">
        <w:t xml:space="preserve">ervice </w:t>
      </w:r>
      <w:r w:rsidRPr="00BF77C6">
        <w:t>p</w:t>
      </w:r>
      <w:r w:rsidR="00065FFC" w:rsidRPr="00BF77C6">
        <w:t xml:space="preserve">lanning and </w:t>
      </w:r>
      <w:r w:rsidRPr="00BF77C6">
        <w:t>p</w:t>
      </w:r>
      <w:r w:rsidR="00065FFC" w:rsidRPr="00BF77C6">
        <w:t xml:space="preserve">erformance </w:t>
      </w:r>
      <w:r w:rsidRPr="00BF77C6">
        <w:t>m</w:t>
      </w:r>
      <w:r w:rsidR="00065FFC" w:rsidRPr="00BF77C6">
        <w:t>anagement for CenterPoint Energy, Inc</w:t>
      </w:r>
      <w:r w:rsidR="00AC7A54" w:rsidRPr="00BF77C6">
        <w:t>.  Ms.</w:t>
      </w:r>
      <w:r w:rsidR="00623264" w:rsidRPr="00BF77C6">
        <w:t> </w:t>
      </w:r>
      <w:r w:rsidR="00AC7A54" w:rsidRPr="00BF77C6">
        <w:t>Townsend attest</w:t>
      </w:r>
      <w:r w:rsidRPr="00BF77C6">
        <w:t>ed</w:t>
      </w:r>
      <w:r w:rsidR="00AC7A54" w:rsidRPr="00BF77C6">
        <w:t xml:space="preserve"> </w:t>
      </w:r>
      <w:r w:rsidR="0017006B" w:rsidRPr="00BF77C6">
        <w:t>that CenterPoint Energy, Inc.’s wholly owned subsidiary CenterPoint Energy Service Company, LLC</w:t>
      </w:r>
      <w:r w:rsidR="00F30EFD" w:rsidRPr="00BF77C6">
        <w:t xml:space="preserve"> </w:t>
      </w:r>
      <w:r w:rsidR="0017006B" w:rsidRPr="00BF77C6">
        <w:t>provides centralized support services to CenterPoint Houston.</w:t>
      </w:r>
    </w:p>
    <w:p w14:paraId="497D2BA3" w14:textId="0B1DCCA9" w:rsidR="00AC7A54" w:rsidRPr="00BF77C6" w:rsidRDefault="00AC7A54" w:rsidP="00B659FE">
      <w:pPr>
        <w:pStyle w:val="FOFNumbered"/>
      </w:pPr>
      <w:r w:rsidRPr="00BF77C6">
        <w:t>Ms. Townsend</w:t>
      </w:r>
      <w:r w:rsidR="00AC28E8" w:rsidRPr="00BF77C6">
        <w:t xml:space="preserve"> </w:t>
      </w:r>
      <w:r w:rsidRPr="00BF77C6">
        <w:t>state</w:t>
      </w:r>
      <w:r w:rsidR="00A65F4D" w:rsidRPr="00BF77C6">
        <w:t>d</w:t>
      </w:r>
      <w:r w:rsidRPr="00BF77C6">
        <w:t xml:space="preserve"> that</w:t>
      </w:r>
      <w:r w:rsidR="00CD3007" w:rsidRPr="00BF77C6">
        <w:t xml:space="preserve"> CenterPoint Energy Service Company, LLC</w:t>
      </w:r>
      <w:r w:rsidR="00A65F4D" w:rsidRPr="00BF77C6">
        <w:t>’</w:t>
      </w:r>
      <w:r w:rsidR="00B500C3" w:rsidRPr="00BF77C6">
        <w:t>s</w:t>
      </w:r>
      <w:r w:rsidRPr="00BF77C6">
        <w:t xml:space="preserve"> direct </w:t>
      </w:r>
      <w:r w:rsidR="00B500C3" w:rsidRPr="00BF77C6">
        <w:t xml:space="preserve">charges </w:t>
      </w:r>
      <w:r w:rsidR="004A3472" w:rsidRPr="00BF77C6">
        <w:t>of $</w:t>
      </w:r>
      <w:r w:rsidR="00C57D13" w:rsidRPr="00BF77C6">
        <w:t>10,288</w:t>
      </w:r>
      <w:r w:rsidR="004A3472" w:rsidRPr="00BF77C6">
        <w:t xml:space="preserve"> </w:t>
      </w:r>
      <w:r w:rsidRPr="00BF77C6">
        <w:t>to CenterPoint Houston’s energy</w:t>
      </w:r>
      <w:r w:rsidR="008D6D4B" w:rsidRPr="00BF77C6">
        <w:t>-</w:t>
      </w:r>
      <w:r w:rsidRPr="00BF77C6">
        <w:t>eff</w:t>
      </w:r>
      <w:r w:rsidR="004A3472" w:rsidRPr="00BF77C6">
        <w:t xml:space="preserve">iciency department </w:t>
      </w:r>
      <w:r w:rsidR="00D55FAE" w:rsidRPr="00BF77C6">
        <w:t xml:space="preserve">were </w:t>
      </w:r>
      <w:r w:rsidR="004A3472" w:rsidRPr="00BF77C6">
        <w:t>for</w:t>
      </w:r>
      <w:r w:rsidRPr="00BF77C6">
        <w:t xml:space="preserve"> information technology and legal services necessary to operate CenterPoint Houston’s energy</w:t>
      </w:r>
      <w:r w:rsidR="00DF65C8">
        <w:noBreakHyphen/>
      </w:r>
      <w:r w:rsidRPr="00BF77C6">
        <w:t>efficiency programs</w:t>
      </w:r>
      <w:r w:rsidR="0017006B" w:rsidRPr="00BF77C6">
        <w:t>.</w:t>
      </w:r>
    </w:p>
    <w:p w14:paraId="4B8A964E" w14:textId="6BB2CBEC" w:rsidR="00B94E74" w:rsidRPr="00BF77C6" w:rsidRDefault="00EF0CFC" w:rsidP="00096D28">
      <w:pPr>
        <w:pStyle w:val="FOFNumbered"/>
        <w:keepNext/>
        <w:spacing w:before="0"/>
      </w:pPr>
      <w:r w:rsidRPr="00BF77C6">
        <w:lastRenderedPageBreak/>
        <w:t>The Commission makes the following findings regarding</w:t>
      </w:r>
      <w:r w:rsidR="0017006B" w:rsidRPr="00BF77C6">
        <w:t xml:space="preserve"> </w:t>
      </w:r>
      <w:r w:rsidR="004C475D" w:rsidRPr="00BF77C6">
        <w:t>CenterPoint Energy Service Company, LLC</w:t>
      </w:r>
      <w:r w:rsidR="00A65F4D" w:rsidRPr="00BF77C6">
        <w:t>’</w:t>
      </w:r>
      <w:r w:rsidR="0017006B" w:rsidRPr="00BF77C6">
        <w:t>s charges to CenterPoint Houston:</w:t>
      </w:r>
      <w:r w:rsidR="00D55FAE" w:rsidRPr="00BF77C6">
        <w:t xml:space="preserve"> </w:t>
      </w:r>
    </w:p>
    <w:p w14:paraId="657262AA" w14:textId="7B9FBD0D" w:rsidR="00B94E74" w:rsidRPr="00BF77C6" w:rsidRDefault="00D55FAE" w:rsidP="000B59B1">
      <w:pPr>
        <w:pStyle w:val="FOFNumbered"/>
        <w:numPr>
          <w:ilvl w:val="0"/>
          <w:numId w:val="15"/>
        </w:numPr>
        <w:spacing w:before="0"/>
      </w:pPr>
      <w:r w:rsidRPr="00BF77C6">
        <w:t>the charges do not include any affiliate costs that are deemed unrecoverable or prohi</w:t>
      </w:r>
      <w:r w:rsidR="004A3472" w:rsidRPr="00BF77C6">
        <w:t>bited by PURA</w:t>
      </w:r>
      <w:r w:rsidR="00B77407" w:rsidRPr="00BF77C6">
        <w:rPr>
          <w:rStyle w:val="FootnoteReference"/>
        </w:rPr>
        <w:footnoteReference w:id="3"/>
      </w:r>
      <w:r w:rsidR="004A3472" w:rsidRPr="00BF77C6">
        <w:t xml:space="preserve"> or Commission</w:t>
      </w:r>
      <w:r w:rsidRPr="00BF77C6">
        <w:t xml:space="preserve"> rules;</w:t>
      </w:r>
    </w:p>
    <w:p w14:paraId="5F265D08" w14:textId="77777777" w:rsidR="00B94E74" w:rsidRPr="00BF77C6" w:rsidRDefault="00D55FAE" w:rsidP="000B59B1">
      <w:pPr>
        <w:pStyle w:val="FOFNumbered"/>
        <w:numPr>
          <w:ilvl w:val="0"/>
          <w:numId w:val="15"/>
        </w:numPr>
        <w:spacing w:before="0"/>
      </w:pPr>
      <w:r w:rsidRPr="00BF77C6">
        <w:t>the services are necessary for CenterPoint Houston</w:t>
      </w:r>
      <w:r w:rsidR="002671F2" w:rsidRPr="00BF77C6">
        <w:t>’</w:t>
      </w:r>
      <w:r w:rsidRPr="00BF77C6">
        <w:t xml:space="preserve">s operations regardless of whether the service is performed centrally or by CenterPoint Houston; </w:t>
      </w:r>
    </w:p>
    <w:p w14:paraId="4957CDC5" w14:textId="77777777" w:rsidR="00B94E74" w:rsidRPr="00BF77C6" w:rsidRDefault="0017006B" w:rsidP="000B59B1">
      <w:pPr>
        <w:pStyle w:val="FOFNumbered"/>
        <w:numPr>
          <w:ilvl w:val="0"/>
          <w:numId w:val="15"/>
        </w:numPr>
        <w:spacing w:before="0"/>
      </w:pPr>
      <w:r w:rsidRPr="00BF77C6">
        <w:t xml:space="preserve">the services </w:t>
      </w:r>
      <w:r w:rsidR="00D55FAE" w:rsidRPr="00BF77C6">
        <w:t xml:space="preserve">are not duplicative of any of the services provided by CenterPoint Houston; </w:t>
      </w:r>
    </w:p>
    <w:p w14:paraId="46576B0D" w14:textId="371A76D9" w:rsidR="00B94E74" w:rsidRPr="00BF77C6" w:rsidRDefault="00522C8A" w:rsidP="000B59B1">
      <w:pPr>
        <w:pStyle w:val="FOFNumbered"/>
        <w:numPr>
          <w:ilvl w:val="0"/>
          <w:numId w:val="15"/>
        </w:numPr>
        <w:spacing w:before="0"/>
      </w:pPr>
      <w:r w:rsidRPr="00BF77C6">
        <w:t xml:space="preserve">the </w:t>
      </w:r>
      <w:r w:rsidR="0017006B" w:rsidRPr="00BF77C6">
        <w:t>charges</w:t>
      </w:r>
      <w:r w:rsidRPr="00BF77C6">
        <w:t xml:space="preserve"> constitute corporate support services under 16 TAC §</w:t>
      </w:r>
      <w:r w:rsidR="00452B64" w:rsidRPr="00BF77C6">
        <w:t> </w:t>
      </w:r>
      <w:r w:rsidRPr="00BF77C6">
        <w:t>25.272</w:t>
      </w:r>
      <w:r w:rsidR="00A406C1" w:rsidRPr="00BF77C6">
        <w:t>(c)</w:t>
      </w:r>
      <w:r w:rsidRPr="00BF77C6">
        <w:t>(4) a</w:t>
      </w:r>
      <w:r w:rsidR="004A3472" w:rsidRPr="00BF77C6">
        <w:t xml:space="preserve">nd otherwise comply with </w:t>
      </w:r>
      <w:r w:rsidR="00193EDE" w:rsidRPr="00BF77C6">
        <w:t xml:space="preserve">16 TAC </w:t>
      </w:r>
      <w:r w:rsidR="004A3472" w:rsidRPr="00BF77C6">
        <w:t>§</w:t>
      </w:r>
      <w:r w:rsidRPr="00BF77C6">
        <w:t xml:space="preserve"> 25.272 and </w:t>
      </w:r>
      <w:r w:rsidR="00AC7A54" w:rsidRPr="00BF77C6">
        <w:t>PURA § 36.058</w:t>
      </w:r>
      <w:r w:rsidRPr="00BF77C6">
        <w:t xml:space="preserve">; </w:t>
      </w:r>
      <w:r w:rsidR="006F24FC" w:rsidRPr="00BF77C6">
        <w:t>and</w:t>
      </w:r>
    </w:p>
    <w:p w14:paraId="61FFF03E" w14:textId="0E5F96BC" w:rsidR="00AC7A54" w:rsidRPr="00BF77C6" w:rsidRDefault="00522C8A" w:rsidP="000B59B1">
      <w:pPr>
        <w:pStyle w:val="FOFNumbered"/>
        <w:numPr>
          <w:ilvl w:val="0"/>
          <w:numId w:val="15"/>
        </w:numPr>
        <w:spacing w:before="0"/>
      </w:pPr>
      <w:r w:rsidRPr="00BF77C6">
        <w:t>the costs charged to CenterPoint Houston are reasonable</w:t>
      </w:r>
      <w:r w:rsidR="00452B64" w:rsidRPr="00BF77C6">
        <w:t xml:space="preserve"> and</w:t>
      </w:r>
      <w:r w:rsidRPr="00BF77C6">
        <w:t xml:space="preserve"> necessary and have been priced no higher than </w:t>
      </w:r>
      <w:r w:rsidR="00A22656" w:rsidRPr="00BF77C6">
        <w:t xml:space="preserve">CenterPoint Energy Service Company, LLC’s </w:t>
      </w:r>
      <w:r w:rsidRPr="00BF77C6">
        <w:t>charges to other affiliates for the same service</w:t>
      </w:r>
      <w:r w:rsidR="00AC7A54" w:rsidRPr="00BF77C6">
        <w:t>.</w:t>
      </w:r>
    </w:p>
    <w:p w14:paraId="32B0672C" w14:textId="1C552857" w:rsidR="00AC7A54" w:rsidRPr="00BF77C6" w:rsidRDefault="00AC7A54" w:rsidP="00B659FE">
      <w:pPr>
        <w:pStyle w:val="Heading7"/>
        <w:rPr>
          <w:rFonts w:eastAsia="Times New Roman"/>
          <w:b w:val="0"/>
          <w:snapToGrid w:val="0"/>
        </w:rPr>
      </w:pPr>
      <w:r w:rsidRPr="00BF77C6">
        <w:rPr>
          <w:rFonts w:eastAsia="Times New Roman"/>
          <w:snapToGrid w:val="0"/>
        </w:rPr>
        <w:t xml:space="preserve">Energy-Efficiency Plan and Report </w:t>
      </w:r>
      <w:r w:rsidRPr="00BF77C6">
        <w:rPr>
          <w:rFonts w:eastAsia="Times New Roman"/>
          <w:b w:val="0"/>
          <w:snapToGrid w:val="0"/>
          <w:sz w:val="16"/>
          <w:szCs w:val="16"/>
        </w:rPr>
        <w:t>16 TAC § 25.181(</w:t>
      </w:r>
      <w:r w:rsidR="006D2ADC" w:rsidRPr="00BF77C6">
        <w:rPr>
          <w:rFonts w:eastAsia="Times New Roman"/>
          <w:b w:val="0"/>
          <w:snapToGrid w:val="0"/>
          <w:sz w:val="16"/>
          <w:szCs w:val="16"/>
        </w:rPr>
        <w:t>1</w:t>
      </w:r>
      <w:r w:rsidRPr="00BF77C6">
        <w:rPr>
          <w:rFonts w:eastAsia="Times New Roman"/>
          <w:b w:val="0"/>
          <w:snapToGrid w:val="0"/>
          <w:sz w:val="16"/>
          <w:szCs w:val="16"/>
        </w:rPr>
        <w:t>)</w:t>
      </w:r>
    </w:p>
    <w:p w14:paraId="3472C4FF" w14:textId="4359CC24" w:rsidR="00AC7A54" w:rsidRPr="00BF77C6" w:rsidRDefault="00AC7A54" w:rsidP="00B659FE">
      <w:pPr>
        <w:pStyle w:val="FOFNumbered"/>
      </w:pPr>
      <w:r w:rsidRPr="00BF77C6">
        <w:t xml:space="preserve">On </w:t>
      </w:r>
      <w:r w:rsidR="006D2ADC" w:rsidRPr="00BF77C6">
        <w:t>April</w:t>
      </w:r>
      <w:r w:rsidRPr="00BF77C6">
        <w:t xml:space="preserve"> 1, 201</w:t>
      </w:r>
      <w:r w:rsidR="006D2ADC" w:rsidRPr="00BF77C6">
        <w:t>9</w:t>
      </w:r>
      <w:r w:rsidR="00C83EA6" w:rsidRPr="00BF77C6">
        <w:t>,</w:t>
      </w:r>
      <w:r w:rsidRPr="00BF77C6">
        <w:t xml:space="preserve"> CenterPoint Houston filed its 201</w:t>
      </w:r>
      <w:r w:rsidR="006D2ADC" w:rsidRPr="00BF77C6">
        <w:t>9</w:t>
      </w:r>
      <w:r w:rsidRPr="00BF77C6">
        <w:t xml:space="preserve"> </w:t>
      </w:r>
      <w:r w:rsidR="00E456F3" w:rsidRPr="00BF77C6">
        <w:t>energy-efficiency plan and report</w:t>
      </w:r>
      <w:r w:rsidRPr="00BF77C6">
        <w:t xml:space="preserve"> required by 16 TAC §</w:t>
      </w:r>
      <w:r w:rsidR="00A65F4D" w:rsidRPr="00BF77C6">
        <w:t> </w:t>
      </w:r>
      <w:r w:rsidRPr="00BF77C6">
        <w:t>25.181(</w:t>
      </w:r>
      <w:r w:rsidR="006D2ADC" w:rsidRPr="00BF77C6">
        <w:t>l</w:t>
      </w:r>
      <w:r w:rsidRPr="00BF77C6">
        <w:t>)</w:t>
      </w:r>
      <w:r w:rsidR="00954189" w:rsidRPr="00BF77C6">
        <w:t>,</w:t>
      </w:r>
      <w:r w:rsidR="00E016E2" w:rsidRPr="00BF77C6">
        <w:t xml:space="preserve"> and on </w:t>
      </w:r>
      <w:r w:rsidR="00D675DD" w:rsidRPr="00BF77C6">
        <w:t>May</w:t>
      </w:r>
      <w:r w:rsidR="006D2ADC" w:rsidRPr="00BF77C6">
        <w:t xml:space="preserve"> 31</w:t>
      </w:r>
      <w:r w:rsidR="00E016E2" w:rsidRPr="00BF77C6">
        <w:t>, 201</w:t>
      </w:r>
      <w:r w:rsidR="006D2ADC" w:rsidRPr="00BF77C6">
        <w:t>9</w:t>
      </w:r>
      <w:r w:rsidR="00954189" w:rsidRPr="00BF77C6">
        <w:t>,</w:t>
      </w:r>
      <w:r w:rsidR="00E016E2" w:rsidRPr="00BF77C6">
        <w:t xml:space="preserve"> </w:t>
      </w:r>
      <w:r w:rsidR="007011BD" w:rsidRPr="00BF77C6">
        <w:t xml:space="preserve">it </w:t>
      </w:r>
      <w:r w:rsidR="00E016E2" w:rsidRPr="00BF77C6">
        <w:t xml:space="preserve">filed changes to the </w:t>
      </w:r>
      <w:r w:rsidR="00E456F3" w:rsidRPr="00BF77C6">
        <w:t>plan and report</w:t>
      </w:r>
      <w:r w:rsidR="00E016E2" w:rsidRPr="00BF77C6">
        <w:t>.</w:t>
      </w:r>
    </w:p>
    <w:p w14:paraId="31FC4573" w14:textId="63CEF9ED" w:rsidR="00AC7A54" w:rsidRPr="00BF77C6" w:rsidRDefault="00AC7A54" w:rsidP="00B659FE">
      <w:pPr>
        <w:pStyle w:val="Heading7"/>
        <w:rPr>
          <w:rFonts w:eastAsia="Times New Roman"/>
          <w:b w:val="0"/>
          <w:snapToGrid w:val="0"/>
        </w:rPr>
      </w:pPr>
      <w:r w:rsidRPr="00BF77C6">
        <w:rPr>
          <w:rFonts w:eastAsia="Times New Roman"/>
          <w:snapToGrid w:val="0"/>
        </w:rPr>
        <w:t xml:space="preserve">Low-Income Energy Efficiency </w:t>
      </w:r>
      <w:r w:rsidR="00F7782B" w:rsidRPr="00BF77C6">
        <w:rPr>
          <w:rFonts w:eastAsia="Times New Roman"/>
          <w:b w:val="0"/>
          <w:snapToGrid w:val="0"/>
          <w:sz w:val="16"/>
          <w:szCs w:val="16"/>
        </w:rPr>
        <w:t>PURA § 39.905(f) and</w:t>
      </w:r>
      <w:r w:rsidR="00F7782B" w:rsidRPr="00BF77C6">
        <w:rPr>
          <w:rFonts w:eastAsia="Times New Roman"/>
          <w:snapToGrid w:val="0"/>
        </w:rPr>
        <w:t xml:space="preserve"> </w:t>
      </w:r>
      <w:r w:rsidRPr="00BF77C6">
        <w:rPr>
          <w:rFonts w:eastAsia="Times New Roman"/>
          <w:b w:val="0"/>
          <w:snapToGrid w:val="0"/>
          <w:sz w:val="16"/>
          <w:szCs w:val="16"/>
        </w:rPr>
        <w:t>16 TAC § 25.181(</w:t>
      </w:r>
      <w:r w:rsidR="006D2ADC" w:rsidRPr="00BF77C6">
        <w:rPr>
          <w:rFonts w:eastAsia="Times New Roman"/>
          <w:b w:val="0"/>
          <w:snapToGrid w:val="0"/>
          <w:sz w:val="16"/>
          <w:szCs w:val="16"/>
        </w:rPr>
        <w:t>p</w:t>
      </w:r>
      <w:r w:rsidRPr="00BF77C6">
        <w:rPr>
          <w:rFonts w:eastAsia="Times New Roman"/>
          <w:b w:val="0"/>
          <w:snapToGrid w:val="0"/>
          <w:sz w:val="16"/>
          <w:szCs w:val="16"/>
        </w:rPr>
        <w:t>)</w:t>
      </w:r>
    </w:p>
    <w:p w14:paraId="36012C50" w14:textId="1E4579D3" w:rsidR="00733D71" w:rsidRPr="00BF77C6" w:rsidRDefault="00733D71" w:rsidP="00517339">
      <w:pPr>
        <w:pStyle w:val="FOFNumbered"/>
        <w:rPr>
          <w:rFonts w:eastAsia="Arial"/>
        </w:rPr>
      </w:pPr>
      <w:r w:rsidRPr="00BF77C6">
        <w:t>CenterPoint Houston’s</w:t>
      </w:r>
      <w:r w:rsidRPr="00BF77C6">
        <w:rPr>
          <w:rFonts w:eastAsia="Arial"/>
        </w:rPr>
        <w:t xml:space="preserve"> total program </w:t>
      </w:r>
      <w:r w:rsidR="00F7782B" w:rsidRPr="00BF77C6">
        <w:rPr>
          <w:rFonts w:eastAsia="Arial"/>
        </w:rPr>
        <w:t xml:space="preserve">expenditures </w:t>
      </w:r>
      <w:r w:rsidRPr="00BF77C6">
        <w:rPr>
          <w:rFonts w:eastAsia="Arial"/>
        </w:rPr>
        <w:t xml:space="preserve">for its </w:t>
      </w:r>
      <w:r w:rsidR="003B3FC7" w:rsidRPr="00BF77C6">
        <w:rPr>
          <w:rFonts w:eastAsia="Arial"/>
        </w:rPr>
        <w:t>targeted low-income</w:t>
      </w:r>
      <w:r w:rsidRPr="00BF77C6">
        <w:rPr>
          <w:rFonts w:eastAsia="Arial"/>
        </w:rPr>
        <w:t xml:space="preserve"> program</w:t>
      </w:r>
      <w:r w:rsidR="00CF25F6" w:rsidRPr="00BF77C6">
        <w:rPr>
          <w:rFonts w:eastAsia="Arial"/>
        </w:rPr>
        <w:t xml:space="preserve"> </w:t>
      </w:r>
      <w:r w:rsidR="003B3FC7" w:rsidRPr="00BF77C6">
        <w:rPr>
          <w:rFonts w:eastAsia="Arial"/>
        </w:rPr>
        <w:t>in</w:t>
      </w:r>
      <w:r w:rsidR="00DF05BE" w:rsidRPr="00BF77C6">
        <w:rPr>
          <w:rFonts w:eastAsia="Arial"/>
        </w:rPr>
        <w:t> </w:t>
      </w:r>
      <w:r w:rsidRPr="00BF77C6">
        <w:rPr>
          <w:rFonts w:eastAsia="Arial"/>
        </w:rPr>
        <w:t>201</w:t>
      </w:r>
      <w:r w:rsidR="006D2ADC" w:rsidRPr="00BF77C6">
        <w:rPr>
          <w:rFonts w:eastAsia="Arial"/>
        </w:rPr>
        <w:t>8</w:t>
      </w:r>
      <w:r w:rsidRPr="00BF77C6">
        <w:rPr>
          <w:rFonts w:eastAsia="Arial"/>
        </w:rPr>
        <w:t xml:space="preserve"> </w:t>
      </w:r>
      <w:r w:rsidR="00F7782B" w:rsidRPr="00BF77C6">
        <w:rPr>
          <w:rFonts w:eastAsia="Arial"/>
        </w:rPr>
        <w:t>were</w:t>
      </w:r>
      <w:r w:rsidRPr="00BF77C6">
        <w:rPr>
          <w:rFonts w:eastAsia="Arial"/>
        </w:rPr>
        <w:t xml:space="preserve"> $</w:t>
      </w:r>
      <w:r w:rsidR="003B3FC7" w:rsidRPr="00BF77C6">
        <w:rPr>
          <w:rFonts w:eastAsia="Arial"/>
        </w:rPr>
        <w:t>3,741,121</w:t>
      </w:r>
      <w:r w:rsidRPr="00BF77C6">
        <w:t xml:space="preserve">, </w:t>
      </w:r>
      <w:r w:rsidRPr="00BF77C6">
        <w:rPr>
          <w:rFonts w:eastAsia="Arial"/>
        </w:rPr>
        <w:t xml:space="preserve">which is </w:t>
      </w:r>
      <w:r w:rsidR="007011BD" w:rsidRPr="00BF77C6">
        <w:rPr>
          <w:rFonts w:eastAsia="Arial"/>
        </w:rPr>
        <w:t>greater</w:t>
      </w:r>
      <w:r w:rsidRPr="00BF77C6">
        <w:rPr>
          <w:rFonts w:eastAsia="Arial"/>
        </w:rPr>
        <w:t xml:space="preserve"> than </w:t>
      </w:r>
      <w:r w:rsidR="007011BD" w:rsidRPr="00BF77C6">
        <w:rPr>
          <w:rFonts w:eastAsia="Arial"/>
        </w:rPr>
        <w:t xml:space="preserve">the required </w:t>
      </w:r>
      <w:r w:rsidRPr="00BF77C6">
        <w:rPr>
          <w:rFonts w:eastAsia="Arial"/>
        </w:rPr>
        <w:t>10% of the total portfolio budget amount of $</w:t>
      </w:r>
      <w:r w:rsidR="006D2ADC" w:rsidRPr="00BF77C6">
        <w:t>36,</w:t>
      </w:r>
      <w:r w:rsidR="00A73D92" w:rsidRPr="00BF77C6">
        <w:t>435,833</w:t>
      </w:r>
      <w:r w:rsidRPr="00BF77C6">
        <w:rPr>
          <w:rFonts w:eastAsia="Arial"/>
        </w:rPr>
        <w:t>.</w:t>
      </w:r>
    </w:p>
    <w:p w14:paraId="660DC33D" w14:textId="4924DB96" w:rsidR="00AC7A54" w:rsidRPr="00BF77C6" w:rsidRDefault="00AC7A54" w:rsidP="00517339">
      <w:pPr>
        <w:pStyle w:val="FOFNumbered"/>
      </w:pPr>
      <w:r w:rsidRPr="00BF77C6">
        <w:t xml:space="preserve">CenterPoint Houston’s budgeted incentive amount for its </w:t>
      </w:r>
      <w:r w:rsidR="00FA5FF1" w:rsidRPr="00BF77C6">
        <w:t xml:space="preserve">targeted </w:t>
      </w:r>
      <w:r w:rsidRPr="00BF77C6">
        <w:t>low-income program in program</w:t>
      </w:r>
      <w:r w:rsidR="00CF25F6" w:rsidRPr="00BF77C6">
        <w:t xml:space="preserve"> </w:t>
      </w:r>
      <w:r w:rsidRPr="00BF77C6">
        <w:t>year 20</w:t>
      </w:r>
      <w:r w:rsidR="00A73D92" w:rsidRPr="00BF77C6">
        <w:t>20</w:t>
      </w:r>
      <w:r w:rsidRPr="00BF77C6">
        <w:t xml:space="preserve"> is </w:t>
      </w:r>
      <w:r w:rsidR="00FB412C" w:rsidRPr="00BF77C6">
        <w:t>$</w:t>
      </w:r>
      <w:r w:rsidR="00A73D92" w:rsidRPr="00BF77C6">
        <w:t>4,893,350</w:t>
      </w:r>
      <w:r w:rsidR="00FB2A10" w:rsidRPr="00BF77C6">
        <w:t>, which is</w:t>
      </w:r>
      <w:r w:rsidR="00FB412C" w:rsidRPr="00BF77C6">
        <w:t xml:space="preserve"> 1</w:t>
      </w:r>
      <w:r w:rsidR="00A73D92" w:rsidRPr="00BF77C6">
        <w:t>2.9</w:t>
      </w:r>
      <w:r w:rsidR="00FB412C" w:rsidRPr="00BF77C6">
        <w:t>% of</w:t>
      </w:r>
      <w:r w:rsidR="00C26C81" w:rsidRPr="00BF77C6">
        <w:t xml:space="preserve"> the</w:t>
      </w:r>
      <w:r w:rsidR="00FB412C" w:rsidRPr="00BF77C6">
        <w:t xml:space="preserve"> </w:t>
      </w:r>
      <w:r w:rsidR="00032E46" w:rsidRPr="00BF77C6">
        <w:t>total</w:t>
      </w:r>
      <w:r w:rsidR="00FB412C" w:rsidRPr="00BF77C6">
        <w:t xml:space="preserve"> estimate</w:t>
      </w:r>
      <w:r w:rsidR="00032E46" w:rsidRPr="00BF77C6">
        <w:t>d</w:t>
      </w:r>
      <w:r w:rsidR="00FB412C" w:rsidRPr="00BF77C6">
        <w:t xml:space="preserve"> </w:t>
      </w:r>
      <w:r w:rsidR="00612107" w:rsidRPr="00BF77C6">
        <w:t xml:space="preserve">2020 </w:t>
      </w:r>
      <w:r w:rsidR="008D11D4" w:rsidRPr="00BF77C6">
        <w:t>program costs</w:t>
      </w:r>
      <w:r w:rsidR="00032E46" w:rsidRPr="00BF77C6">
        <w:rPr>
          <w:rFonts w:eastAsia="Arial"/>
        </w:rPr>
        <w:t xml:space="preserve"> </w:t>
      </w:r>
      <w:r w:rsidR="008D11D4" w:rsidRPr="00BF77C6">
        <w:t xml:space="preserve">of </w:t>
      </w:r>
      <w:r w:rsidR="005D53CC" w:rsidRPr="00BF77C6">
        <w:t>$37,</w:t>
      </w:r>
      <w:r w:rsidR="00B423EA" w:rsidRPr="00BF77C6">
        <w:t>3</w:t>
      </w:r>
      <w:r w:rsidR="00A73D92" w:rsidRPr="00BF77C6">
        <w:t>20</w:t>
      </w:r>
      <w:r w:rsidR="005D53CC" w:rsidRPr="00BF77C6">
        <w:t>,</w:t>
      </w:r>
      <w:r w:rsidR="00A73D92" w:rsidRPr="00BF77C6">
        <w:t>991</w:t>
      </w:r>
      <w:r w:rsidRPr="00BF77C6">
        <w:t>.</w:t>
      </w:r>
    </w:p>
    <w:p w14:paraId="3907F49F" w14:textId="050551C3" w:rsidR="00AC7A54" w:rsidRPr="00BF77C6" w:rsidRDefault="00AC7A54" w:rsidP="00B659FE">
      <w:pPr>
        <w:pStyle w:val="Heading7"/>
        <w:rPr>
          <w:rFonts w:eastAsia="Times New Roman"/>
          <w:sz w:val="16"/>
          <w:szCs w:val="16"/>
        </w:rPr>
      </w:pPr>
      <w:r w:rsidRPr="00BF77C6">
        <w:rPr>
          <w:rFonts w:eastAsia="Times New Roman"/>
        </w:rPr>
        <w:t xml:space="preserve">Outreach to Retail Electric Providers </w:t>
      </w:r>
      <w:r w:rsidRPr="00BF77C6">
        <w:rPr>
          <w:rFonts w:eastAsia="Times New Roman"/>
          <w:b w:val="0"/>
          <w:sz w:val="16"/>
          <w:szCs w:val="16"/>
        </w:rPr>
        <w:t>16 TAC § 25.181(</w:t>
      </w:r>
      <w:r w:rsidR="00A73D92" w:rsidRPr="00BF77C6">
        <w:rPr>
          <w:rFonts w:eastAsia="Times New Roman"/>
          <w:b w:val="0"/>
          <w:sz w:val="16"/>
          <w:szCs w:val="16"/>
        </w:rPr>
        <w:t>r</w:t>
      </w:r>
      <w:r w:rsidRPr="00BF77C6">
        <w:rPr>
          <w:rFonts w:eastAsia="Times New Roman"/>
          <w:b w:val="0"/>
          <w:sz w:val="16"/>
          <w:szCs w:val="16"/>
        </w:rPr>
        <w:t>)</w:t>
      </w:r>
    </w:p>
    <w:p w14:paraId="01403C1A" w14:textId="3E06058D" w:rsidR="00AC7A54" w:rsidRPr="00BF77C6" w:rsidRDefault="00AC7A54" w:rsidP="00517339">
      <w:pPr>
        <w:pStyle w:val="FOFNumbered"/>
      </w:pPr>
      <w:r w:rsidRPr="00BF77C6">
        <w:t xml:space="preserve">CenterPoint Houston </w:t>
      </w:r>
      <w:r w:rsidR="00A73D92" w:rsidRPr="00BF77C6">
        <w:t xml:space="preserve">conducted outreach to </w:t>
      </w:r>
      <w:r w:rsidR="00E345EB" w:rsidRPr="00BF77C6">
        <w:t xml:space="preserve">retail electric providers </w:t>
      </w:r>
      <w:r w:rsidR="00A73D92" w:rsidRPr="00BF77C6">
        <w:t xml:space="preserve">and continues to promote the participation of </w:t>
      </w:r>
      <w:r w:rsidR="00FB2A10" w:rsidRPr="00BF77C6">
        <w:t>retail electric providers</w:t>
      </w:r>
      <w:r w:rsidR="00A73D92" w:rsidRPr="00BF77C6">
        <w:t xml:space="preserve"> in CenterPoint Houston’s energy efficiency programs.  In 2018, 15 </w:t>
      </w:r>
      <w:r w:rsidR="00FB2A10" w:rsidRPr="00BF77C6">
        <w:t>retail electric providers</w:t>
      </w:r>
      <w:r w:rsidR="00A73D92" w:rsidRPr="00BF77C6">
        <w:t xml:space="preserve"> participated in CenterPoint </w:t>
      </w:r>
      <w:r w:rsidR="00A73D92" w:rsidRPr="00BF77C6">
        <w:lastRenderedPageBreak/>
        <w:t xml:space="preserve">Houston’s </w:t>
      </w:r>
      <w:r w:rsidR="00193EDE" w:rsidRPr="00BF77C6">
        <w:t>retail electric provider</w:t>
      </w:r>
      <w:r w:rsidR="00A73D92" w:rsidRPr="00BF77C6">
        <w:t xml:space="preserve"> program by marketing energy savings products and services to residential and commercial customers</w:t>
      </w:r>
      <w:r w:rsidRPr="00BF77C6">
        <w:t>.</w:t>
      </w:r>
    </w:p>
    <w:p w14:paraId="184E57BD" w14:textId="3D989ED9" w:rsidR="00AC7A54" w:rsidRPr="00BF77C6" w:rsidRDefault="00AC7A54" w:rsidP="00B659FE">
      <w:pPr>
        <w:pStyle w:val="Heading7"/>
        <w:rPr>
          <w:rFonts w:eastAsia="Times New Roman"/>
          <w:b w:val="0"/>
          <w:sz w:val="16"/>
          <w:szCs w:val="16"/>
        </w:rPr>
      </w:pPr>
      <w:r w:rsidRPr="00BF77C6">
        <w:rPr>
          <w:rFonts w:eastAsia="Times New Roman"/>
        </w:rPr>
        <w:t xml:space="preserve">Industrial Customer Exclusions </w:t>
      </w:r>
      <w:r w:rsidRPr="00BF77C6">
        <w:rPr>
          <w:rFonts w:eastAsia="Times New Roman"/>
          <w:b w:val="0"/>
          <w:sz w:val="16"/>
          <w:szCs w:val="16"/>
        </w:rPr>
        <w:t>16 TAC § 25.181(</w:t>
      </w:r>
      <w:r w:rsidR="00A73D92" w:rsidRPr="00BF77C6">
        <w:rPr>
          <w:rFonts w:eastAsia="Times New Roman"/>
          <w:b w:val="0"/>
          <w:sz w:val="16"/>
          <w:szCs w:val="16"/>
        </w:rPr>
        <w:t>u</w:t>
      </w:r>
      <w:r w:rsidRPr="00BF77C6">
        <w:rPr>
          <w:rFonts w:eastAsia="Times New Roman"/>
          <w:b w:val="0"/>
          <w:sz w:val="16"/>
          <w:szCs w:val="16"/>
        </w:rPr>
        <w:t>)</w:t>
      </w:r>
    </w:p>
    <w:p w14:paraId="1907A351" w14:textId="74D59288" w:rsidR="002B5234" w:rsidRPr="00520FDA" w:rsidRDefault="002B5234" w:rsidP="00517339">
      <w:pPr>
        <w:pStyle w:val="FOFNumbered"/>
      </w:pPr>
      <w:r w:rsidRPr="00520FDA">
        <w:rPr>
          <w:rFonts w:eastAsia="Arial"/>
        </w:rPr>
        <w:t xml:space="preserve">CenterPoint Houston received qualifying identification notices from 83 industrial customers to exclude a total of </w:t>
      </w:r>
      <w:r w:rsidR="00B023FD" w:rsidRPr="00520FDA">
        <w:rPr>
          <w:rFonts w:eastAsia="Arial"/>
        </w:rPr>
        <w:t>1</w:t>
      </w:r>
      <w:r w:rsidR="00C812C3" w:rsidRPr="00520FDA">
        <w:rPr>
          <w:rFonts w:eastAsia="Arial"/>
        </w:rPr>
        <w:t>29.8</w:t>
      </w:r>
      <w:r w:rsidRPr="00520FDA">
        <w:rPr>
          <w:rFonts w:eastAsia="Arial"/>
        </w:rPr>
        <w:t xml:space="preserve"> MW of </w:t>
      </w:r>
      <w:r w:rsidR="00C812C3" w:rsidRPr="00520FDA">
        <w:rPr>
          <w:rFonts w:eastAsia="Arial"/>
        </w:rPr>
        <w:t>lost load</w:t>
      </w:r>
      <w:r w:rsidRPr="00520FDA">
        <w:rPr>
          <w:rFonts w:eastAsia="Arial"/>
        </w:rPr>
        <w:t xml:space="preserve"> from EPE’s energy-efficiency programs for program year 2020.  Those excluded customers have been reflected in the EECRF calculations.</w:t>
      </w:r>
    </w:p>
    <w:p w14:paraId="638F44EA" w14:textId="4C3145C3" w:rsidR="00AC7A54" w:rsidRPr="00BF77C6" w:rsidRDefault="00AC7A54" w:rsidP="00517339">
      <w:pPr>
        <w:pStyle w:val="FOFNumbered"/>
      </w:pPr>
      <w:r w:rsidRPr="00BF77C6">
        <w:t>The lost load that was associated with CenterPoint Houston</w:t>
      </w:r>
      <w:r w:rsidR="005B1E54" w:rsidRPr="00BF77C6">
        <w:t>’s</w:t>
      </w:r>
      <w:r w:rsidRPr="00BF77C6">
        <w:t xml:space="preserve"> excluded customers was </w:t>
      </w:r>
      <w:r w:rsidR="00374756" w:rsidRPr="00BF77C6">
        <w:t>removed from the</w:t>
      </w:r>
      <w:r w:rsidRPr="00BF77C6">
        <w:t xml:space="preserve"> calculation</w:t>
      </w:r>
      <w:r w:rsidR="00374756" w:rsidRPr="00BF77C6">
        <w:t xml:space="preserve"> of the energy-efficiency demand-reduction goals</w:t>
      </w:r>
      <w:r w:rsidR="00954189" w:rsidRPr="00BF77C6">
        <w:t>,</w:t>
      </w:r>
      <w:r w:rsidR="00374756" w:rsidRPr="00BF77C6">
        <w:t xml:space="preserve"> and the kWh associated with the excluded customers was removed from the billing determinant forecasts used to establish the EECRF rates.</w:t>
      </w:r>
    </w:p>
    <w:p w14:paraId="0A53ACAD" w14:textId="66E37461" w:rsidR="00F97F91" w:rsidRPr="00BF77C6" w:rsidRDefault="00F97F91" w:rsidP="00F97F91">
      <w:pPr>
        <w:pStyle w:val="Heading7"/>
        <w:rPr>
          <w:rFonts w:eastAsia="Times New Roman"/>
          <w:b w:val="0"/>
          <w:snapToGrid w:val="0"/>
        </w:rPr>
      </w:pPr>
      <w:r w:rsidRPr="00BF77C6">
        <w:rPr>
          <w:rFonts w:eastAsia="Times New Roman"/>
          <w:snapToGrid w:val="0"/>
        </w:rPr>
        <w:t xml:space="preserve">Line Losses </w:t>
      </w:r>
      <w:r w:rsidRPr="00BF77C6">
        <w:rPr>
          <w:rFonts w:eastAsia="Times New Roman"/>
          <w:b w:val="0"/>
          <w:snapToGrid w:val="0"/>
          <w:sz w:val="16"/>
          <w:szCs w:val="16"/>
        </w:rPr>
        <w:t>16 TAC § 25.18</w:t>
      </w:r>
      <w:r w:rsidR="00AB3E93" w:rsidRPr="00BF77C6">
        <w:rPr>
          <w:rFonts w:eastAsia="Times New Roman"/>
          <w:b w:val="0"/>
          <w:snapToGrid w:val="0"/>
          <w:sz w:val="16"/>
          <w:szCs w:val="16"/>
        </w:rPr>
        <w:t>2</w:t>
      </w:r>
      <w:r w:rsidRPr="00BF77C6">
        <w:rPr>
          <w:rFonts w:eastAsia="Times New Roman"/>
          <w:b w:val="0"/>
          <w:snapToGrid w:val="0"/>
          <w:sz w:val="16"/>
          <w:szCs w:val="16"/>
        </w:rPr>
        <w:t>(</w:t>
      </w:r>
      <w:r w:rsidR="00AB3E93" w:rsidRPr="00BF77C6">
        <w:rPr>
          <w:rFonts w:eastAsia="Times New Roman"/>
          <w:b w:val="0"/>
          <w:snapToGrid w:val="0"/>
          <w:sz w:val="16"/>
          <w:szCs w:val="16"/>
        </w:rPr>
        <w:t>d</w:t>
      </w:r>
      <w:r w:rsidRPr="00BF77C6">
        <w:rPr>
          <w:rFonts w:eastAsia="Times New Roman"/>
          <w:b w:val="0"/>
          <w:snapToGrid w:val="0"/>
          <w:sz w:val="16"/>
          <w:szCs w:val="16"/>
        </w:rPr>
        <w:t>)(10)(M)</w:t>
      </w:r>
    </w:p>
    <w:p w14:paraId="4714149B" w14:textId="26872A3D" w:rsidR="00F97F91" w:rsidRPr="00BF77C6" w:rsidRDefault="00F97F91" w:rsidP="00F97F91">
      <w:pPr>
        <w:pStyle w:val="FOFNumbered"/>
      </w:pPr>
      <w:r w:rsidRPr="00BF77C6">
        <w:t>CenterPoint Houston</w:t>
      </w:r>
      <w:r w:rsidR="00AB3E93" w:rsidRPr="00BF77C6">
        <w:t>’s proposed EECRF rates are based solely on energy usage at the meter and require no adjustment for system losses or line losses</w:t>
      </w:r>
      <w:r w:rsidRPr="00BF77C6">
        <w:t>.</w:t>
      </w:r>
    </w:p>
    <w:p w14:paraId="6020764D" w14:textId="7C72BF74" w:rsidR="00F97F91" w:rsidRPr="00BF77C6" w:rsidRDefault="00F97F91" w:rsidP="00F97F91">
      <w:pPr>
        <w:pStyle w:val="Heading7"/>
        <w:rPr>
          <w:rFonts w:eastAsia="Times New Roman"/>
          <w:snapToGrid w:val="0"/>
        </w:rPr>
      </w:pPr>
      <w:r w:rsidRPr="00BF77C6">
        <w:rPr>
          <w:rFonts w:eastAsia="Times New Roman"/>
          <w:snapToGrid w:val="0"/>
        </w:rPr>
        <w:t xml:space="preserve">Billing Determinants </w:t>
      </w:r>
      <w:r w:rsidRPr="00BF77C6">
        <w:rPr>
          <w:rFonts w:eastAsia="Times New Roman"/>
          <w:b w:val="0"/>
          <w:snapToGrid w:val="0"/>
          <w:sz w:val="16"/>
          <w:szCs w:val="16"/>
        </w:rPr>
        <w:t>16 TAC § 25.18</w:t>
      </w:r>
      <w:r w:rsidR="00AB3E93" w:rsidRPr="00BF77C6">
        <w:rPr>
          <w:rFonts w:eastAsia="Times New Roman"/>
          <w:b w:val="0"/>
          <w:snapToGrid w:val="0"/>
          <w:sz w:val="16"/>
          <w:szCs w:val="16"/>
        </w:rPr>
        <w:t>2</w:t>
      </w:r>
      <w:r w:rsidRPr="00BF77C6">
        <w:rPr>
          <w:rFonts w:eastAsia="Times New Roman"/>
          <w:b w:val="0"/>
          <w:snapToGrid w:val="0"/>
          <w:sz w:val="16"/>
          <w:szCs w:val="16"/>
        </w:rPr>
        <w:t>(</w:t>
      </w:r>
      <w:r w:rsidR="00AB3E93" w:rsidRPr="00BF77C6">
        <w:rPr>
          <w:rFonts w:eastAsia="Times New Roman"/>
          <w:b w:val="0"/>
          <w:snapToGrid w:val="0"/>
          <w:sz w:val="16"/>
          <w:szCs w:val="16"/>
        </w:rPr>
        <w:t>d</w:t>
      </w:r>
      <w:r w:rsidRPr="00BF77C6">
        <w:rPr>
          <w:rFonts w:eastAsia="Times New Roman"/>
          <w:b w:val="0"/>
          <w:snapToGrid w:val="0"/>
          <w:sz w:val="16"/>
          <w:szCs w:val="16"/>
        </w:rPr>
        <w:t>)(10)(E)</w:t>
      </w:r>
    </w:p>
    <w:p w14:paraId="58675C56" w14:textId="238D1793" w:rsidR="00845E00" w:rsidRPr="00BF77C6" w:rsidRDefault="00F97F91" w:rsidP="00845E00">
      <w:pPr>
        <w:pStyle w:val="FOFNumbered"/>
      </w:pPr>
      <w:r w:rsidRPr="00BF77C6">
        <w:t>The estimate of billing determinants in calculating CenterPoint Houston’s 20</w:t>
      </w:r>
      <w:r w:rsidR="00AB3E93" w:rsidRPr="00BF77C6">
        <w:t>20</w:t>
      </w:r>
      <w:r w:rsidRPr="00BF77C6">
        <w:t xml:space="preserve"> EECRF and the calculation of the 20</w:t>
      </w:r>
      <w:r w:rsidR="00AB3E93" w:rsidRPr="00BF77C6">
        <w:t>20</w:t>
      </w:r>
      <w:r w:rsidRPr="00BF77C6">
        <w:t xml:space="preserve"> </w:t>
      </w:r>
      <w:r w:rsidR="001D5F47" w:rsidRPr="00BF77C6">
        <w:t>EECRF</w:t>
      </w:r>
      <w:r w:rsidRPr="00BF77C6">
        <w:t xml:space="preserve"> rates are reasonab</w:t>
      </w:r>
      <w:r w:rsidR="00845E00" w:rsidRPr="00BF77C6">
        <w:t>le.</w:t>
      </w:r>
    </w:p>
    <w:p w14:paraId="104E2C75" w14:textId="6DC5DF23" w:rsidR="00AC7A54" w:rsidRPr="00BF77C6" w:rsidRDefault="00AC7A54" w:rsidP="00B659FE">
      <w:pPr>
        <w:pStyle w:val="Heading7"/>
        <w:rPr>
          <w:rFonts w:eastAsia="Times New Roman"/>
          <w:snapToGrid w:val="0"/>
          <w:sz w:val="16"/>
          <w:szCs w:val="16"/>
        </w:rPr>
      </w:pPr>
      <w:r w:rsidRPr="00BF77C6">
        <w:rPr>
          <w:rFonts w:eastAsia="Times New Roman"/>
          <w:snapToGrid w:val="0"/>
        </w:rPr>
        <w:t xml:space="preserve">Good Cause Exceptions </w:t>
      </w:r>
      <w:r w:rsidRPr="00BF77C6">
        <w:rPr>
          <w:rFonts w:eastAsia="Times New Roman"/>
          <w:b w:val="0"/>
          <w:snapToGrid w:val="0"/>
          <w:sz w:val="16"/>
          <w:szCs w:val="16"/>
        </w:rPr>
        <w:t>16 TAC §§ 22.5(b), 22.35(b)(2), and 25.181(e)(2)</w:t>
      </w:r>
      <w:r w:rsidR="00AB3E93" w:rsidRPr="00BF77C6">
        <w:rPr>
          <w:rFonts w:eastAsia="Times New Roman"/>
          <w:b w:val="0"/>
          <w:snapToGrid w:val="0"/>
          <w:sz w:val="16"/>
          <w:szCs w:val="16"/>
        </w:rPr>
        <w:t xml:space="preserve"> and (d)(2)</w:t>
      </w:r>
    </w:p>
    <w:p w14:paraId="220C367C" w14:textId="51F45266" w:rsidR="00AC7A54" w:rsidRPr="00BF77C6" w:rsidRDefault="00AC7A54" w:rsidP="007A47E7">
      <w:pPr>
        <w:pStyle w:val="FOFNumbered"/>
      </w:pPr>
      <w:r w:rsidRPr="00BF77C6">
        <w:t>CenterPoint Houston did not seek a good cause exception to be eligible for a lower demand</w:t>
      </w:r>
      <w:r w:rsidR="00623264" w:rsidRPr="00BF77C6">
        <w:noBreakHyphen/>
      </w:r>
      <w:r w:rsidRPr="00BF77C6">
        <w:t>reduction goal, a higher administrative spending cap, or a higher EECRF cost cap under 16 TAC § 25.181(e)(2)</w:t>
      </w:r>
      <w:r w:rsidR="00DB45E1" w:rsidRPr="00BF77C6">
        <w:t>.</w:t>
      </w:r>
      <w:r w:rsidRPr="00BF77C6">
        <w:t xml:space="preserve"> </w:t>
      </w:r>
      <w:r w:rsidR="00DB45E1" w:rsidRPr="00BF77C6">
        <w:t xml:space="preserve"> CenterPoint Houston also did not seek a good cause exception</w:t>
      </w:r>
      <w:r w:rsidRPr="00BF77C6">
        <w:t xml:space="preserve"> to combine rate classes under 16 TAC § 25.18</w:t>
      </w:r>
      <w:r w:rsidR="00AB3E93" w:rsidRPr="00BF77C6">
        <w:t>2</w:t>
      </w:r>
      <w:r w:rsidRPr="00BF77C6">
        <w:t>(</w:t>
      </w:r>
      <w:r w:rsidR="00AB3E93" w:rsidRPr="00BF77C6">
        <w:t>d</w:t>
      </w:r>
      <w:r w:rsidRPr="00BF77C6">
        <w:t>)(2).</w:t>
      </w:r>
    </w:p>
    <w:p w14:paraId="4992EC71" w14:textId="77777777" w:rsidR="00AC7A54" w:rsidRPr="00BF77C6" w:rsidRDefault="00AC7A54" w:rsidP="00B659FE">
      <w:pPr>
        <w:pStyle w:val="Heading7"/>
        <w:rPr>
          <w:rFonts w:eastAsia="Times New Roman"/>
          <w:b w:val="0"/>
          <w:snapToGrid w:val="0"/>
          <w:sz w:val="16"/>
          <w:szCs w:val="16"/>
        </w:rPr>
      </w:pPr>
      <w:r w:rsidRPr="00BF77C6">
        <w:rPr>
          <w:rFonts w:eastAsia="Times New Roman"/>
          <w:snapToGrid w:val="0"/>
        </w:rPr>
        <w:t xml:space="preserve">Informal Disposition </w:t>
      </w:r>
      <w:r w:rsidRPr="00BF77C6">
        <w:rPr>
          <w:rFonts w:eastAsia="Times New Roman"/>
          <w:b w:val="0"/>
          <w:snapToGrid w:val="0"/>
          <w:sz w:val="16"/>
          <w:szCs w:val="16"/>
        </w:rPr>
        <w:t>16 TAC § 22.35(a)</w:t>
      </w:r>
    </w:p>
    <w:p w14:paraId="24858A23" w14:textId="43A827F6" w:rsidR="00AC7A54" w:rsidRPr="00BF77C6" w:rsidRDefault="00AC7A54" w:rsidP="00517339">
      <w:pPr>
        <w:pStyle w:val="FOFNumbered"/>
      </w:pPr>
      <w:r w:rsidRPr="00BF77C6">
        <w:t>More than 15 days have passed since the completion of notice provided in this docket.</w:t>
      </w:r>
    </w:p>
    <w:p w14:paraId="2511EAD3" w14:textId="2A9BF222" w:rsidR="00055207" w:rsidRPr="00BF77C6" w:rsidRDefault="002A46C7" w:rsidP="00517339">
      <w:pPr>
        <w:pStyle w:val="FOFNumbered"/>
      </w:pPr>
      <w:r w:rsidRPr="00BF77C6">
        <w:t xml:space="preserve">Commission Staff requested a hearing but effectively withdrew that request by </w:t>
      </w:r>
      <w:r w:rsidR="005926A9" w:rsidRPr="00BF77C6">
        <w:t>executing</w:t>
      </w:r>
      <w:r w:rsidRPr="00BF77C6">
        <w:t xml:space="preserve"> the agreement.  No hearing is necessary.</w:t>
      </w:r>
    </w:p>
    <w:p w14:paraId="57232C3C" w14:textId="0653A99F" w:rsidR="00AC7A54" w:rsidRPr="00BF77C6" w:rsidRDefault="00AC7A54" w:rsidP="00055207">
      <w:pPr>
        <w:pStyle w:val="FOFNumbered"/>
      </w:pPr>
      <w:r w:rsidRPr="00BF77C6">
        <w:t xml:space="preserve">The </w:t>
      </w:r>
      <w:r w:rsidR="00055207" w:rsidRPr="00BF77C6">
        <w:t>decision</w:t>
      </w:r>
      <w:r w:rsidRPr="00BF77C6">
        <w:t xml:space="preserve"> is not </w:t>
      </w:r>
      <w:proofErr w:type="gramStart"/>
      <w:r w:rsidRPr="00BF77C6">
        <w:t>adverse</w:t>
      </w:r>
      <w:proofErr w:type="gramEnd"/>
      <w:r w:rsidRPr="00BF77C6">
        <w:t xml:space="preserve"> to any party.</w:t>
      </w:r>
    </w:p>
    <w:p w14:paraId="7B64E23E" w14:textId="3927AE9E" w:rsidR="00EE5DDA" w:rsidRDefault="00EE5DDA" w:rsidP="007560BC">
      <w:pPr>
        <w:pStyle w:val="Heading1"/>
      </w:pPr>
      <w:r w:rsidRPr="00BF77C6">
        <w:lastRenderedPageBreak/>
        <w:t>Conclusions of Law</w:t>
      </w:r>
    </w:p>
    <w:p w14:paraId="4262C135" w14:textId="56AADFAD" w:rsidR="009441CE" w:rsidRPr="009441CE" w:rsidRDefault="009441CE" w:rsidP="007560BC">
      <w:pPr>
        <w:pStyle w:val="BodyText"/>
        <w:keepNext/>
      </w:pPr>
      <w:r>
        <w:t>The Commission makes the following conclusions of law.</w:t>
      </w:r>
    </w:p>
    <w:p w14:paraId="68486CAA" w14:textId="12D4EEF9" w:rsidR="00AC7A54" w:rsidRPr="00BF77C6" w:rsidRDefault="00AC7A54" w:rsidP="00517339">
      <w:pPr>
        <w:pStyle w:val="COLNumbered"/>
      </w:pPr>
      <w:r w:rsidRPr="00BF77C6">
        <w:t xml:space="preserve">CenterPoint Houston is a public utility as </w:t>
      </w:r>
      <w:r w:rsidR="00995CF8">
        <w:t xml:space="preserve">that term is </w:t>
      </w:r>
      <w:r w:rsidRPr="00BF77C6">
        <w:t xml:space="preserve">defined </w:t>
      </w:r>
      <w:r w:rsidR="00F42823" w:rsidRPr="00BF77C6">
        <w:t>in</w:t>
      </w:r>
      <w:r w:rsidRPr="00BF77C6">
        <w:t xml:space="preserve"> PURA § 11.004(1) and an electric utility as </w:t>
      </w:r>
      <w:r w:rsidR="008B7D12">
        <w:t xml:space="preserve">that term is </w:t>
      </w:r>
      <w:r w:rsidRPr="00BF77C6">
        <w:t xml:space="preserve">defined </w:t>
      </w:r>
      <w:r w:rsidR="00F42823" w:rsidRPr="00BF77C6">
        <w:t>in</w:t>
      </w:r>
      <w:r w:rsidRPr="00BF77C6">
        <w:t xml:space="preserve"> PURA § 31.002(6).</w:t>
      </w:r>
    </w:p>
    <w:p w14:paraId="3D7DB79C" w14:textId="3CF3D428" w:rsidR="00AC7A54" w:rsidRPr="00BF77C6" w:rsidRDefault="00AC7A54" w:rsidP="00517339">
      <w:pPr>
        <w:pStyle w:val="COLNumbered"/>
      </w:pPr>
      <w:r w:rsidRPr="00BF77C6">
        <w:t xml:space="preserve">The Commission has jurisdiction over this matter </w:t>
      </w:r>
      <w:r w:rsidR="001F05B7" w:rsidRPr="00BF77C6">
        <w:t>under</w:t>
      </w:r>
      <w:r w:rsidRPr="00BF77C6">
        <w:t xml:space="preserve"> PURA §§ 14.001, </w:t>
      </w:r>
      <w:r w:rsidR="007F0932" w:rsidRPr="00BF77C6">
        <w:t xml:space="preserve">32.001, 36.001, </w:t>
      </w:r>
      <w:r w:rsidRPr="00BF77C6">
        <w:t>36.204, and 39.905.</w:t>
      </w:r>
    </w:p>
    <w:p w14:paraId="1AF9AD32" w14:textId="5A4884D0" w:rsidR="00AC7A54" w:rsidRPr="00BF77C6" w:rsidRDefault="00AC7A54" w:rsidP="00517339">
      <w:pPr>
        <w:pStyle w:val="COLNumbered"/>
      </w:pPr>
      <w:r w:rsidRPr="00BF77C6">
        <w:t>Under PURA § 39.905 and 16 TAC § 25.18</w:t>
      </w:r>
      <w:r w:rsidR="00AB3E93" w:rsidRPr="00BF77C6">
        <w:t>2</w:t>
      </w:r>
      <w:r w:rsidRPr="00BF77C6">
        <w:t>(</w:t>
      </w:r>
      <w:r w:rsidR="00AB3E93" w:rsidRPr="00BF77C6">
        <w:t>d</w:t>
      </w:r>
      <w:r w:rsidRPr="00BF77C6">
        <w:t>)(8), an electric utility must file for an EECRF.</w:t>
      </w:r>
    </w:p>
    <w:p w14:paraId="7776229D" w14:textId="37C2497A" w:rsidR="00AC7A54" w:rsidRPr="00BF77C6" w:rsidRDefault="00AC7A54" w:rsidP="00517339">
      <w:pPr>
        <w:pStyle w:val="COLNumbered"/>
      </w:pPr>
      <w:r w:rsidRPr="00BF77C6">
        <w:t>CenterPoint Houston complied with the requirement under 16 TAC § 25.18</w:t>
      </w:r>
      <w:r w:rsidR="00AB3E93" w:rsidRPr="00BF77C6">
        <w:t>2</w:t>
      </w:r>
      <w:r w:rsidRPr="00BF77C6">
        <w:t>(</w:t>
      </w:r>
      <w:r w:rsidR="00AB3E93" w:rsidRPr="00BF77C6">
        <w:t>d</w:t>
      </w:r>
      <w:r w:rsidRPr="00BF77C6">
        <w:t>)(8) to apply by June 1 to adjust its EECRF</w:t>
      </w:r>
      <w:r w:rsidR="00D3180E" w:rsidRPr="00BF77C6">
        <w:t>,</w:t>
      </w:r>
      <w:r w:rsidRPr="00BF77C6">
        <w:t xml:space="preserve"> effective March 1</w:t>
      </w:r>
      <w:r w:rsidR="00613C94">
        <w:t xml:space="preserve"> of the following year</w:t>
      </w:r>
      <w:r w:rsidRPr="00BF77C6">
        <w:t>.</w:t>
      </w:r>
    </w:p>
    <w:p w14:paraId="0A1ADDDF" w14:textId="77777777" w:rsidR="00AC7A54" w:rsidRPr="00BF77C6" w:rsidRDefault="00AC7A54" w:rsidP="00517339">
      <w:pPr>
        <w:pStyle w:val="COLNumbered"/>
      </w:pPr>
      <w:r w:rsidRPr="00BF77C6">
        <w:t>The Commission processed the application in accordance with the requirements of PURA, the Administrative Procedure Act,</w:t>
      </w:r>
      <w:r w:rsidRPr="00BF77C6">
        <w:rPr>
          <w:rStyle w:val="FootnoteReference"/>
        </w:rPr>
        <w:footnoteReference w:id="4"/>
      </w:r>
      <w:r w:rsidRPr="00BF77C6">
        <w:rPr>
          <w:vertAlign w:val="superscript"/>
        </w:rPr>
        <w:t xml:space="preserve"> </w:t>
      </w:r>
      <w:r w:rsidRPr="00BF77C6">
        <w:t>and Commission rules.</w:t>
      </w:r>
    </w:p>
    <w:p w14:paraId="43BE58CD" w14:textId="77777777" w:rsidR="00AC7A54" w:rsidRPr="00BF77C6" w:rsidRDefault="00AC7A54" w:rsidP="00517339">
      <w:pPr>
        <w:pStyle w:val="COLNumbered"/>
      </w:pPr>
      <w:r w:rsidRPr="00BF77C6">
        <w:t>SOAH exercised jurisdiction over this proceeding in accordance with PURA § 14.053 and Texas Government Code § 2003.049.</w:t>
      </w:r>
    </w:p>
    <w:p w14:paraId="7861916D" w14:textId="736FB750" w:rsidR="00AC7A54" w:rsidRPr="00BF77C6" w:rsidRDefault="00AC7A54" w:rsidP="00517339">
      <w:pPr>
        <w:pStyle w:val="COLNumbered"/>
      </w:pPr>
      <w:r w:rsidRPr="00BF77C6">
        <w:t xml:space="preserve">CenterPoint </w:t>
      </w:r>
      <w:r w:rsidR="007F0932" w:rsidRPr="00BF77C6">
        <w:t>Housto</w:t>
      </w:r>
      <w:r w:rsidR="005B56E4" w:rsidRPr="00BF77C6">
        <w:t>n</w:t>
      </w:r>
      <w:r w:rsidR="001A27C9">
        <w:t xml:space="preserve"> provided</w:t>
      </w:r>
      <w:r w:rsidR="005B56E4" w:rsidRPr="00BF77C6">
        <w:t xml:space="preserve"> </w:t>
      </w:r>
      <w:r w:rsidRPr="00BF77C6">
        <w:t>notice of the application</w:t>
      </w:r>
      <w:r w:rsidR="001F05B7" w:rsidRPr="00BF77C6">
        <w:t xml:space="preserve"> </w:t>
      </w:r>
      <w:r w:rsidR="001A27C9">
        <w:t>in accordance with</w:t>
      </w:r>
      <w:r w:rsidRPr="00BF77C6">
        <w:t xml:space="preserve"> 16 TAC § 25.18</w:t>
      </w:r>
      <w:r w:rsidR="00AB3E93" w:rsidRPr="00BF77C6">
        <w:t>2</w:t>
      </w:r>
      <w:r w:rsidRPr="00BF77C6">
        <w:t>(</w:t>
      </w:r>
      <w:r w:rsidR="00AB3E93" w:rsidRPr="00BF77C6">
        <w:t>d</w:t>
      </w:r>
      <w:r w:rsidRPr="00BF77C6">
        <w:t>)(13) and 16 TAC § 22.55</w:t>
      </w:r>
      <w:r w:rsidR="00954189" w:rsidRPr="00BF77C6">
        <w:t>,</w:t>
      </w:r>
      <w:r w:rsidRPr="00BF77C6">
        <w:t xml:space="preserve"> and </w:t>
      </w:r>
      <w:r w:rsidR="005B56E4" w:rsidRPr="00BF77C6">
        <w:t xml:space="preserve">CenterPoint Houston’s </w:t>
      </w:r>
      <w:r w:rsidRPr="00BF77C6">
        <w:t xml:space="preserve">affidavit </w:t>
      </w:r>
      <w:r w:rsidR="00181AD3">
        <w:t>regarding</w:t>
      </w:r>
      <w:r w:rsidRPr="00BF77C6">
        <w:t xml:space="preserve"> the completion of notice </w:t>
      </w:r>
      <w:r w:rsidR="005B56E4" w:rsidRPr="00BF77C6">
        <w:t xml:space="preserve">complied </w:t>
      </w:r>
      <w:r w:rsidR="00FC6704" w:rsidRPr="00BF77C6">
        <w:t>with 16</w:t>
      </w:r>
      <w:r w:rsidRPr="00BF77C6">
        <w:t xml:space="preserve"> TAC § 25.18</w:t>
      </w:r>
      <w:r w:rsidR="00AB3E93" w:rsidRPr="00BF77C6">
        <w:t>2</w:t>
      </w:r>
      <w:r w:rsidRPr="00BF77C6">
        <w:t>(</w:t>
      </w:r>
      <w:r w:rsidR="00AB3E93" w:rsidRPr="00BF77C6">
        <w:t>d</w:t>
      </w:r>
      <w:r w:rsidRPr="00BF77C6">
        <w:t>)(14).</w:t>
      </w:r>
    </w:p>
    <w:p w14:paraId="52150473" w14:textId="5DB586ED" w:rsidR="007F0932" w:rsidRPr="00BF77C6" w:rsidRDefault="007F0932" w:rsidP="00517339">
      <w:pPr>
        <w:pStyle w:val="COLNumbered"/>
      </w:pPr>
      <w:r w:rsidRPr="00BF77C6">
        <w:t xml:space="preserve">CenterPoint Houston’s application is </w:t>
      </w:r>
      <w:proofErr w:type="gramStart"/>
      <w:r w:rsidRPr="00BF77C6">
        <w:t>sufficient</w:t>
      </w:r>
      <w:proofErr w:type="gramEnd"/>
      <w:r w:rsidRPr="00BF77C6">
        <w:t xml:space="preserve"> under 16 TAC § 25.18</w:t>
      </w:r>
      <w:r w:rsidR="00AB3E93" w:rsidRPr="00BF77C6">
        <w:t>2</w:t>
      </w:r>
      <w:r w:rsidRPr="00BF77C6">
        <w:t>(</w:t>
      </w:r>
      <w:r w:rsidR="00AB3E93" w:rsidRPr="00BF77C6">
        <w:t>d</w:t>
      </w:r>
      <w:r w:rsidRPr="00BF77C6">
        <w:t xml:space="preserve">)(10) and </w:t>
      </w:r>
      <w:r w:rsidR="00954189" w:rsidRPr="00BF77C6">
        <w:t>(d)</w:t>
      </w:r>
      <w:r w:rsidRPr="00BF77C6">
        <w:t>(11).</w:t>
      </w:r>
    </w:p>
    <w:p w14:paraId="0B588161" w14:textId="5CFB15F0" w:rsidR="00AC7A54" w:rsidRPr="00BF77C6" w:rsidRDefault="00AC7A54" w:rsidP="00517339">
      <w:pPr>
        <w:pStyle w:val="COLNumbered"/>
      </w:pPr>
      <w:r w:rsidRPr="00BF77C6">
        <w:t>The hearing on the merits was set</w:t>
      </w:r>
      <w:r w:rsidR="00826BF9" w:rsidRPr="00BF77C6">
        <w:t>,</w:t>
      </w:r>
      <w:r w:rsidRPr="00BF77C6">
        <w:t xml:space="preserve"> and notice of the hearing was given</w:t>
      </w:r>
      <w:r w:rsidR="008E0D94" w:rsidRPr="00BF77C6">
        <w:t>,</w:t>
      </w:r>
      <w:r w:rsidRPr="00BF77C6">
        <w:t xml:space="preserve"> in compliance with Texas Government Code §§ 2001.051 and 2001.052.</w:t>
      </w:r>
    </w:p>
    <w:p w14:paraId="5D68124B" w14:textId="77777777" w:rsidR="00AC7A54" w:rsidRPr="00BF77C6" w:rsidRDefault="00AC7A54" w:rsidP="00517339">
      <w:pPr>
        <w:pStyle w:val="COLNumbered"/>
      </w:pPr>
      <w:r w:rsidRPr="00BF77C6">
        <w:t>CenterPoint Houston calculated its weather-adjusted average annual growth in demand in compliance with 16 TAC § 25.181(e)(3).</w:t>
      </w:r>
    </w:p>
    <w:p w14:paraId="7C92BFF4" w14:textId="6A9CDB75" w:rsidR="00AC7A54" w:rsidRDefault="00AC7A54" w:rsidP="00517339">
      <w:pPr>
        <w:pStyle w:val="COLNumbered"/>
      </w:pPr>
      <w:r w:rsidRPr="00BF77C6">
        <w:t>CenterPoint Houston has acquired a</w:t>
      </w:r>
      <w:r w:rsidR="009B0C73" w:rsidRPr="00BF77C6">
        <w:t xml:space="preserve"> reduction of</w:t>
      </w:r>
      <w:r w:rsidRPr="00BF77C6">
        <w:t xml:space="preserve"> four-tenths of 1% of its summer weather</w:t>
      </w:r>
      <w:r w:rsidR="00623264" w:rsidRPr="00BF77C6">
        <w:noBreakHyphen/>
      </w:r>
      <w:r w:rsidRPr="00BF77C6">
        <w:t>adjusted peak demand of residential and commercial customers in compliance with 16 TAC § 25.181(e)(1)(</w:t>
      </w:r>
      <w:r w:rsidR="001D4BC6" w:rsidRPr="00BF77C6">
        <w:t>B</w:t>
      </w:r>
      <w:r w:rsidRPr="00BF77C6">
        <w:t>)</w:t>
      </w:r>
      <w:r w:rsidR="00E60161" w:rsidRPr="00BF77C6">
        <w:t xml:space="preserve"> and</w:t>
      </w:r>
      <w:r w:rsidRPr="00BF77C6">
        <w:t xml:space="preserve"> </w:t>
      </w:r>
      <w:r w:rsidR="001D4BC6" w:rsidRPr="00BF77C6">
        <w:t>(e)(1)</w:t>
      </w:r>
      <w:r w:rsidRPr="00BF77C6">
        <w:t>(</w:t>
      </w:r>
      <w:r w:rsidR="001D4BC6" w:rsidRPr="00BF77C6">
        <w:t>C</w:t>
      </w:r>
      <w:r w:rsidRPr="00BF77C6">
        <w:t>) and (e)(3)(B).</w:t>
      </w:r>
    </w:p>
    <w:p w14:paraId="1E9C1277" w14:textId="5AFD7DD9" w:rsidR="00694B59" w:rsidRPr="00BF77C6" w:rsidRDefault="00694B59" w:rsidP="00694B59">
      <w:pPr>
        <w:pStyle w:val="COLNumbered"/>
      </w:pPr>
      <w:r w:rsidRPr="00BF77C6">
        <w:lastRenderedPageBreak/>
        <w:t>CenterPoint Houston’s portfolio of energy-efficiency programs achieves more than 5% of its savings through programs for hard-to-reach customers as required by 16 TAC § 25.181(e)(3)(F).</w:t>
      </w:r>
    </w:p>
    <w:p w14:paraId="24DAE562" w14:textId="0FDD896D" w:rsidR="00AC7A54" w:rsidRPr="00BF77C6" w:rsidRDefault="00AC7A54" w:rsidP="00517339">
      <w:pPr>
        <w:pStyle w:val="COLNumbered"/>
      </w:pPr>
      <w:r w:rsidRPr="00BF77C6">
        <w:t xml:space="preserve">CenterPoint Houston’s </w:t>
      </w:r>
      <w:r w:rsidR="00646390">
        <w:t xml:space="preserve">minimum </w:t>
      </w:r>
      <w:r w:rsidRPr="00BF77C6">
        <w:t>energy-savings goal was calculated in compliance with 16 TAC § 25.181(e)(4).</w:t>
      </w:r>
    </w:p>
    <w:p w14:paraId="7C9EB03F" w14:textId="5D417301" w:rsidR="00AC7A54" w:rsidRPr="00BF77C6" w:rsidRDefault="00AC7A54" w:rsidP="00517339">
      <w:pPr>
        <w:pStyle w:val="COLNumbered"/>
      </w:pPr>
      <w:r w:rsidRPr="00BF77C6">
        <w:t xml:space="preserve">CenterPoint Houston’s portfolio of energy-efficiency programs effectively and efficiently achieves the goals set out in </w:t>
      </w:r>
      <w:r w:rsidR="004A4EEF" w:rsidRPr="00BF77C6">
        <w:t xml:space="preserve">PURA § 39.905(a) and </w:t>
      </w:r>
      <w:r w:rsidRPr="00BF77C6">
        <w:t>16 TAC § 25.181</w:t>
      </w:r>
      <w:r w:rsidR="004113EF" w:rsidRPr="00BF77C6">
        <w:t xml:space="preserve"> as required by 16</w:t>
      </w:r>
      <w:r w:rsidR="00B17BBE">
        <w:t> </w:t>
      </w:r>
      <w:r w:rsidR="004113EF" w:rsidRPr="00BF77C6">
        <w:t>TAC § 25.181(e)(5)</w:t>
      </w:r>
      <w:r w:rsidRPr="00BF77C6">
        <w:t>.</w:t>
      </w:r>
    </w:p>
    <w:p w14:paraId="7D8D4C0B" w14:textId="626A8AB1" w:rsidR="00AC7A54" w:rsidRPr="00BF77C6" w:rsidRDefault="00AC7A54" w:rsidP="00517339">
      <w:pPr>
        <w:pStyle w:val="COLNumbered"/>
      </w:pPr>
      <w:r w:rsidRPr="00BF77C6">
        <w:t>CenterPoint Houston’s proposed EECRF rates comply with the requirements for cost caps under 16 TAC § 25.18</w:t>
      </w:r>
      <w:r w:rsidR="00BE3FEF" w:rsidRPr="00BF77C6">
        <w:t>2</w:t>
      </w:r>
      <w:r w:rsidRPr="00BF77C6">
        <w:t>(</w:t>
      </w:r>
      <w:r w:rsidR="00BE3FEF" w:rsidRPr="00BF77C6">
        <w:t>d</w:t>
      </w:r>
      <w:r w:rsidRPr="00BF77C6">
        <w:t>)(7).</w:t>
      </w:r>
    </w:p>
    <w:p w14:paraId="30AB456C" w14:textId="6FCA7267" w:rsidR="00FD052A" w:rsidRPr="00BF77C6" w:rsidRDefault="00FD052A" w:rsidP="00517339">
      <w:pPr>
        <w:pStyle w:val="COLNumbered"/>
      </w:pPr>
      <w:r w:rsidRPr="00BF77C6">
        <w:t>CenterPoint Houston</w:t>
      </w:r>
      <w:r w:rsidR="00C42FD6" w:rsidRPr="00BF77C6">
        <w:t>’s</w:t>
      </w:r>
      <w:r w:rsidRPr="00BF77C6">
        <w:t xml:space="preserve"> refund </w:t>
      </w:r>
      <w:r w:rsidR="00C42FD6" w:rsidRPr="00BF77C6">
        <w:t>of $</w:t>
      </w:r>
      <w:r w:rsidR="00996A7C" w:rsidRPr="00BF77C6">
        <w:t>6,101,507</w:t>
      </w:r>
      <w:r w:rsidR="00BE3FEF" w:rsidRPr="00BF77C6">
        <w:t xml:space="preserve">, </w:t>
      </w:r>
      <w:r w:rsidR="00A9344F" w:rsidRPr="00BF77C6">
        <w:t>including</w:t>
      </w:r>
      <w:r w:rsidR="00BE3FEF" w:rsidRPr="00BF77C6">
        <w:t xml:space="preserve"> interest,</w:t>
      </w:r>
      <w:r w:rsidR="00C42FD6" w:rsidRPr="00BF77C6">
        <w:t xml:space="preserve"> </w:t>
      </w:r>
      <w:r w:rsidRPr="00BF77C6">
        <w:t>to customers through the 20</w:t>
      </w:r>
      <w:r w:rsidR="00BE3FEF" w:rsidRPr="00BF77C6">
        <w:t>20</w:t>
      </w:r>
      <w:r w:rsidRPr="00BF77C6">
        <w:t xml:space="preserve"> EECRF for the over-recovery of 201</w:t>
      </w:r>
      <w:r w:rsidR="00BE3FEF" w:rsidRPr="00BF77C6">
        <w:t>8</w:t>
      </w:r>
      <w:r w:rsidRPr="00BF77C6">
        <w:t xml:space="preserve"> energy</w:t>
      </w:r>
      <w:r w:rsidRPr="00BF77C6">
        <w:noBreakHyphen/>
        <w:t>efficiency program costs</w:t>
      </w:r>
      <w:r w:rsidR="00845E00" w:rsidRPr="00BF77C6">
        <w:t xml:space="preserve"> </w:t>
      </w:r>
      <w:r w:rsidR="00E766BF" w:rsidRPr="00BF77C6">
        <w:t>complies</w:t>
      </w:r>
      <w:r w:rsidR="00845E00" w:rsidRPr="00BF77C6">
        <w:t xml:space="preserve"> </w:t>
      </w:r>
      <w:r w:rsidR="001F05B7" w:rsidRPr="00BF77C6">
        <w:t>with PURA § </w:t>
      </w:r>
      <w:r w:rsidRPr="00BF77C6">
        <w:t>39.905(b-1) and 16 TAC §</w:t>
      </w:r>
      <w:r w:rsidR="00D01BB7" w:rsidRPr="00BF77C6">
        <w:t> </w:t>
      </w:r>
      <w:r w:rsidRPr="00BF77C6">
        <w:t>25.18</w:t>
      </w:r>
      <w:r w:rsidR="00BE3FEF" w:rsidRPr="00BF77C6">
        <w:t>2</w:t>
      </w:r>
      <w:r w:rsidRPr="00BF77C6">
        <w:t>(</w:t>
      </w:r>
      <w:r w:rsidR="00BE3FEF" w:rsidRPr="00BF77C6">
        <w:t>d</w:t>
      </w:r>
      <w:r w:rsidRPr="00BF77C6">
        <w:t>)(2).</w:t>
      </w:r>
    </w:p>
    <w:p w14:paraId="35930ACA" w14:textId="77777777" w:rsidR="00FD052A" w:rsidRPr="00BF77C6" w:rsidRDefault="00FD052A" w:rsidP="00517339">
      <w:pPr>
        <w:pStyle w:val="COLNumbered"/>
      </w:pPr>
      <w:r w:rsidRPr="00BF77C6">
        <w:t>EECRF proceeding expenses are rate-case expenses.</w:t>
      </w:r>
    </w:p>
    <w:p w14:paraId="6511B6F4" w14:textId="77777777" w:rsidR="00FD052A" w:rsidRPr="00BF77C6" w:rsidRDefault="00FD052A" w:rsidP="00517339">
      <w:pPr>
        <w:pStyle w:val="COLNumbered"/>
      </w:pPr>
      <w:r w:rsidRPr="00BF77C6">
        <w:t>The requirements of 16 TAC § 25.245 apply to the recovery of EECRF proceeding expenses.</w:t>
      </w:r>
    </w:p>
    <w:p w14:paraId="73A4AB18" w14:textId="47D13B27" w:rsidR="00FD052A" w:rsidRPr="00BF77C6" w:rsidRDefault="00FD052A" w:rsidP="00517339">
      <w:pPr>
        <w:pStyle w:val="COLNumbered"/>
      </w:pPr>
      <w:r w:rsidRPr="00BF77C6">
        <w:t>CenterPoint Houston’s 201</w:t>
      </w:r>
      <w:r w:rsidR="00BE3FEF" w:rsidRPr="00BF77C6">
        <w:t>8</w:t>
      </w:r>
      <w:r w:rsidRPr="00BF77C6">
        <w:t xml:space="preserve"> rate-case expenses of $</w:t>
      </w:r>
      <w:r w:rsidR="00BE3FEF" w:rsidRPr="00BF77C6">
        <w:t>59,</w:t>
      </w:r>
      <w:r w:rsidR="009B5566" w:rsidRPr="00BF77C6">
        <w:t xml:space="preserve">266 </w:t>
      </w:r>
      <w:r w:rsidRPr="00BF77C6">
        <w:t>comply with PURA § 36.061(b)(2) and 16 TAC §§ 25.18</w:t>
      </w:r>
      <w:r w:rsidR="00BE3FEF" w:rsidRPr="00BF77C6">
        <w:t>2</w:t>
      </w:r>
      <w:r w:rsidRPr="00BF77C6">
        <w:t>(</w:t>
      </w:r>
      <w:r w:rsidR="00BE3FEF" w:rsidRPr="00BF77C6">
        <w:t>d</w:t>
      </w:r>
      <w:r w:rsidRPr="00BF77C6">
        <w:t>)(3)(A) and 25.245.</w:t>
      </w:r>
    </w:p>
    <w:p w14:paraId="0F44AC9C" w14:textId="7D52B77A" w:rsidR="00FD052A" w:rsidRPr="00BF77C6" w:rsidRDefault="00FD052A" w:rsidP="00517339">
      <w:pPr>
        <w:pStyle w:val="COLNumbered"/>
      </w:pPr>
      <w:r w:rsidRPr="00BF77C6">
        <w:t>The Gulf Coast Coalition of Cities</w:t>
      </w:r>
      <w:r w:rsidR="00845E00" w:rsidRPr="00BF77C6">
        <w:t>’</w:t>
      </w:r>
      <w:r w:rsidRPr="00BF77C6">
        <w:t xml:space="preserve"> </w:t>
      </w:r>
      <w:r w:rsidR="00BE3FEF" w:rsidRPr="00BF77C6">
        <w:t>2018 rate-case</w:t>
      </w:r>
      <w:r w:rsidRPr="00BF77C6">
        <w:t xml:space="preserve"> expenses of $</w:t>
      </w:r>
      <w:r w:rsidR="00BE3FEF" w:rsidRPr="00BF77C6">
        <w:t>16,536 and the City of Houston’s 2018 rate-case expenses of $17,410</w:t>
      </w:r>
      <w:r w:rsidRPr="00BF77C6">
        <w:t xml:space="preserve"> comply with PURA </w:t>
      </w:r>
      <w:r w:rsidR="00C83EA6" w:rsidRPr="00BF77C6">
        <w:t>§ </w:t>
      </w:r>
      <w:r w:rsidRPr="00BF77C6">
        <w:t>33.023(a) and 16</w:t>
      </w:r>
      <w:r w:rsidR="00716BC4" w:rsidRPr="00BF77C6">
        <w:t> </w:t>
      </w:r>
      <w:r w:rsidRPr="00BF77C6">
        <w:t>TAC §§ 25.18</w:t>
      </w:r>
      <w:r w:rsidR="00BE3FEF" w:rsidRPr="00BF77C6">
        <w:t>2</w:t>
      </w:r>
      <w:r w:rsidRPr="00BF77C6">
        <w:t>(</w:t>
      </w:r>
      <w:r w:rsidR="00BE3FEF" w:rsidRPr="00BF77C6">
        <w:t>d</w:t>
      </w:r>
      <w:r w:rsidRPr="00BF77C6">
        <w:t>)(3)(B) and 25.245.</w:t>
      </w:r>
    </w:p>
    <w:p w14:paraId="589E9DEF" w14:textId="40D714F2" w:rsidR="00AC7A54" w:rsidRPr="00BF77C6" w:rsidRDefault="00AC7A54" w:rsidP="00517339">
      <w:pPr>
        <w:pStyle w:val="COLNumbered"/>
      </w:pPr>
      <w:r w:rsidRPr="00BF77C6">
        <w:t>CenterPoint Houston qualified for and accurately calculated its energy-efficiency performance bonus of $</w:t>
      </w:r>
      <w:r w:rsidR="00BE3FEF" w:rsidRPr="00BF77C6">
        <w:t>6,738,428</w:t>
      </w:r>
      <w:r w:rsidRPr="00BF77C6">
        <w:t xml:space="preserve"> for its energy-efficiency achievements in program</w:t>
      </w:r>
      <w:r w:rsidR="00CF25F6" w:rsidRPr="00BF77C6">
        <w:t xml:space="preserve"> </w:t>
      </w:r>
      <w:r w:rsidRPr="00BF77C6">
        <w:t>year 201</w:t>
      </w:r>
      <w:r w:rsidR="00BE3FEF" w:rsidRPr="00BF77C6">
        <w:t>8</w:t>
      </w:r>
      <w:r w:rsidRPr="00BF77C6">
        <w:t xml:space="preserve"> in compliance with the requirements of PURA § 39.905 and 16 TAC § 25.18</w:t>
      </w:r>
      <w:r w:rsidR="00BE3FEF" w:rsidRPr="00BF77C6">
        <w:t>2</w:t>
      </w:r>
      <w:r w:rsidRPr="00BF77C6">
        <w:t>(</w:t>
      </w:r>
      <w:r w:rsidR="00BE3FEF" w:rsidRPr="00BF77C6">
        <w:t>e</w:t>
      </w:r>
      <w:r w:rsidRPr="00BF77C6">
        <w:t>).</w:t>
      </w:r>
    </w:p>
    <w:p w14:paraId="4D00DAF5" w14:textId="30E295D9" w:rsidR="00514E8A" w:rsidRPr="00BF77C6" w:rsidRDefault="00514E8A" w:rsidP="00517339">
      <w:pPr>
        <w:pStyle w:val="COLNumbered"/>
      </w:pPr>
      <w:r w:rsidRPr="00BF77C6">
        <w:t xml:space="preserve">An adjustment to lower CenterPoint Houston’s 2020 EECRF revenue requirement by $3,700,000 is permissible under 16 TAC 25.182(d)(15).  </w:t>
      </w:r>
    </w:p>
    <w:p w14:paraId="581DBBAE" w14:textId="747E3832" w:rsidR="00FD052A" w:rsidRPr="00BF77C6" w:rsidRDefault="00EC48E4" w:rsidP="00517339">
      <w:pPr>
        <w:pStyle w:val="COLNumbered"/>
      </w:pPr>
      <w:r w:rsidRPr="00BF77C6">
        <w:lastRenderedPageBreak/>
        <w:t>The</w:t>
      </w:r>
      <w:r w:rsidR="00FD052A" w:rsidRPr="00BF77C6">
        <w:t xml:space="preserve"> amounts and allocation of </w:t>
      </w:r>
      <w:r w:rsidR="00984633" w:rsidRPr="00BF77C6">
        <w:t>CenterPoint Houston’s</w:t>
      </w:r>
      <w:r w:rsidR="00FD052A" w:rsidRPr="00BF77C6">
        <w:t xml:space="preserve"> administrative and research and development costs comply with 16 TAC § 25.181(</w:t>
      </w:r>
      <w:r w:rsidR="00BE3FEF" w:rsidRPr="00BF77C6">
        <w:t>g</w:t>
      </w:r>
      <w:r w:rsidR="00FD052A" w:rsidRPr="00BF77C6">
        <w:t>).</w:t>
      </w:r>
    </w:p>
    <w:p w14:paraId="07B5E498" w14:textId="2E83AD1E" w:rsidR="007F0932" w:rsidRPr="00BF77C6" w:rsidRDefault="007F0932" w:rsidP="00517339">
      <w:pPr>
        <w:pStyle w:val="COLNumbered"/>
      </w:pPr>
      <w:r w:rsidRPr="00BF77C6">
        <w:t>CenterPoint Houston’s energy</w:t>
      </w:r>
      <w:r w:rsidR="008D6D4B" w:rsidRPr="00BF77C6">
        <w:t>-</w:t>
      </w:r>
      <w:r w:rsidRPr="00BF77C6">
        <w:t>efficiency programs adhere to the cost-effectiveness parameters contained in 16 TAC § 25.181</w:t>
      </w:r>
      <w:r w:rsidR="00A77955" w:rsidRPr="00BF77C6">
        <w:t>(d)</w:t>
      </w:r>
      <w:r w:rsidRPr="00BF77C6">
        <w:t>.</w:t>
      </w:r>
    </w:p>
    <w:p w14:paraId="3122139E" w14:textId="6E675CE9" w:rsidR="007F0932" w:rsidRPr="00BF77C6" w:rsidRDefault="007F0932" w:rsidP="00517339">
      <w:pPr>
        <w:pStyle w:val="COLNumbered"/>
        <w:rPr>
          <w:rFonts w:eastAsia="Arial"/>
        </w:rPr>
      </w:pPr>
      <w:r w:rsidRPr="00BF77C6">
        <w:t>CenterPoint Houston</w:t>
      </w:r>
      <w:r w:rsidRPr="00BF77C6">
        <w:rPr>
          <w:rFonts w:eastAsia="Arial"/>
        </w:rPr>
        <w:t>’s cost recovery of $</w:t>
      </w:r>
      <w:r w:rsidR="001460D3">
        <w:t>1,</w:t>
      </w:r>
      <w:r w:rsidR="006828CA">
        <w:t>280,646</w:t>
      </w:r>
      <w:r w:rsidR="0058354C" w:rsidRPr="00BF77C6">
        <w:rPr>
          <w:rFonts w:eastAsia="Arial"/>
        </w:rPr>
        <w:t>—</w:t>
      </w:r>
      <w:r w:rsidRPr="00BF77C6">
        <w:rPr>
          <w:rFonts w:eastAsia="Arial"/>
        </w:rPr>
        <w:t xml:space="preserve">which consists of </w:t>
      </w:r>
      <w:r w:rsidR="0015043B">
        <w:rPr>
          <w:rFonts w:eastAsia="Arial"/>
        </w:rPr>
        <w:t xml:space="preserve">EM&amp;V expenses to be recovered in 2020, </w:t>
      </w:r>
      <w:r w:rsidR="00F45149">
        <w:rPr>
          <w:rFonts w:eastAsia="Arial"/>
        </w:rPr>
        <w:t>CenterPoint Houston’s</w:t>
      </w:r>
      <w:r w:rsidR="0015043B">
        <w:rPr>
          <w:rFonts w:eastAsia="Arial"/>
        </w:rPr>
        <w:t xml:space="preserve"> net </w:t>
      </w:r>
      <w:r w:rsidR="00BE3FEF" w:rsidRPr="00BF77C6">
        <w:t xml:space="preserve">over-recovery </w:t>
      </w:r>
      <w:r w:rsidR="0015043B">
        <w:t>of program year 2018 energy-efficiency costs plus interest</w:t>
      </w:r>
      <w:r w:rsidR="00D971D4">
        <w:t xml:space="preserve">, </w:t>
      </w:r>
      <w:r w:rsidR="00897CFB">
        <w:t xml:space="preserve">CenterPoint Houston’s performance bonus earned in 2018, </w:t>
      </w:r>
      <w:r w:rsidR="001460D3">
        <w:t>and rate case expenses from Docket No. 48420</w:t>
      </w:r>
      <w:r w:rsidR="0058354C" w:rsidRPr="00BF77C6">
        <w:t>—</w:t>
      </w:r>
      <w:r w:rsidRPr="00BF77C6">
        <w:rPr>
          <w:rFonts w:eastAsia="Arial"/>
        </w:rPr>
        <w:t xml:space="preserve">complies with PURA </w:t>
      </w:r>
      <w:r w:rsidR="00C83EA6" w:rsidRPr="00BF77C6">
        <w:rPr>
          <w:rFonts w:eastAsia="Arial"/>
        </w:rPr>
        <w:t>§ </w:t>
      </w:r>
      <w:r w:rsidRPr="00BF77C6">
        <w:rPr>
          <w:rFonts w:eastAsia="Arial"/>
        </w:rPr>
        <w:t>39.905 and 16</w:t>
      </w:r>
      <w:r w:rsidR="00716BC4" w:rsidRPr="00BF77C6">
        <w:rPr>
          <w:rFonts w:eastAsia="Arial"/>
        </w:rPr>
        <w:t> </w:t>
      </w:r>
      <w:r w:rsidRPr="00BF77C6">
        <w:rPr>
          <w:rFonts w:eastAsia="Arial"/>
        </w:rPr>
        <w:t>TAC § 25.18</w:t>
      </w:r>
      <w:r w:rsidR="00BE3FEF" w:rsidRPr="00BF77C6">
        <w:rPr>
          <w:rFonts w:eastAsia="Arial"/>
        </w:rPr>
        <w:t>2</w:t>
      </w:r>
      <w:r w:rsidRPr="00BF77C6">
        <w:rPr>
          <w:rFonts w:eastAsia="Arial"/>
        </w:rPr>
        <w:t>(</w:t>
      </w:r>
      <w:r w:rsidR="00BE3FEF" w:rsidRPr="00BF77C6">
        <w:rPr>
          <w:rFonts w:eastAsia="Arial"/>
        </w:rPr>
        <w:t>d</w:t>
      </w:r>
      <w:r w:rsidRPr="00BF77C6">
        <w:rPr>
          <w:rFonts w:eastAsia="Arial"/>
        </w:rPr>
        <w:t>).</w:t>
      </w:r>
    </w:p>
    <w:p w14:paraId="035766F9" w14:textId="3BE1A449" w:rsidR="00AC7A54" w:rsidRPr="00BF77C6" w:rsidRDefault="00CD4069" w:rsidP="00517339">
      <w:pPr>
        <w:pStyle w:val="COLNumbered"/>
      </w:pPr>
      <w:r w:rsidRPr="00BF77C6">
        <w:t>The</w:t>
      </w:r>
      <w:r w:rsidR="00AC7A54" w:rsidRPr="00BF77C6">
        <w:t xml:space="preserve"> assignments and allocations of </w:t>
      </w:r>
      <w:r w:rsidRPr="00BF77C6">
        <w:t>CenterPoint Houston’s</w:t>
      </w:r>
      <w:r w:rsidR="00AC7A54" w:rsidRPr="00BF77C6">
        <w:t xml:space="preserve"> proposed 20</w:t>
      </w:r>
      <w:r w:rsidR="006461E0" w:rsidRPr="00BF77C6">
        <w:t>20</w:t>
      </w:r>
      <w:r w:rsidR="00AC7A54" w:rsidRPr="00BF77C6">
        <w:t xml:space="preserve"> EECRF rates to the rate classes are reasonable and </w:t>
      </w:r>
      <w:r w:rsidR="005E359A" w:rsidRPr="00BF77C6">
        <w:t>comply with</w:t>
      </w:r>
      <w:r w:rsidR="00AC7A54" w:rsidRPr="00BF77C6">
        <w:t xml:space="preserve"> PURA § 39.905(b)(4) and 16 TAC § 25.18</w:t>
      </w:r>
      <w:r w:rsidR="006461E0" w:rsidRPr="00BF77C6">
        <w:t>2</w:t>
      </w:r>
      <w:r w:rsidR="00AC7A54" w:rsidRPr="00BF77C6">
        <w:t>(</w:t>
      </w:r>
      <w:r w:rsidR="006461E0" w:rsidRPr="00BF77C6">
        <w:t>d</w:t>
      </w:r>
      <w:r w:rsidR="00AC7A54" w:rsidRPr="00BF77C6">
        <w:t>)(2).</w:t>
      </w:r>
    </w:p>
    <w:p w14:paraId="4B161860" w14:textId="5F1EBBB5" w:rsidR="00AC7A54" w:rsidRPr="00BF77C6" w:rsidRDefault="00AC7A54" w:rsidP="00517339">
      <w:pPr>
        <w:pStyle w:val="COLNumbered"/>
      </w:pPr>
      <w:r w:rsidRPr="00BF77C6">
        <w:t>CenterPoint Houston has adopted measures to foster competition among energy-efficiency service providers in compliance with 16 TAC § 25.181(</w:t>
      </w:r>
      <w:r w:rsidR="006461E0" w:rsidRPr="00BF77C6">
        <w:t>g</w:t>
      </w:r>
      <w:r w:rsidRPr="00BF77C6">
        <w:t>)(2).</w:t>
      </w:r>
    </w:p>
    <w:p w14:paraId="29B20460" w14:textId="2F35BEB3" w:rsidR="00AC7A54" w:rsidRPr="00BF77C6" w:rsidRDefault="00AC7A54" w:rsidP="00517339">
      <w:pPr>
        <w:pStyle w:val="COLNumbered"/>
      </w:pPr>
      <w:r w:rsidRPr="00BF77C6">
        <w:t xml:space="preserve">CenterPoint Houston’s standard </w:t>
      </w:r>
      <w:proofErr w:type="gramStart"/>
      <w:r w:rsidRPr="00BF77C6">
        <w:t>offer</w:t>
      </w:r>
      <w:proofErr w:type="gramEnd"/>
      <w:r w:rsidR="00747EEE">
        <w:t xml:space="preserve"> and</w:t>
      </w:r>
      <w:r w:rsidRPr="00BF77C6">
        <w:t xml:space="preserve"> market transformation programs comply with PURA § 39.905(a)(3) and 16 TAC § 25.181(</w:t>
      </w:r>
      <w:r w:rsidR="006461E0" w:rsidRPr="00BF77C6">
        <w:t>h</w:t>
      </w:r>
      <w:r w:rsidRPr="00BF77C6">
        <w:t>) through (</w:t>
      </w:r>
      <w:r w:rsidR="00200084" w:rsidRPr="00BF77C6">
        <w:t>k</w:t>
      </w:r>
      <w:r w:rsidRPr="00BF77C6">
        <w:t>).</w:t>
      </w:r>
    </w:p>
    <w:p w14:paraId="2D5EA720" w14:textId="7032757B" w:rsidR="00AC7A54" w:rsidRPr="00BF77C6" w:rsidRDefault="00AC7A54" w:rsidP="00517339">
      <w:pPr>
        <w:pStyle w:val="COLNumbered"/>
      </w:pPr>
      <w:r w:rsidRPr="00BF77C6">
        <w:t xml:space="preserve">CenterPoint Houston’s incentive payments, which do </w:t>
      </w:r>
      <w:r w:rsidR="00845E00" w:rsidRPr="00BF77C6">
        <w:t>not exceed 100% of avoided cost</w:t>
      </w:r>
      <w:r w:rsidR="007A2DCF" w:rsidRPr="00BF77C6">
        <w:t>,</w:t>
      </w:r>
      <w:r w:rsidRPr="00BF77C6">
        <w:t xml:space="preserve"> </w:t>
      </w:r>
      <w:r w:rsidR="007A2DCF" w:rsidRPr="00BF77C6">
        <w:t>comply</w:t>
      </w:r>
      <w:r w:rsidRPr="00BF77C6">
        <w:t xml:space="preserve"> with 16 TAC § 25.181(</w:t>
      </w:r>
      <w:r w:rsidR="00F920EB" w:rsidRPr="00BF77C6">
        <w:t>f</w:t>
      </w:r>
      <w:r w:rsidRPr="00BF77C6">
        <w:t>).</w:t>
      </w:r>
    </w:p>
    <w:p w14:paraId="233E3EB5" w14:textId="3E4D8176" w:rsidR="007C1E82" w:rsidRPr="00BF77C6" w:rsidRDefault="00171F94" w:rsidP="00517339">
      <w:pPr>
        <w:pStyle w:val="COLNumbered"/>
      </w:pPr>
      <w:r w:rsidRPr="00BF77C6">
        <w:t xml:space="preserve">In compliance with PURA § 36.058, </w:t>
      </w:r>
      <w:r w:rsidR="007C1E82" w:rsidRPr="00BF77C6">
        <w:t>CenterPoint Houston’s affiliate costs are reasonable and necessary</w:t>
      </w:r>
      <w:r w:rsidRPr="00BF77C6">
        <w:t>,</w:t>
      </w:r>
      <w:r w:rsidR="007C1E82" w:rsidRPr="00BF77C6">
        <w:t xml:space="preserve"> and </w:t>
      </w:r>
      <w:r w:rsidR="006B741A" w:rsidRPr="00BF77C6">
        <w:t>the price</w:t>
      </w:r>
      <w:r w:rsidR="007C1E82" w:rsidRPr="00BF77C6">
        <w:t xml:space="preserve"> to the utility </w:t>
      </w:r>
      <w:r w:rsidRPr="00BF77C6">
        <w:t xml:space="preserve">was </w:t>
      </w:r>
      <w:r w:rsidR="007C1E82" w:rsidRPr="00BF77C6">
        <w:t xml:space="preserve">not higher than the prices charged by </w:t>
      </w:r>
      <w:r w:rsidR="00A22656" w:rsidRPr="00BF77C6">
        <w:t>CenterPoint Energy Service Company, LLC</w:t>
      </w:r>
      <w:r w:rsidR="007C1E82" w:rsidRPr="00BF77C6">
        <w:t xml:space="preserve"> for the same services to CenterPoint Houston’s other affiliates or divisions.</w:t>
      </w:r>
    </w:p>
    <w:p w14:paraId="25F8758E" w14:textId="5612C3B1" w:rsidR="00AC7A54" w:rsidRPr="00BF77C6" w:rsidRDefault="00B00747" w:rsidP="00517339">
      <w:pPr>
        <w:pStyle w:val="COLNumbered"/>
      </w:pPr>
      <w:r w:rsidRPr="00BF77C6">
        <w:t>In compliance with PURA § 39.905(f) and 16 TAC § 25.181(p),</w:t>
      </w:r>
      <w:r w:rsidR="00ED330E" w:rsidRPr="00BF77C6">
        <w:t xml:space="preserve"> the</w:t>
      </w:r>
      <w:r w:rsidRPr="00BF77C6">
        <w:t xml:space="preserve"> </w:t>
      </w:r>
      <w:r w:rsidR="00ED330E" w:rsidRPr="00BF77C6">
        <w:rPr>
          <w:rFonts w:eastAsia="Arial"/>
        </w:rPr>
        <w:t>total program expenditures</w:t>
      </w:r>
      <w:r w:rsidR="00ED330E" w:rsidRPr="00BF77C6">
        <w:t xml:space="preserve"> for </w:t>
      </w:r>
      <w:r w:rsidR="00AC7A54" w:rsidRPr="00BF77C6">
        <w:t xml:space="preserve">CenterPoint Houston’s targeted low-income energy-efficiency program exceed the minimum of 10% of its </w:t>
      </w:r>
      <w:r w:rsidR="00825BF5" w:rsidRPr="00BF77C6">
        <w:t xml:space="preserve">total </w:t>
      </w:r>
      <w:r w:rsidR="00AC7A54" w:rsidRPr="00BF77C6">
        <w:t>energy-efficiency budget for the program year.</w:t>
      </w:r>
    </w:p>
    <w:p w14:paraId="47C28D38" w14:textId="28EA3378" w:rsidR="00AC7A54" w:rsidRPr="00BF77C6" w:rsidRDefault="00AC7A54" w:rsidP="00517339">
      <w:pPr>
        <w:pStyle w:val="COLNumbered"/>
      </w:pPr>
      <w:r w:rsidRPr="00BF77C6">
        <w:t xml:space="preserve">CenterPoint Houston’s outreach and information programs meet the requirement </w:t>
      </w:r>
      <w:r w:rsidR="00DE43A9" w:rsidRPr="00BF77C6">
        <w:t>in</w:t>
      </w:r>
      <w:r w:rsidRPr="00BF77C6">
        <w:t xml:space="preserve"> PURA § 39.905(a)(4) and 16 TAC § 25.181(</w:t>
      </w:r>
      <w:r w:rsidR="00F920EB" w:rsidRPr="00BF77C6">
        <w:t>r</w:t>
      </w:r>
      <w:r w:rsidRPr="00BF77C6">
        <w:t>) to encourage and facilitate the involvement of retail electric providers in the delivery of efficiency and demand-response programs.</w:t>
      </w:r>
    </w:p>
    <w:p w14:paraId="0DB085DF" w14:textId="3BC55816" w:rsidR="007C1E82" w:rsidRPr="00BF77C6" w:rsidRDefault="007C1E82" w:rsidP="00517339">
      <w:pPr>
        <w:pStyle w:val="COLNumbered"/>
      </w:pPr>
      <w:r w:rsidRPr="00BF77C6">
        <w:lastRenderedPageBreak/>
        <w:t xml:space="preserve">CenterPoint Houston’s load associated with industrial customers who provided qualifying identification notice </w:t>
      </w:r>
      <w:r w:rsidR="0033629E" w:rsidRPr="00BF77C6">
        <w:t>was</w:t>
      </w:r>
      <w:r w:rsidRPr="00BF77C6">
        <w:t xml:space="preserve"> excluded from CenterPoint Houston’s calculated demand</w:t>
      </w:r>
      <w:r w:rsidRPr="00BF77C6">
        <w:noBreakHyphen/>
        <w:t>reduction goal in accordance with 16 TAC § 25.181(</w:t>
      </w:r>
      <w:r w:rsidR="00F920EB" w:rsidRPr="00BF77C6">
        <w:t>u</w:t>
      </w:r>
      <w:r w:rsidRPr="00BF77C6">
        <w:t>)</w:t>
      </w:r>
      <w:r w:rsidR="007B08BF" w:rsidRPr="00BF77C6">
        <w:t>.</w:t>
      </w:r>
    </w:p>
    <w:p w14:paraId="63ADA035" w14:textId="77777777" w:rsidR="00FE17AA" w:rsidRPr="00BF77C6" w:rsidRDefault="00AC7A54" w:rsidP="00517339">
      <w:pPr>
        <w:pStyle w:val="COLNumbered"/>
      </w:pPr>
      <w:r w:rsidRPr="00BF77C6">
        <w:t>CenterPoint Houston’s proposed 20</w:t>
      </w:r>
      <w:r w:rsidR="00F920EB" w:rsidRPr="00BF77C6">
        <w:t>20</w:t>
      </w:r>
      <w:r w:rsidRPr="00BF77C6">
        <w:t xml:space="preserve"> EECRF rates are just and reasonable</w:t>
      </w:r>
      <w:r w:rsidR="00FE17AA" w:rsidRPr="00BF77C6">
        <w:t xml:space="preserve"> under PURA § 36.003(a).</w:t>
      </w:r>
    </w:p>
    <w:p w14:paraId="480C7E66" w14:textId="1CD12780" w:rsidR="00AC7A54" w:rsidRPr="00BF77C6" w:rsidRDefault="00107BD4" w:rsidP="00517339">
      <w:pPr>
        <w:pStyle w:val="COLNumbered"/>
      </w:pPr>
      <w:r w:rsidRPr="00BF77C6">
        <w:t>In accordance with PURA § 36.003(b)</w:t>
      </w:r>
      <w:r w:rsidR="00AC7A54" w:rsidRPr="00BF77C6">
        <w:t>,</w:t>
      </w:r>
      <w:r w:rsidRPr="00BF77C6">
        <w:t xml:space="preserve"> SWEPCO’s proposed 2020 EECRF rates are</w:t>
      </w:r>
      <w:r w:rsidR="00AC7A54" w:rsidRPr="00BF77C6">
        <w:t xml:space="preserve"> not unreasonably preferential, prejudicial, or discriminatory and are </w:t>
      </w:r>
      <w:proofErr w:type="gramStart"/>
      <w:r w:rsidR="00AC7A54" w:rsidRPr="00BF77C6">
        <w:t>sufficient</w:t>
      </w:r>
      <w:proofErr w:type="gramEnd"/>
      <w:r w:rsidR="00AC7A54" w:rsidRPr="00BF77C6">
        <w:t>, equitable, and consistent in application to each consumer class.</w:t>
      </w:r>
    </w:p>
    <w:p w14:paraId="2259E659" w14:textId="77777777" w:rsidR="00AC7A54" w:rsidRPr="00BF77C6" w:rsidRDefault="00AC7A54" w:rsidP="00517339">
      <w:pPr>
        <w:pStyle w:val="COLNumbered"/>
      </w:pPr>
      <w:r w:rsidRPr="00BF77C6">
        <w:t>The requirements for informal disposition under 16 TAC § 22.35 have been met in this proceeding.</w:t>
      </w:r>
    </w:p>
    <w:p w14:paraId="6DE6AF42" w14:textId="77777777" w:rsidR="00EE5DDA" w:rsidRPr="00BF77C6" w:rsidRDefault="00EE5DDA" w:rsidP="00EE5DDA">
      <w:pPr>
        <w:pStyle w:val="Heading1"/>
      </w:pPr>
      <w:r w:rsidRPr="00BF77C6">
        <w:t>Ordering Paragraphs</w:t>
      </w:r>
    </w:p>
    <w:p w14:paraId="45DE6964" w14:textId="77777777" w:rsidR="008D1724" w:rsidRPr="00BF77C6" w:rsidRDefault="008D1724" w:rsidP="008D1724">
      <w:pPr>
        <w:pStyle w:val="BodyText"/>
      </w:pPr>
      <w:r w:rsidRPr="00BF77C6">
        <w:t>In accordance with these findings of fact and conclusions of law, the Commission issues the following orders:</w:t>
      </w:r>
    </w:p>
    <w:p w14:paraId="74F5BE44" w14:textId="2B947248" w:rsidR="00A73E6C" w:rsidRDefault="00A73E6C" w:rsidP="00517339">
      <w:pPr>
        <w:pStyle w:val="OrderingParagraph"/>
      </w:pPr>
      <w:r>
        <w:t>The Commission approves CenterPoint Houston’s EECRF, as modified by the agreement, to the extent provided in this Order.</w:t>
      </w:r>
    </w:p>
    <w:p w14:paraId="7E35D9FA" w14:textId="748FABF3" w:rsidR="00AC7A54" w:rsidRPr="00BF77C6" w:rsidRDefault="00A746DF" w:rsidP="00517339">
      <w:pPr>
        <w:pStyle w:val="OrderingParagraph"/>
      </w:pPr>
      <w:r w:rsidRPr="00BF77C6">
        <w:t xml:space="preserve">The Commission approves </w:t>
      </w:r>
      <w:r w:rsidR="00AC7A54" w:rsidRPr="00BF77C6">
        <w:t>CenterPoint Houston’s 20</w:t>
      </w:r>
      <w:r w:rsidR="00F920EB" w:rsidRPr="00BF77C6">
        <w:t>20</w:t>
      </w:r>
      <w:r w:rsidR="00AC7A54" w:rsidRPr="00BF77C6">
        <w:t xml:space="preserve"> EECRF in the amount of $</w:t>
      </w:r>
      <w:r w:rsidR="00F920EB" w:rsidRPr="00BF77C6">
        <w:t>35,401,638</w:t>
      </w:r>
      <w:r w:rsidR="00AC7A54" w:rsidRPr="00BF77C6">
        <w:t>, which is composed of</w:t>
      </w:r>
      <w:r w:rsidR="00A3791A" w:rsidRPr="00BF77C6">
        <w:t xml:space="preserve"> the following</w:t>
      </w:r>
      <w:r w:rsidR="00AC7A54" w:rsidRPr="00BF77C6">
        <w:t xml:space="preserve">: </w:t>
      </w:r>
      <w:r w:rsidR="00F920EB" w:rsidRPr="00BF77C6">
        <w:t xml:space="preserve">(a) </w:t>
      </w:r>
      <w:r w:rsidR="00876B8E" w:rsidRPr="00BF77C6">
        <w:t xml:space="preserve">forecasted </w:t>
      </w:r>
      <w:r w:rsidR="00F920EB" w:rsidRPr="00BF77C6">
        <w:t xml:space="preserve">2020 energy-efficiency program costs of $37,820,991; (b) projected EM&amp;V </w:t>
      </w:r>
      <w:r w:rsidR="00A23DE9" w:rsidRPr="00BF77C6">
        <w:t>expenses</w:t>
      </w:r>
      <w:r w:rsidR="00213FE1" w:rsidRPr="00BF77C6">
        <w:t xml:space="preserve"> of $550,514</w:t>
      </w:r>
      <w:r w:rsidR="00F920EB" w:rsidRPr="00BF77C6">
        <w:t xml:space="preserve"> for program year 2020; (c) </w:t>
      </w:r>
      <w:r w:rsidR="00B55851" w:rsidRPr="00BF77C6">
        <w:t>a</w:t>
      </w:r>
      <w:r w:rsidR="00F920EB" w:rsidRPr="00BF77C6">
        <w:t xml:space="preserve"> credit of </w:t>
      </w:r>
      <w:r w:rsidR="006D4047" w:rsidRPr="00BF77C6">
        <w:t>$6,101,507</w:t>
      </w:r>
      <w:r w:rsidR="002065F7" w:rsidRPr="00BF77C6">
        <w:t xml:space="preserve">, including interest, </w:t>
      </w:r>
      <w:r w:rsidR="00B55851" w:rsidRPr="00BF77C6">
        <w:t>for</w:t>
      </w:r>
      <w:r w:rsidR="00F920EB" w:rsidRPr="00BF77C6">
        <w:t xml:space="preserve"> the over-recovery</w:t>
      </w:r>
      <w:r w:rsidR="009B7A81" w:rsidRPr="00BF77C6">
        <w:t xml:space="preserve"> of 2018 program costs</w:t>
      </w:r>
      <w:r w:rsidR="00F920EB" w:rsidRPr="00BF77C6">
        <w:t>; (e) 2018 EECRF proceeding expenses</w:t>
      </w:r>
      <w:r w:rsidR="00995AA0" w:rsidRPr="00BF77C6">
        <w:t xml:space="preserve"> in the amount of $93,211</w:t>
      </w:r>
      <w:r w:rsidR="00F920EB" w:rsidRPr="00BF77C6">
        <w:t>; (f) a performance bonus of $6,738,428; and (g) an adjustment to lower the EECRF revenue requirement by $3,700,000</w:t>
      </w:r>
      <w:r w:rsidR="00477C8E" w:rsidRPr="00BF77C6">
        <w:t>.</w:t>
      </w:r>
    </w:p>
    <w:p w14:paraId="72F84414" w14:textId="650FC07F" w:rsidR="00AC7A54" w:rsidRPr="00BF77C6" w:rsidRDefault="00AC7A54" w:rsidP="00517339">
      <w:pPr>
        <w:pStyle w:val="OrderingParagraph"/>
      </w:pPr>
      <w:r w:rsidRPr="00BF77C6">
        <w:t>The Commission approves CenterPoint Houston’s EECRF tar</w:t>
      </w:r>
      <w:r w:rsidR="00567BAF" w:rsidRPr="00BF77C6">
        <w:t>iff</w:t>
      </w:r>
      <w:r w:rsidR="00921954" w:rsidRPr="00BF77C6">
        <w:t xml:space="preserve"> </w:t>
      </w:r>
      <w:r w:rsidR="00567BAF" w:rsidRPr="00BF77C6">
        <w:t xml:space="preserve">rider schedule </w:t>
      </w:r>
      <w:r w:rsidR="00F01560" w:rsidRPr="00BF77C6">
        <w:t>attached</w:t>
      </w:r>
      <w:r w:rsidR="00567BAF" w:rsidRPr="00BF77C6">
        <w:t xml:space="preserve"> as </w:t>
      </w:r>
      <w:r w:rsidR="00193EDE" w:rsidRPr="00BF77C6">
        <w:t xml:space="preserve">attachment </w:t>
      </w:r>
      <w:r w:rsidRPr="00BF77C6">
        <w:t xml:space="preserve">B to the parties’ </w:t>
      </w:r>
      <w:r w:rsidR="005D7FD8" w:rsidRPr="00BF77C6">
        <w:t>agreement</w:t>
      </w:r>
      <w:r w:rsidRPr="00BF77C6">
        <w:t>.</w:t>
      </w:r>
    </w:p>
    <w:p w14:paraId="3958AD2D" w14:textId="2858C3B2" w:rsidR="00AC7A54" w:rsidRPr="00BF77C6" w:rsidRDefault="00AC7A54" w:rsidP="00517339">
      <w:pPr>
        <w:pStyle w:val="OrderingParagraph"/>
      </w:pPr>
      <w:r w:rsidRPr="00BF77C6">
        <w:t>CenterPoint Houston is authorized to apply the EECRF</w:t>
      </w:r>
      <w:r w:rsidR="00574CF5" w:rsidRPr="00BF77C6">
        <w:t xml:space="preserve"> tariff rider approved by this Order</w:t>
      </w:r>
      <w:r w:rsidRPr="00BF77C6">
        <w:t xml:space="preserve"> starting on March 1, 20</w:t>
      </w:r>
      <w:r w:rsidR="00F920EB" w:rsidRPr="00BF77C6">
        <w:t>20</w:t>
      </w:r>
      <w:r w:rsidRPr="00BF77C6">
        <w:t>.</w:t>
      </w:r>
    </w:p>
    <w:p w14:paraId="19F85F35" w14:textId="39718E73" w:rsidR="00AC7A54" w:rsidRPr="00BF77C6" w:rsidRDefault="00073887" w:rsidP="00517339">
      <w:pPr>
        <w:pStyle w:val="OrderingParagraph"/>
      </w:pPr>
      <w:r w:rsidRPr="00BF77C6">
        <w:lastRenderedPageBreak/>
        <w:t xml:space="preserve">Within ten days of the date of this Order, CenterPoint Houston must provide a clean copy of the EECRF tariff approved by this Order to central records to be marked </w:t>
      </w:r>
      <w:r w:rsidRPr="00BF77C6">
        <w:rPr>
          <w:i/>
        </w:rPr>
        <w:t xml:space="preserve">Approved </w:t>
      </w:r>
      <w:r w:rsidRPr="00BF77C6">
        <w:t>and filed in the Commission’s tariff books</w:t>
      </w:r>
      <w:r w:rsidR="00AC7A54" w:rsidRPr="00BF77C6">
        <w:t xml:space="preserve">.  </w:t>
      </w:r>
    </w:p>
    <w:p w14:paraId="68692F25" w14:textId="77777777" w:rsidR="00AC7A54" w:rsidRPr="00BF77C6" w:rsidRDefault="00AC7A54" w:rsidP="00517339">
      <w:pPr>
        <w:pStyle w:val="OrderingParagraph"/>
      </w:pPr>
      <w:r w:rsidRPr="00BF77C6">
        <w:t xml:space="preserve">Entry of this Order does not indicate the Commission’s endorsement or approval of any principle or methodology that may underlie the </w:t>
      </w:r>
      <w:r w:rsidR="007C1E82" w:rsidRPr="00BF77C6">
        <w:t>agreement</w:t>
      </w:r>
      <w:r w:rsidRPr="00BF77C6">
        <w:t xml:space="preserve"> </w:t>
      </w:r>
      <w:r w:rsidR="00E61741" w:rsidRPr="00BF77C6">
        <w:t>and must</w:t>
      </w:r>
      <w:r w:rsidRPr="00BF77C6">
        <w:t xml:space="preserve"> not be regarded as </w:t>
      </w:r>
      <w:r w:rsidR="00E61741" w:rsidRPr="00BF77C6">
        <w:t>precedential</w:t>
      </w:r>
      <w:r w:rsidRPr="00BF77C6">
        <w:t xml:space="preserve"> as to the appropriateness of any principle or methodology underlying the </w:t>
      </w:r>
      <w:r w:rsidR="00E61741" w:rsidRPr="00BF77C6">
        <w:t>agreement</w:t>
      </w:r>
      <w:r w:rsidRPr="00BF77C6">
        <w:t>.</w:t>
      </w:r>
    </w:p>
    <w:p w14:paraId="7DFD20A0" w14:textId="37C1DE52" w:rsidR="00567BAF" w:rsidRPr="00BF77C6" w:rsidRDefault="00193EDE" w:rsidP="00193EDE">
      <w:pPr>
        <w:pStyle w:val="OrderingParagraph"/>
      </w:pPr>
      <w:r w:rsidRPr="00BF77C6">
        <w:t xml:space="preserve">The Commission denies all </w:t>
      </w:r>
      <w:r w:rsidR="00AC7A54" w:rsidRPr="00BF77C6">
        <w:t>other motions</w:t>
      </w:r>
      <w:r w:rsidR="00AC28E8" w:rsidRPr="00BF77C6">
        <w:t xml:space="preserve"> </w:t>
      </w:r>
      <w:r w:rsidR="00AC7A54" w:rsidRPr="00BF77C6">
        <w:t>and any other requests for general or specific relief</w:t>
      </w:r>
      <w:r w:rsidRPr="00BF77C6">
        <w:t xml:space="preserve"> that have not been expressly granted. </w:t>
      </w:r>
    </w:p>
    <w:p w14:paraId="35630422" w14:textId="064D6EF7" w:rsidR="00160DCD" w:rsidRPr="00BF77C6" w:rsidRDefault="00160DCD" w:rsidP="00C41D30">
      <w:pPr>
        <w:pStyle w:val="Dateline"/>
        <w:spacing w:before="240"/>
      </w:pPr>
      <w:r w:rsidRPr="00BF77C6">
        <w:t xml:space="preserve">Signed at Austin, Texas the ______ day of </w:t>
      </w:r>
      <w:r w:rsidR="00D051F9" w:rsidRPr="00BF77C6">
        <w:t xml:space="preserve">October </w:t>
      </w:r>
      <w:r w:rsidR="00AC7A54" w:rsidRPr="00BF77C6">
        <w:t>201</w:t>
      </w:r>
      <w:r w:rsidR="00F920EB" w:rsidRPr="00BF77C6">
        <w:t>9</w:t>
      </w:r>
      <w:r w:rsidR="00AC7A54" w:rsidRPr="00BF77C6">
        <w:t>.</w:t>
      </w:r>
    </w:p>
    <w:p w14:paraId="32A26704" w14:textId="77777777" w:rsidR="008D1724" w:rsidRPr="00BF77C6" w:rsidRDefault="008D1724" w:rsidP="00C41D30">
      <w:pPr>
        <w:pStyle w:val="Dateline"/>
      </w:pPr>
    </w:p>
    <w:p w14:paraId="1B56D60D" w14:textId="77777777" w:rsidR="00160DCD" w:rsidRPr="00BF77C6" w:rsidRDefault="00160DCD" w:rsidP="00C41D30">
      <w:pPr>
        <w:pStyle w:val="Signatures"/>
        <w:keepNext/>
      </w:pPr>
      <w:r w:rsidRPr="00BF77C6">
        <w:t>PUBLIC UTILITY COMMISSION OF TEXAS</w:t>
      </w:r>
    </w:p>
    <w:p w14:paraId="6D5E8324" w14:textId="77777777" w:rsidR="00160DCD" w:rsidRPr="00BF77C6" w:rsidRDefault="00160DCD" w:rsidP="00C41D30">
      <w:pPr>
        <w:pStyle w:val="Signatures"/>
        <w:keepNext/>
      </w:pPr>
    </w:p>
    <w:p w14:paraId="5DD9F4C9" w14:textId="77777777" w:rsidR="00160DCD" w:rsidRPr="00BF77C6" w:rsidRDefault="00160DCD" w:rsidP="00C41D30">
      <w:pPr>
        <w:pStyle w:val="Signatures"/>
        <w:keepNext/>
      </w:pPr>
    </w:p>
    <w:p w14:paraId="0D90B4D7" w14:textId="77777777" w:rsidR="00160DCD" w:rsidRPr="00BF77C6" w:rsidRDefault="00160DCD" w:rsidP="00C41D30">
      <w:pPr>
        <w:pStyle w:val="Signatures"/>
        <w:keepNext/>
      </w:pPr>
    </w:p>
    <w:p w14:paraId="03764C37" w14:textId="77777777" w:rsidR="00160DCD" w:rsidRPr="00BF77C6" w:rsidRDefault="00160DCD" w:rsidP="00C41D30">
      <w:pPr>
        <w:pStyle w:val="Signatures"/>
        <w:keepNext/>
      </w:pPr>
      <w:r w:rsidRPr="00BF77C6">
        <w:t>______________________________________________</w:t>
      </w:r>
    </w:p>
    <w:p w14:paraId="6C567E9E" w14:textId="77777777" w:rsidR="00160DCD" w:rsidRPr="00BF77C6" w:rsidRDefault="00160DCD" w:rsidP="00C41D30">
      <w:pPr>
        <w:pStyle w:val="Signatures"/>
        <w:keepNext/>
      </w:pPr>
      <w:r w:rsidRPr="00BF77C6">
        <w:t>D</w:t>
      </w:r>
      <w:r w:rsidR="003729E5" w:rsidRPr="00BF77C6">
        <w:t>EANN</w:t>
      </w:r>
      <w:r w:rsidRPr="00BF77C6">
        <w:t xml:space="preserve"> </w:t>
      </w:r>
      <w:r w:rsidR="003729E5" w:rsidRPr="00BF77C6">
        <w:t>T</w:t>
      </w:r>
      <w:r w:rsidRPr="00BF77C6">
        <w:t xml:space="preserve">. </w:t>
      </w:r>
      <w:r w:rsidR="003729E5" w:rsidRPr="00BF77C6">
        <w:t>WALKER</w:t>
      </w:r>
      <w:r w:rsidRPr="00BF77C6">
        <w:t>, CHAIRMAN</w:t>
      </w:r>
    </w:p>
    <w:p w14:paraId="4D446CC8" w14:textId="77777777" w:rsidR="00160DCD" w:rsidRPr="00BF77C6" w:rsidRDefault="00160DCD" w:rsidP="00C41D30">
      <w:pPr>
        <w:pStyle w:val="Signatures"/>
        <w:keepNext/>
      </w:pPr>
    </w:p>
    <w:p w14:paraId="550E1863" w14:textId="77777777" w:rsidR="00160DCD" w:rsidRPr="00BF77C6" w:rsidRDefault="00160DCD" w:rsidP="00C41D30">
      <w:pPr>
        <w:pStyle w:val="Signatures"/>
        <w:keepNext/>
      </w:pPr>
    </w:p>
    <w:p w14:paraId="18CA5EBE" w14:textId="77777777" w:rsidR="00160DCD" w:rsidRPr="00BF77C6" w:rsidRDefault="00160DCD" w:rsidP="00C41D30">
      <w:pPr>
        <w:pStyle w:val="Signatures"/>
        <w:keepNext/>
      </w:pPr>
    </w:p>
    <w:p w14:paraId="26A14B28" w14:textId="77777777" w:rsidR="00160DCD" w:rsidRPr="00BF77C6" w:rsidRDefault="00160DCD" w:rsidP="00C41D30">
      <w:pPr>
        <w:pStyle w:val="Signatures"/>
        <w:keepNext/>
      </w:pPr>
      <w:r w:rsidRPr="00BF77C6">
        <w:t>______________________________________________</w:t>
      </w:r>
    </w:p>
    <w:p w14:paraId="14CD16D9" w14:textId="77777777" w:rsidR="00160DCD" w:rsidRPr="00BF77C6" w:rsidRDefault="00342263" w:rsidP="00C41D30">
      <w:pPr>
        <w:pStyle w:val="Signatures"/>
        <w:keepNext/>
      </w:pPr>
      <w:r w:rsidRPr="00BF77C6">
        <w:t>ARTHUR C. D’ANDREA</w:t>
      </w:r>
      <w:r w:rsidR="00160DCD" w:rsidRPr="00BF77C6">
        <w:t>, COMMISSIONER</w:t>
      </w:r>
    </w:p>
    <w:p w14:paraId="1AF24A17" w14:textId="77777777" w:rsidR="00160DCD" w:rsidRPr="00BF77C6" w:rsidRDefault="00160DCD" w:rsidP="00C41D30">
      <w:pPr>
        <w:pStyle w:val="Signatures"/>
        <w:keepNext/>
      </w:pPr>
    </w:p>
    <w:p w14:paraId="5C11243A" w14:textId="77777777" w:rsidR="00160DCD" w:rsidRPr="00BF77C6" w:rsidRDefault="00160DCD" w:rsidP="00C41D30">
      <w:pPr>
        <w:pStyle w:val="Signatures"/>
        <w:keepNext/>
      </w:pPr>
    </w:p>
    <w:p w14:paraId="18A7B70A" w14:textId="77777777" w:rsidR="00160DCD" w:rsidRPr="00BF77C6" w:rsidRDefault="00160DCD" w:rsidP="00C41D30">
      <w:pPr>
        <w:pStyle w:val="Signatures"/>
        <w:keepNext/>
      </w:pPr>
    </w:p>
    <w:p w14:paraId="7525B8AC" w14:textId="77777777" w:rsidR="00160DCD" w:rsidRPr="00BF77C6" w:rsidRDefault="00FF1816" w:rsidP="00C41D30">
      <w:pPr>
        <w:pStyle w:val="Signatures"/>
        <w:keepNext/>
      </w:pPr>
      <w:r w:rsidRPr="00BF77C6">
        <w:t>______________________________________________</w:t>
      </w:r>
    </w:p>
    <w:p w14:paraId="432A879C" w14:textId="77777777" w:rsidR="00160DCD" w:rsidRPr="00BF77C6" w:rsidRDefault="00342263" w:rsidP="00C41D30">
      <w:pPr>
        <w:pStyle w:val="Signatures"/>
        <w:keepNext/>
      </w:pPr>
      <w:r w:rsidRPr="00BF77C6">
        <w:t>SHELLY BOTKIN</w:t>
      </w:r>
      <w:r w:rsidR="00160DCD" w:rsidRPr="00BF77C6">
        <w:t>, COMMISSIONER</w:t>
      </w:r>
    </w:p>
    <w:p w14:paraId="51A13F84" w14:textId="77777777" w:rsidR="00160DCD" w:rsidRPr="00BF77C6" w:rsidRDefault="00160DCD" w:rsidP="00160DCD"/>
    <w:p w14:paraId="320E8E9C" w14:textId="77777777" w:rsidR="00160DCD" w:rsidRPr="00BF77C6" w:rsidRDefault="00160DCD" w:rsidP="00160DCD"/>
    <w:p w14:paraId="7381C079" w14:textId="7E3C2EC0" w:rsidR="00160DCD" w:rsidRPr="00BF77C6" w:rsidRDefault="00517339" w:rsidP="00160DCD">
      <w:pPr>
        <w:rPr>
          <w:sz w:val="16"/>
          <w:szCs w:val="16"/>
        </w:rPr>
      </w:pPr>
      <w:r w:rsidRPr="00BF77C6">
        <w:rPr>
          <w:sz w:val="16"/>
          <w:szCs w:val="16"/>
        </w:rPr>
        <w:t>W2013</w:t>
      </w:r>
    </w:p>
    <w:bookmarkStart w:id="1" w:name="_GoBack"/>
    <w:p w14:paraId="5E2DC7A3" w14:textId="74A4231C" w:rsidR="0087705D" w:rsidRDefault="0087705D" w:rsidP="0087705D">
      <w:pPr>
        <w:pStyle w:val="FilePath"/>
        <w:spacing w:before="0"/>
      </w:pPr>
      <w:r w:rsidRPr="00BF77C6">
        <w:rPr>
          <w:noProof/>
          <w:szCs w:val="16"/>
        </w:rPr>
        <w:fldChar w:fldCharType="begin"/>
      </w:r>
      <w:r w:rsidRPr="00BF77C6">
        <w:rPr>
          <w:noProof/>
          <w:szCs w:val="16"/>
        </w:rPr>
        <w:instrText xml:space="preserve"> FILENAME  \p  \* MERGEFORMAT </w:instrText>
      </w:r>
      <w:r w:rsidRPr="00BF77C6">
        <w:rPr>
          <w:noProof/>
          <w:szCs w:val="16"/>
        </w:rPr>
        <w:fldChar w:fldCharType="separate"/>
      </w:r>
      <w:r w:rsidR="008E07E2">
        <w:rPr>
          <w:noProof/>
          <w:szCs w:val="16"/>
        </w:rPr>
        <w:t>q</w:t>
      </w:r>
      <w:r w:rsidR="008E07E2" w:rsidRPr="00DF3122">
        <w:rPr>
          <w:noProof/>
        </w:rPr>
        <w:t>:\cadm\orders\soah settled\49000\49583po.docx</w:t>
      </w:r>
      <w:r w:rsidRPr="00BF77C6">
        <w:rPr>
          <w:noProof/>
        </w:rPr>
        <w:fldChar w:fldCharType="end"/>
      </w:r>
    </w:p>
    <w:bookmarkEnd w:id="1"/>
    <w:p w14:paraId="4F927620" w14:textId="190E7C6A" w:rsidR="00160DCD" w:rsidRPr="00AC7A54" w:rsidRDefault="00160DCD" w:rsidP="0062202F">
      <w:pPr>
        <w:pStyle w:val="EndMatter"/>
        <w:rPr>
          <w:sz w:val="16"/>
          <w:szCs w:val="16"/>
        </w:rPr>
      </w:pPr>
    </w:p>
    <w:sectPr w:rsidR="00160DCD" w:rsidRPr="00AC7A54"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6DCA4" w14:textId="77777777" w:rsidR="00C41D30" w:rsidRDefault="00C41D30" w:rsidP="00D03394">
      <w:r>
        <w:separator/>
      </w:r>
    </w:p>
  </w:endnote>
  <w:endnote w:type="continuationSeparator" w:id="0">
    <w:p w14:paraId="7FEB2005" w14:textId="77777777" w:rsidR="00C41D30" w:rsidRDefault="00C41D30"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3E5FF" w14:textId="77777777" w:rsidR="00C41D30" w:rsidRDefault="00C41D30" w:rsidP="00D03394">
      <w:r>
        <w:separator/>
      </w:r>
    </w:p>
  </w:footnote>
  <w:footnote w:type="continuationSeparator" w:id="0">
    <w:p w14:paraId="650959A6" w14:textId="77777777" w:rsidR="00C41D30" w:rsidRDefault="00C41D30" w:rsidP="00D03394">
      <w:r>
        <w:continuationSeparator/>
      </w:r>
    </w:p>
  </w:footnote>
  <w:footnote w:id="1">
    <w:p w14:paraId="752E2D62" w14:textId="20804111" w:rsidR="00C41D30" w:rsidRDefault="00C41D30">
      <w:pPr>
        <w:pStyle w:val="FootnoteText"/>
      </w:pPr>
      <w:r>
        <w:rPr>
          <w:rStyle w:val="FootnoteReference"/>
        </w:rPr>
        <w:footnoteRef/>
      </w:r>
      <w:r>
        <w:t xml:space="preserve">  </w:t>
      </w:r>
      <w:r w:rsidRPr="00D559F2">
        <w:rPr>
          <w:i/>
        </w:rPr>
        <w:t xml:space="preserve">Application of CenterPoint Energy Houston Electric, LLC </w:t>
      </w:r>
      <w:r>
        <w:rPr>
          <w:i/>
        </w:rPr>
        <w:t>to Adjust</w:t>
      </w:r>
      <w:r w:rsidRPr="00D559F2">
        <w:rPr>
          <w:i/>
        </w:rPr>
        <w:t xml:space="preserve"> its Energy Efficiency Cost Recovery Factor</w:t>
      </w:r>
      <w:r>
        <w:t>, Docket No. 48420, Order (Dec. 10, 2018).</w:t>
      </w:r>
    </w:p>
  </w:footnote>
  <w:footnote w:id="2">
    <w:p w14:paraId="2F6D9C3F" w14:textId="734CF959" w:rsidR="00C41D30" w:rsidRDefault="00C41D30" w:rsidP="006B2AC3">
      <w:pPr>
        <w:pStyle w:val="FootnoteText"/>
        <w:jc w:val="both"/>
      </w:pPr>
      <w:r>
        <w:rPr>
          <w:rStyle w:val="FootnoteReference"/>
        </w:rPr>
        <w:footnoteRef/>
      </w:r>
      <w:r>
        <w:t xml:space="preserve">  </w:t>
      </w:r>
      <w:r w:rsidRPr="00D559F2">
        <w:rPr>
          <w:i/>
        </w:rPr>
        <w:t xml:space="preserve">Application of CenterPoint </w:t>
      </w:r>
      <w:r>
        <w:rPr>
          <w:i/>
        </w:rPr>
        <w:t>Electric Delivery Company, LLC</w:t>
      </w:r>
      <w:r w:rsidRPr="00D559F2">
        <w:rPr>
          <w:i/>
        </w:rPr>
        <w:t xml:space="preserve"> for </w:t>
      </w:r>
      <w:r>
        <w:rPr>
          <w:i/>
        </w:rPr>
        <w:t>Authority to Change Rates</w:t>
      </w:r>
      <w:r>
        <w:t>, Docket No. 38339, Order on Rehearing (Jun. 23, 2011).</w:t>
      </w:r>
    </w:p>
  </w:footnote>
  <w:footnote w:id="3">
    <w:p w14:paraId="130E169D" w14:textId="555BD5A1" w:rsidR="00C41D30" w:rsidRDefault="00C41D30" w:rsidP="008D594B">
      <w:pPr>
        <w:pStyle w:val="FootnoteText"/>
        <w:jc w:val="both"/>
      </w:pPr>
      <w:r>
        <w:rPr>
          <w:rStyle w:val="FootnoteReference"/>
        </w:rPr>
        <w:footnoteRef/>
      </w:r>
      <w:r>
        <w:t xml:space="preserve">  Public Utility Regulatory Act, Tex. Util. Code §§ 11.001–66.016.</w:t>
      </w:r>
    </w:p>
  </w:footnote>
  <w:footnote w:id="4">
    <w:p w14:paraId="391B2B79" w14:textId="5346C1B1" w:rsidR="00C41D30" w:rsidRDefault="00C41D30" w:rsidP="00AC7A54">
      <w:pPr>
        <w:pStyle w:val="FootnoteText"/>
      </w:pPr>
      <w:r>
        <w:rPr>
          <w:rStyle w:val="FootnoteReference"/>
        </w:rPr>
        <w:footnoteRef/>
      </w:r>
      <w:r>
        <w:t xml:space="preserve">  Tex. Gov’t Code §§ 2001.001–2001.902.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46E8A" w14:textId="7F6A89A0" w:rsidR="00C41D30" w:rsidRDefault="00C41D30" w:rsidP="00F95D67">
    <w:pPr>
      <w:pStyle w:val="Header"/>
      <w:tabs>
        <w:tab w:val="clear" w:pos="4680"/>
        <w:tab w:val="center" w:pos="4950"/>
      </w:tabs>
    </w:pPr>
    <w:r>
      <w:t>PUC Docket No. 49583</w:t>
    </w:r>
    <w:r>
      <w:tab/>
      <w:t>Proposed Order</w:t>
    </w:r>
    <w:r>
      <w:tab/>
      <w:t xml:space="preserve">Page </w:t>
    </w:r>
    <w:r>
      <w:fldChar w:fldCharType="begin"/>
    </w:r>
    <w:r>
      <w:instrText xml:space="preserve"> PAGE   \* MERGEFORMAT </w:instrText>
    </w:r>
    <w:r>
      <w:fldChar w:fldCharType="separate"/>
    </w:r>
    <w:r>
      <w:rPr>
        <w:noProof/>
      </w:rPr>
      <w:t>19</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20</w:t>
    </w:r>
    <w:r>
      <w:rPr>
        <w:noProof/>
      </w:rPr>
      <w:fldChar w:fldCharType="end"/>
    </w:r>
  </w:p>
  <w:p w14:paraId="01816686" w14:textId="67D860CD" w:rsidR="00C41D30" w:rsidRDefault="00C41D30" w:rsidP="00F95D67">
    <w:pPr>
      <w:pStyle w:val="Header"/>
      <w:tabs>
        <w:tab w:val="clear" w:pos="4680"/>
        <w:tab w:val="center" w:pos="4950"/>
      </w:tabs>
    </w:pPr>
    <w:r>
      <w:t>SOAH Docket No. </w:t>
    </w:r>
    <w:r w:rsidRPr="00AC7A54">
      <w:rPr>
        <w:rFonts w:eastAsia="Times New Roman"/>
        <w:szCs w:val="20"/>
      </w:rPr>
      <w:t>473-1</w:t>
    </w:r>
    <w:r>
      <w:rPr>
        <w:rFonts w:eastAsia="Times New Roman"/>
        <w:szCs w:val="20"/>
      </w:rPr>
      <w:t>9</w:t>
    </w:r>
    <w:r w:rsidRPr="00AC7A54">
      <w:rPr>
        <w:rFonts w:eastAsia="Times New Roman"/>
        <w:szCs w:val="20"/>
      </w:rPr>
      <w:t>-</w:t>
    </w:r>
    <w:r>
      <w:rPr>
        <w:rFonts w:eastAsia="Times New Roman"/>
        <w:szCs w:val="20"/>
      </w:rPr>
      <w:t>5243</w:t>
    </w:r>
  </w:p>
  <w:p w14:paraId="5C46D39B" w14:textId="77777777" w:rsidR="00C41D30" w:rsidRDefault="00C41D30">
    <w:pPr>
      <w:pStyle w:val="Header"/>
    </w:pPr>
  </w:p>
  <w:p w14:paraId="2430D29A" w14:textId="77777777" w:rsidR="00C41D30" w:rsidRDefault="00C41D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A8F3D5E"/>
    <w:multiLevelType w:val="singleLevel"/>
    <w:tmpl w:val="C7F82CB4"/>
    <w:lvl w:ilvl="0">
      <w:start w:val="1"/>
      <w:numFmt w:val="decimal"/>
      <w:pStyle w:val="FOFNumbered"/>
      <w:lvlText w:val="%1."/>
      <w:lvlJc w:val="left"/>
      <w:pPr>
        <w:tabs>
          <w:tab w:val="num" w:pos="3240"/>
        </w:tabs>
        <w:ind w:left="3240" w:hanging="720"/>
      </w:pPr>
      <w:rPr>
        <w:rFonts w:hint="default"/>
      </w:r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5C782E"/>
    <w:multiLevelType w:val="hybridMultilevel"/>
    <w:tmpl w:val="BF8E4E8E"/>
    <w:lvl w:ilvl="0" w:tplc="E92607B0">
      <w:start w:val="1"/>
      <w:numFmt w:val="decimal"/>
      <w:pStyle w:val="OrderingParagraph"/>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F729AB"/>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55986CAC"/>
    <w:multiLevelType w:val="hybridMultilevel"/>
    <w:tmpl w:val="7A627D38"/>
    <w:lvl w:ilvl="0" w:tplc="F0F233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E3033DC"/>
    <w:multiLevelType w:val="multilevel"/>
    <w:tmpl w:val="9CC85556"/>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9731CB"/>
    <w:multiLevelType w:val="hybridMultilevel"/>
    <w:tmpl w:val="DBF032B0"/>
    <w:lvl w:ilvl="0" w:tplc="B016B7DA">
      <w:start w:val="6"/>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502CE1"/>
    <w:multiLevelType w:val="singleLevel"/>
    <w:tmpl w:val="1BF29ABA"/>
    <w:lvl w:ilvl="0">
      <w:start w:val="1"/>
      <w:numFmt w:val="decimal"/>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5"/>
  </w:num>
  <w:num w:numId="3">
    <w:abstractNumId w:val="1"/>
  </w:num>
  <w:num w:numId="4">
    <w:abstractNumId w:val="11"/>
  </w:num>
  <w:num w:numId="5">
    <w:abstractNumId w:val="5"/>
  </w:num>
  <w:num w:numId="6">
    <w:abstractNumId w:val="8"/>
  </w:num>
  <w:num w:numId="7">
    <w:abstractNumId w:val="10"/>
  </w:num>
  <w:num w:numId="8">
    <w:abstractNumId w:val="0"/>
  </w:num>
  <w:num w:numId="9">
    <w:abstractNumId w:val="7"/>
  </w:num>
  <w:num w:numId="10">
    <w:abstractNumId w:val="3"/>
  </w:num>
  <w:num w:numId="11">
    <w:abstractNumId w:val="4"/>
  </w:num>
  <w:num w:numId="12">
    <w:abstractNumId w:val="1"/>
  </w:num>
  <w:num w:numId="13">
    <w:abstractNumId w:val="9"/>
  </w:num>
  <w:num w:numId="14">
    <w:abstractNumId w:val="1"/>
    <w:lvlOverride w:ilvl="0">
      <w:startOverride w:val="13"/>
    </w:lvlOverride>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7E1"/>
    <w:rsid w:val="0000783C"/>
    <w:rsid w:val="000079A2"/>
    <w:rsid w:val="00010837"/>
    <w:rsid w:val="00012B47"/>
    <w:rsid w:val="00016302"/>
    <w:rsid w:val="000208AB"/>
    <w:rsid w:val="00021C17"/>
    <w:rsid w:val="00022915"/>
    <w:rsid w:val="00024678"/>
    <w:rsid w:val="00027DC9"/>
    <w:rsid w:val="00032E46"/>
    <w:rsid w:val="00033666"/>
    <w:rsid w:val="00044CB1"/>
    <w:rsid w:val="00050F59"/>
    <w:rsid w:val="0005291A"/>
    <w:rsid w:val="00055207"/>
    <w:rsid w:val="00065FFC"/>
    <w:rsid w:val="00073887"/>
    <w:rsid w:val="00077000"/>
    <w:rsid w:val="00077B08"/>
    <w:rsid w:val="000811D3"/>
    <w:rsid w:val="00081B6B"/>
    <w:rsid w:val="00086479"/>
    <w:rsid w:val="0009059D"/>
    <w:rsid w:val="00096D28"/>
    <w:rsid w:val="000A1A13"/>
    <w:rsid w:val="000A304B"/>
    <w:rsid w:val="000A6A0B"/>
    <w:rsid w:val="000A7000"/>
    <w:rsid w:val="000B00BC"/>
    <w:rsid w:val="000B59B1"/>
    <w:rsid w:val="000B77DE"/>
    <w:rsid w:val="000C3375"/>
    <w:rsid w:val="000D426B"/>
    <w:rsid w:val="000D4DC6"/>
    <w:rsid w:val="000D6810"/>
    <w:rsid w:val="000E45CD"/>
    <w:rsid w:val="000E5DBE"/>
    <w:rsid w:val="000F0D3E"/>
    <w:rsid w:val="000F5D1D"/>
    <w:rsid w:val="000F778A"/>
    <w:rsid w:val="001017F4"/>
    <w:rsid w:val="00102059"/>
    <w:rsid w:val="00107BD4"/>
    <w:rsid w:val="001169CA"/>
    <w:rsid w:val="001176BA"/>
    <w:rsid w:val="00123ACB"/>
    <w:rsid w:val="0013626B"/>
    <w:rsid w:val="00136EA9"/>
    <w:rsid w:val="001460D3"/>
    <w:rsid w:val="00147BD9"/>
    <w:rsid w:val="0015043B"/>
    <w:rsid w:val="001514D8"/>
    <w:rsid w:val="00156B5F"/>
    <w:rsid w:val="00160DCD"/>
    <w:rsid w:val="001613D7"/>
    <w:rsid w:val="001661B9"/>
    <w:rsid w:val="0017006B"/>
    <w:rsid w:val="0017009D"/>
    <w:rsid w:val="00171555"/>
    <w:rsid w:val="00171F94"/>
    <w:rsid w:val="00172A7F"/>
    <w:rsid w:val="001810FE"/>
    <w:rsid w:val="00181AD3"/>
    <w:rsid w:val="00182267"/>
    <w:rsid w:val="0018700E"/>
    <w:rsid w:val="00192340"/>
    <w:rsid w:val="00193EDE"/>
    <w:rsid w:val="001A09E3"/>
    <w:rsid w:val="001A27C9"/>
    <w:rsid w:val="001A372A"/>
    <w:rsid w:val="001A3DB1"/>
    <w:rsid w:val="001B6030"/>
    <w:rsid w:val="001B6B7C"/>
    <w:rsid w:val="001C340C"/>
    <w:rsid w:val="001D4BC6"/>
    <w:rsid w:val="001D4F4B"/>
    <w:rsid w:val="001D5562"/>
    <w:rsid w:val="001D5F47"/>
    <w:rsid w:val="001D6895"/>
    <w:rsid w:val="001E1982"/>
    <w:rsid w:val="001E360C"/>
    <w:rsid w:val="001E775C"/>
    <w:rsid w:val="001F05B7"/>
    <w:rsid w:val="00200084"/>
    <w:rsid w:val="002003F5"/>
    <w:rsid w:val="00202ED5"/>
    <w:rsid w:val="0020390D"/>
    <w:rsid w:val="002065F7"/>
    <w:rsid w:val="002070CF"/>
    <w:rsid w:val="00210350"/>
    <w:rsid w:val="00212BCE"/>
    <w:rsid w:val="00213FE1"/>
    <w:rsid w:val="00215CE2"/>
    <w:rsid w:val="00224787"/>
    <w:rsid w:val="00225AE9"/>
    <w:rsid w:val="00226F09"/>
    <w:rsid w:val="0023117E"/>
    <w:rsid w:val="00233FE0"/>
    <w:rsid w:val="00235E6E"/>
    <w:rsid w:val="00242C11"/>
    <w:rsid w:val="002442F5"/>
    <w:rsid w:val="002501A9"/>
    <w:rsid w:val="002610DD"/>
    <w:rsid w:val="00263A6E"/>
    <w:rsid w:val="00266DF3"/>
    <w:rsid w:val="00266F9F"/>
    <w:rsid w:val="002671F2"/>
    <w:rsid w:val="00270B8F"/>
    <w:rsid w:val="002718E0"/>
    <w:rsid w:val="0028022C"/>
    <w:rsid w:val="0028243C"/>
    <w:rsid w:val="00282E85"/>
    <w:rsid w:val="00282F54"/>
    <w:rsid w:val="00285653"/>
    <w:rsid w:val="00290D95"/>
    <w:rsid w:val="00295476"/>
    <w:rsid w:val="002977A2"/>
    <w:rsid w:val="002A3ECB"/>
    <w:rsid w:val="002A46C7"/>
    <w:rsid w:val="002A4BA5"/>
    <w:rsid w:val="002A4F22"/>
    <w:rsid w:val="002A6820"/>
    <w:rsid w:val="002B2887"/>
    <w:rsid w:val="002B5234"/>
    <w:rsid w:val="002B69E7"/>
    <w:rsid w:val="002C057E"/>
    <w:rsid w:val="002E29B1"/>
    <w:rsid w:val="002E6281"/>
    <w:rsid w:val="002F0959"/>
    <w:rsid w:val="002F43E4"/>
    <w:rsid w:val="0030351E"/>
    <w:rsid w:val="00310C0D"/>
    <w:rsid w:val="00312838"/>
    <w:rsid w:val="00313CF1"/>
    <w:rsid w:val="003160CC"/>
    <w:rsid w:val="003222B9"/>
    <w:rsid w:val="00324131"/>
    <w:rsid w:val="003259FD"/>
    <w:rsid w:val="00326300"/>
    <w:rsid w:val="00333B72"/>
    <w:rsid w:val="0033629E"/>
    <w:rsid w:val="00337243"/>
    <w:rsid w:val="00340821"/>
    <w:rsid w:val="00340903"/>
    <w:rsid w:val="00342263"/>
    <w:rsid w:val="00350373"/>
    <w:rsid w:val="00364994"/>
    <w:rsid w:val="00371434"/>
    <w:rsid w:val="003729E5"/>
    <w:rsid w:val="00373733"/>
    <w:rsid w:val="00374756"/>
    <w:rsid w:val="00376A15"/>
    <w:rsid w:val="0038391E"/>
    <w:rsid w:val="00393936"/>
    <w:rsid w:val="00393AA6"/>
    <w:rsid w:val="003A33F0"/>
    <w:rsid w:val="003A5240"/>
    <w:rsid w:val="003A5485"/>
    <w:rsid w:val="003A593E"/>
    <w:rsid w:val="003A6723"/>
    <w:rsid w:val="003A6E8C"/>
    <w:rsid w:val="003B0D6E"/>
    <w:rsid w:val="003B0FE3"/>
    <w:rsid w:val="003B323F"/>
    <w:rsid w:val="003B3FC7"/>
    <w:rsid w:val="003B43AB"/>
    <w:rsid w:val="003D184F"/>
    <w:rsid w:val="003D387A"/>
    <w:rsid w:val="003D5549"/>
    <w:rsid w:val="003E089B"/>
    <w:rsid w:val="003E0BB6"/>
    <w:rsid w:val="003E30D4"/>
    <w:rsid w:val="003E495B"/>
    <w:rsid w:val="003E5BEE"/>
    <w:rsid w:val="003E6ECB"/>
    <w:rsid w:val="003E7F05"/>
    <w:rsid w:val="003F23AF"/>
    <w:rsid w:val="003F2654"/>
    <w:rsid w:val="003F2803"/>
    <w:rsid w:val="003F778C"/>
    <w:rsid w:val="00401E27"/>
    <w:rsid w:val="004042A5"/>
    <w:rsid w:val="00406ED1"/>
    <w:rsid w:val="004113EF"/>
    <w:rsid w:val="004130CD"/>
    <w:rsid w:val="004153B9"/>
    <w:rsid w:val="00422071"/>
    <w:rsid w:val="004250CD"/>
    <w:rsid w:val="00433B5E"/>
    <w:rsid w:val="00433B79"/>
    <w:rsid w:val="00434D1B"/>
    <w:rsid w:val="00445357"/>
    <w:rsid w:val="00452AE4"/>
    <w:rsid w:val="00452B64"/>
    <w:rsid w:val="00455D72"/>
    <w:rsid w:val="00457232"/>
    <w:rsid w:val="00457BDF"/>
    <w:rsid w:val="00473195"/>
    <w:rsid w:val="00473738"/>
    <w:rsid w:val="00477C8E"/>
    <w:rsid w:val="004854A5"/>
    <w:rsid w:val="00490F41"/>
    <w:rsid w:val="00496386"/>
    <w:rsid w:val="004A3472"/>
    <w:rsid w:val="004A4AE1"/>
    <w:rsid w:val="004A4EEF"/>
    <w:rsid w:val="004B4923"/>
    <w:rsid w:val="004B6250"/>
    <w:rsid w:val="004C475D"/>
    <w:rsid w:val="004C66F5"/>
    <w:rsid w:val="004D28EC"/>
    <w:rsid w:val="004E082A"/>
    <w:rsid w:val="004E1254"/>
    <w:rsid w:val="004E6E30"/>
    <w:rsid w:val="004E741E"/>
    <w:rsid w:val="004F54EE"/>
    <w:rsid w:val="004F7D2E"/>
    <w:rsid w:val="005032E1"/>
    <w:rsid w:val="00504B34"/>
    <w:rsid w:val="005112D5"/>
    <w:rsid w:val="00514E8A"/>
    <w:rsid w:val="00517339"/>
    <w:rsid w:val="00520FDA"/>
    <w:rsid w:val="00522C8A"/>
    <w:rsid w:val="00522D5F"/>
    <w:rsid w:val="00525981"/>
    <w:rsid w:val="00533A5C"/>
    <w:rsid w:val="00537518"/>
    <w:rsid w:val="0054338E"/>
    <w:rsid w:val="005459D6"/>
    <w:rsid w:val="00546B43"/>
    <w:rsid w:val="00547669"/>
    <w:rsid w:val="005656EF"/>
    <w:rsid w:val="00566738"/>
    <w:rsid w:val="00567BAF"/>
    <w:rsid w:val="00570792"/>
    <w:rsid w:val="005736CA"/>
    <w:rsid w:val="00574CF5"/>
    <w:rsid w:val="0058354C"/>
    <w:rsid w:val="00583E44"/>
    <w:rsid w:val="00583ED5"/>
    <w:rsid w:val="005926A9"/>
    <w:rsid w:val="0059655D"/>
    <w:rsid w:val="005A23FE"/>
    <w:rsid w:val="005A4A82"/>
    <w:rsid w:val="005B0631"/>
    <w:rsid w:val="005B1E54"/>
    <w:rsid w:val="005B2C1D"/>
    <w:rsid w:val="005B554B"/>
    <w:rsid w:val="005B56E4"/>
    <w:rsid w:val="005C1919"/>
    <w:rsid w:val="005C3512"/>
    <w:rsid w:val="005C4026"/>
    <w:rsid w:val="005D0844"/>
    <w:rsid w:val="005D1AFA"/>
    <w:rsid w:val="005D4DC4"/>
    <w:rsid w:val="005D53CC"/>
    <w:rsid w:val="005D5A97"/>
    <w:rsid w:val="005D7FD8"/>
    <w:rsid w:val="005E3281"/>
    <w:rsid w:val="005E359A"/>
    <w:rsid w:val="005E64BD"/>
    <w:rsid w:val="005F0FA2"/>
    <w:rsid w:val="005F2BF9"/>
    <w:rsid w:val="00601D3E"/>
    <w:rsid w:val="00603BB1"/>
    <w:rsid w:val="006055CE"/>
    <w:rsid w:val="00612107"/>
    <w:rsid w:val="00613C94"/>
    <w:rsid w:val="006164DD"/>
    <w:rsid w:val="00616C86"/>
    <w:rsid w:val="0062202F"/>
    <w:rsid w:val="00623140"/>
    <w:rsid w:val="00623264"/>
    <w:rsid w:val="00623659"/>
    <w:rsid w:val="00623CA5"/>
    <w:rsid w:val="00627750"/>
    <w:rsid w:val="00630A5F"/>
    <w:rsid w:val="00634142"/>
    <w:rsid w:val="0064364B"/>
    <w:rsid w:val="006461E0"/>
    <w:rsid w:val="00646390"/>
    <w:rsid w:val="006477E1"/>
    <w:rsid w:val="00650418"/>
    <w:rsid w:val="00652422"/>
    <w:rsid w:val="00654EB0"/>
    <w:rsid w:val="00662A2F"/>
    <w:rsid w:val="00674BDE"/>
    <w:rsid w:val="00677B5E"/>
    <w:rsid w:val="006828CA"/>
    <w:rsid w:val="00682DE5"/>
    <w:rsid w:val="00694B59"/>
    <w:rsid w:val="006A4BAC"/>
    <w:rsid w:val="006A7569"/>
    <w:rsid w:val="006A7752"/>
    <w:rsid w:val="006A7FE9"/>
    <w:rsid w:val="006B2AC3"/>
    <w:rsid w:val="006B5DE9"/>
    <w:rsid w:val="006B5E69"/>
    <w:rsid w:val="006B741A"/>
    <w:rsid w:val="006C3B5D"/>
    <w:rsid w:val="006D10DA"/>
    <w:rsid w:val="006D2ADC"/>
    <w:rsid w:val="006D4047"/>
    <w:rsid w:val="006E2029"/>
    <w:rsid w:val="006E6CAC"/>
    <w:rsid w:val="006F0F10"/>
    <w:rsid w:val="006F24FC"/>
    <w:rsid w:val="006F33FA"/>
    <w:rsid w:val="006F6823"/>
    <w:rsid w:val="007011BD"/>
    <w:rsid w:val="00702C1B"/>
    <w:rsid w:val="00702D41"/>
    <w:rsid w:val="00703F63"/>
    <w:rsid w:val="00704939"/>
    <w:rsid w:val="00716BC4"/>
    <w:rsid w:val="0072247A"/>
    <w:rsid w:val="0072766F"/>
    <w:rsid w:val="00733D71"/>
    <w:rsid w:val="0073437C"/>
    <w:rsid w:val="00735E3D"/>
    <w:rsid w:val="00735F06"/>
    <w:rsid w:val="007457A9"/>
    <w:rsid w:val="00747EEE"/>
    <w:rsid w:val="007560BC"/>
    <w:rsid w:val="007572FC"/>
    <w:rsid w:val="00763E6C"/>
    <w:rsid w:val="00765551"/>
    <w:rsid w:val="007669A0"/>
    <w:rsid w:val="007805A1"/>
    <w:rsid w:val="00781C47"/>
    <w:rsid w:val="0078303D"/>
    <w:rsid w:val="0078479F"/>
    <w:rsid w:val="007932F3"/>
    <w:rsid w:val="007A087C"/>
    <w:rsid w:val="007A2DCF"/>
    <w:rsid w:val="007A3A8B"/>
    <w:rsid w:val="007A47E7"/>
    <w:rsid w:val="007A724E"/>
    <w:rsid w:val="007A7E16"/>
    <w:rsid w:val="007B08BF"/>
    <w:rsid w:val="007B154C"/>
    <w:rsid w:val="007B7FDD"/>
    <w:rsid w:val="007C1E82"/>
    <w:rsid w:val="007C49C1"/>
    <w:rsid w:val="007C5AEE"/>
    <w:rsid w:val="007C7C71"/>
    <w:rsid w:val="007D46EA"/>
    <w:rsid w:val="007D5045"/>
    <w:rsid w:val="007E215D"/>
    <w:rsid w:val="007E67CC"/>
    <w:rsid w:val="007F0932"/>
    <w:rsid w:val="007F2FB0"/>
    <w:rsid w:val="007F3D62"/>
    <w:rsid w:val="007F4594"/>
    <w:rsid w:val="007F4604"/>
    <w:rsid w:val="007F6CB8"/>
    <w:rsid w:val="0080046C"/>
    <w:rsid w:val="00812221"/>
    <w:rsid w:val="0081655C"/>
    <w:rsid w:val="00822A9D"/>
    <w:rsid w:val="00823B86"/>
    <w:rsid w:val="00823FA6"/>
    <w:rsid w:val="00825BF5"/>
    <w:rsid w:val="00826BF9"/>
    <w:rsid w:val="00830C0B"/>
    <w:rsid w:val="00834D55"/>
    <w:rsid w:val="00835761"/>
    <w:rsid w:val="00836730"/>
    <w:rsid w:val="00837BEA"/>
    <w:rsid w:val="00845E00"/>
    <w:rsid w:val="008474DA"/>
    <w:rsid w:val="00850B18"/>
    <w:rsid w:val="00852152"/>
    <w:rsid w:val="00856F59"/>
    <w:rsid w:val="00860DE5"/>
    <w:rsid w:val="008704A5"/>
    <w:rsid w:val="00872A8E"/>
    <w:rsid w:val="008738BF"/>
    <w:rsid w:val="00875715"/>
    <w:rsid w:val="00876B8E"/>
    <w:rsid w:val="0087705D"/>
    <w:rsid w:val="0087714E"/>
    <w:rsid w:val="008842F4"/>
    <w:rsid w:val="0088554E"/>
    <w:rsid w:val="008865D5"/>
    <w:rsid w:val="00887F4C"/>
    <w:rsid w:val="0089060F"/>
    <w:rsid w:val="00897CFB"/>
    <w:rsid w:val="008A4EF8"/>
    <w:rsid w:val="008B0C40"/>
    <w:rsid w:val="008B4385"/>
    <w:rsid w:val="008B7D12"/>
    <w:rsid w:val="008C032B"/>
    <w:rsid w:val="008C598F"/>
    <w:rsid w:val="008D11D4"/>
    <w:rsid w:val="008D1724"/>
    <w:rsid w:val="008D594B"/>
    <w:rsid w:val="008D626A"/>
    <w:rsid w:val="008D6D4B"/>
    <w:rsid w:val="008E07E2"/>
    <w:rsid w:val="008E0D94"/>
    <w:rsid w:val="008E329D"/>
    <w:rsid w:val="008E7854"/>
    <w:rsid w:val="008F05C7"/>
    <w:rsid w:val="008F07C8"/>
    <w:rsid w:val="0091277B"/>
    <w:rsid w:val="009131FC"/>
    <w:rsid w:val="00916357"/>
    <w:rsid w:val="0092118E"/>
    <w:rsid w:val="00921437"/>
    <w:rsid w:val="00921954"/>
    <w:rsid w:val="00924094"/>
    <w:rsid w:val="009246D9"/>
    <w:rsid w:val="00924C6C"/>
    <w:rsid w:val="009251A9"/>
    <w:rsid w:val="00927E6C"/>
    <w:rsid w:val="00932FED"/>
    <w:rsid w:val="009441CE"/>
    <w:rsid w:val="00944A10"/>
    <w:rsid w:val="00950323"/>
    <w:rsid w:val="0095034E"/>
    <w:rsid w:val="00954189"/>
    <w:rsid w:val="0095546C"/>
    <w:rsid w:val="00957AA7"/>
    <w:rsid w:val="00967E9C"/>
    <w:rsid w:val="009727E0"/>
    <w:rsid w:val="00974440"/>
    <w:rsid w:val="00984633"/>
    <w:rsid w:val="009907C1"/>
    <w:rsid w:val="009946CF"/>
    <w:rsid w:val="00995AA0"/>
    <w:rsid w:val="00995CF8"/>
    <w:rsid w:val="00996861"/>
    <w:rsid w:val="00996A7C"/>
    <w:rsid w:val="009A5792"/>
    <w:rsid w:val="009B0C73"/>
    <w:rsid w:val="009B2638"/>
    <w:rsid w:val="009B425A"/>
    <w:rsid w:val="009B5566"/>
    <w:rsid w:val="009B7A81"/>
    <w:rsid w:val="009C12C5"/>
    <w:rsid w:val="009C1919"/>
    <w:rsid w:val="009C3F1C"/>
    <w:rsid w:val="009C77B4"/>
    <w:rsid w:val="009D0B10"/>
    <w:rsid w:val="009D136F"/>
    <w:rsid w:val="009D1920"/>
    <w:rsid w:val="009E04C8"/>
    <w:rsid w:val="009E2168"/>
    <w:rsid w:val="009E7597"/>
    <w:rsid w:val="009F076C"/>
    <w:rsid w:val="009F1527"/>
    <w:rsid w:val="009F2760"/>
    <w:rsid w:val="009F457D"/>
    <w:rsid w:val="009F6A5E"/>
    <w:rsid w:val="009F71EC"/>
    <w:rsid w:val="00A0044A"/>
    <w:rsid w:val="00A02D5F"/>
    <w:rsid w:val="00A035EA"/>
    <w:rsid w:val="00A03974"/>
    <w:rsid w:val="00A05454"/>
    <w:rsid w:val="00A102F3"/>
    <w:rsid w:val="00A14F58"/>
    <w:rsid w:val="00A168C9"/>
    <w:rsid w:val="00A20C7A"/>
    <w:rsid w:val="00A22656"/>
    <w:rsid w:val="00A23DE9"/>
    <w:rsid w:val="00A248FE"/>
    <w:rsid w:val="00A30803"/>
    <w:rsid w:val="00A317CD"/>
    <w:rsid w:val="00A33A20"/>
    <w:rsid w:val="00A36E8F"/>
    <w:rsid w:val="00A37121"/>
    <w:rsid w:val="00A3762B"/>
    <w:rsid w:val="00A3791A"/>
    <w:rsid w:val="00A40475"/>
    <w:rsid w:val="00A406C1"/>
    <w:rsid w:val="00A40798"/>
    <w:rsid w:val="00A4492B"/>
    <w:rsid w:val="00A47D5F"/>
    <w:rsid w:val="00A47EEE"/>
    <w:rsid w:val="00A5246D"/>
    <w:rsid w:val="00A54E08"/>
    <w:rsid w:val="00A54E66"/>
    <w:rsid w:val="00A65095"/>
    <w:rsid w:val="00A65F4D"/>
    <w:rsid w:val="00A73D92"/>
    <w:rsid w:val="00A73E6C"/>
    <w:rsid w:val="00A746DF"/>
    <w:rsid w:val="00A75B79"/>
    <w:rsid w:val="00A77926"/>
    <w:rsid w:val="00A77955"/>
    <w:rsid w:val="00A803B5"/>
    <w:rsid w:val="00A80D60"/>
    <w:rsid w:val="00A82AB0"/>
    <w:rsid w:val="00A83064"/>
    <w:rsid w:val="00A84311"/>
    <w:rsid w:val="00A845BB"/>
    <w:rsid w:val="00A9344F"/>
    <w:rsid w:val="00AA13A9"/>
    <w:rsid w:val="00AA1A78"/>
    <w:rsid w:val="00AA26C6"/>
    <w:rsid w:val="00AA2A39"/>
    <w:rsid w:val="00AA427E"/>
    <w:rsid w:val="00AA6218"/>
    <w:rsid w:val="00AA7588"/>
    <w:rsid w:val="00AB32E4"/>
    <w:rsid w:val="00AB39BF"/>
    <w:rsid w:val="00AB3E93"/>
    <w:rsid w:val="00AB57FF"/>
    <w:rsid w:val="00AC2396"/>
    <w:rsid w:val="00AC243B"/>
    <w:rsid w:val="00AC28E8"/>
    <w:rsid w:val="00AC4ADD"/>
    <w:rsid w:val="00AC56FC"/>
    <w:rsid w:val="00AC63CE"/>
    <w:rsid w:val="00AC7933"/>
    <w:rsid w:val="00AC7A54"/>
    <w:rsid w:val="00AD08A1"/>
    <w:rsid w:val="00AD19F4"/>
    <w:rsid w:val="00AD1E6F"/>
    <w:rsid w:val="00AE1E22"/>
    <w:rsid w:val="00AE2C41"/>
    <w:rsid w:val="00AE793D"/>
    <w:rsid w:val="00AE7A46"/>
    <w:rsid w:val="00B0002E"/>
    <w:rsid w:val="00B00747"/>
    <w:rsid w:val="00B023FD"/>
    <w:rsid w:val="00B02ACE"/>
    <w:rsid w:val="00B121BA"/>
    <w:rsid w:val="00B12D83"/>
    <w:rsid w:val="00B14960"/>
    <w:rsid w:val="00B153A0"/>
    <w:rsid w:val="00B1656F"/>
    <w:rsid w:val="00B165F6"/>
    <w:rsid w:val="00B17BBE"/>
    <w:rsid w:val="00B22348"/>
    <w:rsid w:val="00B31C59"/>
    <w:rsid w:val="00B32C04"/>
    <w:rsid w:val="00B423B2"/>
    <w:rsid w:val="00B423EA"/>
    <w:rsid w:val="00B43ECE"/>
    <w:rsid w:val="00B455F1"/>
    <w:rsid w:val="00B4735F"/>
    <w:rsid w:val="00B500AE"/>
    <w:rsid w:val="00B500C3"/>
    <w:rsid w:val="00B5042F"/>
    <w:rsid w:val="00B50ECD"/>
    <w:rsid w:val="00B514D1"/>
    <w:rsid w:val="00B55851"/>
    <w:rsid w:val="00B64E28"/>
    <w:rsid w:val="00B65091"/>
    <w:rsid w:val="00B659FE"/>
    <w:rsid w:val="00B70BCC"/>
    <w:rsid w:val="00B71CA8"/>
    <w:rsid w:val="00B71EEC"/>
    <w:rsid w:val="00B77407"/>
    <w:rsid w:val="00B85D1E"/>
    <w:rsid w:val="00B943E9"/>
    <w:rsid w:val="00B94E74"/>
    <w:rsid w:val="00B97B14"/>
    <w:rsid w:val="00BA6A7F"/>
    <w:rsid w:val="00BC3B23"/>
    <w:rsid w:val="00BC3C27"/>
    <w:rsid w:val="00BE375A"/>
    <w:rsid w:val="00BE3FEF"/>
    <w:rsid w:val="00BF2F33"/>
    <w:rsid w:val="00BF3F26"/>
    <w:rsid w:val="00BF4ED5"/>
    <w:rsid w:val="00BF6C51"/>
    <w:rsid w:val="00BF77C6"/>
    <w:rsid w:val="00C01AE4"/>
    <w:rsid w:val="00C025CC"/>
    <w:rsid w:val="00C02FA4"/>
    <w:rsid w:val="00C0527E"/>
    <w:rsid w:val="00C06705"/>
    <w:rsid w:val="00C106EF"/>
    <w:rsid w:val="00C12916"/>
    <w:rsid w:val="00C1359F"/>
    <w:rsid w:val="00C146BB"/>
    <w:rsid w:val="00C15F6F"/>
    <w:rsid w:val="00C220E7"/>
    <w:rsid w:val="00C25308"/>
    <w:rsid w:val="00C26C81"/>
    <w:rsid w:val="00C27CF1"/>
    <w:rsid w:val="00C31690"/>
    <w:rsid w:val="00C343AF"/>
    <w:rsid w:val="00C3667B"/>
    <w:rsid w:val="00C37F35"/>
    <w:rsid w:val="00C41D30"/>
    <w:rsid w:val="00C42FD6"/>
    <w:rsid w:val="00C45806"/>
    <w:rsid w:val="00C542B4"/>
    <w:rsid w:val="00C54659"/>
    <w:rsid w:val="00C57D13"/>
    <w:rsid w:val="00C674E7"/>
    <w:rsid w:val="00C67ABF"/>
    <w:rsid w:val="00C775B3"/>
    <w:rsid w:val="00C812C3"/>
    <w:rsid w:val="00C81B05"/>
    <w:rsid w:val="00C82D06"/>
    <w:rsid w:val="00C83EA6"/>
    <w:rsid w:val="00C913C8"/>
    <w:rsid w:val="00CA1FB5"/>
    <w:rsid w:val="00CA3041"/>
    <w:rsid w:val="00CA4EC3"/>
    <w:rsid w:val="00CB324E"/>
    <w:rsid w:val="00CB468B"/>
    <w:rsid w:val="00CB76B8"/>
    <w:rsid w:val="00CC01E7"/>
    <w:rsid w:val="00CC52EA"/>
    <w:rsid w:val="00CD3007"/>
    <w:rsid w:val="00CD4069"/>
    <w:rsid w:val="00CD499B"/>
    <w:rsid w:val="00CD7563"/>
    <w:rsid w:val="00CD7CCB"/>
    <w:rsid w:val="00CE4908"/>
    <w:rsid w:val="00CE5467"/>
    <w:rsid w:val="00CF25F6"/>
    <w:rsid w:val="00D017AD"/>
    <w:rsid w:val="00D01870"/>
    <w:rsid w:val="00D01BB7"/>
    <w:rsid w:val="00D03394"/>
    <w:rsid w:val="00D03A58"/>
    <w:rsid w:val="00D03B18"/>
    <w:rsid w:val="00D041BE"/>
    <w:rsid w:val="00D051F9"/>
    <w:rsid w:val="00D10F7D"/>
    <w:rsid w:val="00D1503F"/>
    <w:rsid w:val="00D242FC"/>
    <w:rsid w:val="00D24AA3"/>
    <w:rsid w:val="00D260EE"/>
    <w:rsid w:val="00D261C1"/>
    <w:rsid w:val="00D26931"/>
    <w:rsid w:val="00D3040F"/>
    <w:rsid w:val="00D3180E"/>
    <w:rsid w:val="00D32CB1"/>
    <w:rsid w:val="00D35032"/>
    <w:rsid w:val="00D435BC"/>
    <w:rsid w:val="00D451DC"/>
    <w:rsid w:val="00D5536F"/>
    <w:rsid w:val="00D55FAE"/>
    <w:rsid w:val="00D57E93"/>
    <w:rsid w:val="00D60FF2"/>
    <w:rsid w:val="00D62A1F"/>
    <w:rsid w:val="00D63EBC"/>
    <w:rsid w:val="00D66903"/>
    <w:rsid w:val="00D675DD"/>
    <w:rsid w:val="00D706B4"/>
    <w:rsid w:val="00D76427"/>
    <w:rsid w:val="00D91DA4"/>
    <w:rsid w:val="00D92613"/>
    <w:rsid w:val="00D9418B"/>
    <w:rsid w:val="00D97061"/>
    <w:rsid w:val="00D971D4"/>
    <w:rsid w:val="00DA731C"/>
    <w:rsid w:val="00DA798F"/>
    <w:rsid w:val="00DB1953"/>
    <w:rsid w:val="00DB45E1"/>
    <w:rsid w:val="00DC2218"/>
    <w:rsid w:val="00DC2C98"/>
    <w:rsid w:val="00DC3E65"/>
    <w:rsid w:val="00DD48F1"/>
    <w:rsid w:val="00DE1244"/>
    <w:rsid w:val="00DE43A9"/>
    <w:rsid w:val="00DE5574"/>
    <w:rsid w:val="00DF05BE"/>
    <w:rsid w:val="00DF3122"/>
    <w:rsid w:val="00DF374F"/>
    <w:rsid w:val="00DF3D02"/>
    <w:rsid w:val="00DF421E"/>
    <w:rsid w:val="00DF65C8"/>
    <w:rsid w:val="00E016E2"/>
    <w:rsid w:val="00E02C0B"/>
    <w:rsid w:val="00E13C61"/>
    <w:rsid w:val="00E14AD1"/>
    <w:rsid w:val="00E25D5E"/>
    <w:rsid w:val="00E270A9"/>
    <w:rsid w:val="00E3297A"/>
    <w:rsid w:val="00E345EB"/>
    <w:rsid w:val="00E456F3"/>
    <w:rsid w:val="00E60161"/>
    <w:rsid w:val="00E60DEE"/>
    <w:rsid w:val="00E61741"/>
    <w:rsid w:val="00E62EFA"/>
    <w:rsid w:val="00E63CB8"/>
    <w:rsid w:val="00E66B16"/>
    <w:rsid w:val="00E72D30"/>
    <w:rsid w:val="00E766BF"/>
    <w:rsid w:val="00E81C6F"/>
    <w:rsid w:val="00E83082"/>
    <w:rsid w:val="00E87AC3"/>
    <w:rsid w:val="00E91D4A"/>
    <w:rsid w:val="00E95751"/>
    <w:rsid w:val="00EA1EDC"/>
    <w:rsid w:val="00EA2430"/>
    <w:rsid w:val="00EA36D4"/>
    <w:rsid w:val="00EA74F5"/>
    <w:rsid w:val="00EB3BA0"/>
    <w:rsid w:val="00EB3FB6"/>
    <w:rsid w:val="00EC48E4"/>
    <w:rsid w:val="00ED04FC"/>
    <w:rsid w:val="00ED09CE"/>
    <w:rsid w:val="00ED330E"/>
    <w:rsid w:val="00ED4DFF"/>
    <w:rsid w:val="00EE5DDA"/>
    <w:rsid w:val="00EE7645"/>
    <w:rsid w:val="00EF091C"/>
    <w:rsid w:val="00EF0CFC"/>
    <w:rsid w:val="00EF3E53"/>
    <w:rsid w:val="00F01560"/>
    <w:rsid w:val="00F050E9"/>
    <w:rsid w:val="00F0763E"/>
    <w:rsid w:val="00F07964"/>
    <w:rsid w:val="00F11B34"/>
    <w:rsid w:val="00F30EFD"/>
    <w:rsid w:val="00F33AEE"/>
    <w:rsid w:val="00F42823"/>
    <w:rsid w:val="00F429F5"/>
    <w:rsid w:val="00F45149"/>
    <w:rsid w:val="00F531FC"/>
    <w:rsid w:val="00F532A5"/>
    <w:rsid w:val="00F53A4D"/>
    <w:rsid w:val="00F60737"/>
    <w:rsid w:val="00F67F1B"/>
    <w:rsid w:val="00F70E3F"/>
    <w:rsid w:val="00F72006"/>
    <w:rsid w:val="00F73859"/>
    <w:rsid w:val="00F73A46"/>
    <w:rsid w:val="00F7515B"/>
    <w:rsid w:val="00F7782B"/>
    <w:rsid w:val="00F87E9A"/>
    <w:rsid w:val="00F920EB"/>
    <w:rsid w:val="00F94C04"/>
    <w:rsid w:val="00F95D67"/>
    <w:rsid w:val="00F97F91"/>
    <w:rsid w:val="00FA1E83"/>
    <w:rsid w:val="00FA347D"/>
    <w:rsid w:val="00FA3764"/>
    <w:rsid w:val="00FA5FF1"/>
    <w:rsid w:val="00FB1690"/>
    <w:rsid w:val="00FB2A10"/>
    <w:rsid w:val="00FB412C"/>
    <w:rsid w:val="00FB6F74"/>
    <w:rsid w:val="00FC58B0"/>
    <w:rsid w:val="00FC6704"/>
    <w:rsid w:val="00FD052A"/>
    <w:rsid w:val="00FD1227"/>
    <w:rsid w:val="00FD5867"/>
    <w:rsid w:val="00FE17AA"/>
    <w:rsid w:val="00FE41C3"/>
    <w:rsid w:val="00FE4318"/>
    <w:rsid w:val="00FE4480"/>
    <w:rsid w:val="00FF1474"/>
    <w:rsid w:val="00FF1816"/>
    <w:rsid w:val="00FF255F"/>
    <w:rsid w:val="00FF4271"/>
    <w:rsid w:val="00FF5E09"/>
    <w:rsid w:val="00FF6D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78CB3D1"/>
  <w15:chartTrackingRefBased/>
  <w15:docId w15:val="{639499D9-03F5-4F23-BD4D-B98A7B5D8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tabs>
        <w:tab w:val="clear" w:pos="3240"/>
        <w:tab w:val="num" w:pos="720"/>
      </w:tabs>
      <w:ind w:left="720"/>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B02ACE"/>
    <w:pPr>
      <w:spacing w:after="120"/>
      <w:ind w:firstLine="720"/>
    </w:pPr>
    <w:rPr>
      <w:sz w:val="20"/>
      <w:szCs w:val="20"/>
    </w:rPr>
  </w:style>
  <w:style w:type="character" w:customStyle="1" w:styleId="FootnoteTextChar">
    <w:name w:val="Footnote Text Char"/>
    <w:basedOn w:val="DefaultParagraphFont"/>
    <w:link w:val="FootnoteText"/>
    <w:rsid w:val="00B02ACE"/>
    <w:rPr>
      <w:sz w:val="20"/>
      <w:szCs w:val="20"/>
    </w:rPr>
  </w:style>
  <w:style w:type="character" w:styleId="FootnoteReference">
    <w:name w:val="footnote reference"/>
    <w:aliases w:val="fr,o,Style 3,FR,(NECG) Footnote Reference,Appel note de bas de p"/>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10"/>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table" w:customStyle="1" w:styleId="TableGrid1">
    <w:name w:val="Table Grid1"/>
    <w:basedOn w:val="TableNormal"/>
    <w:next w:val="TableGrid"/>
    <w:rsid w:val="00AC7A54"/>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83EA6"/>
    <w:rPr>
      <w:sz w:val="16"/>
      <w:szCs w:val="16"/>
    </w:rPr>
  </w:style>
  <w:style w:type="paragraph" w:styleId="CommentText">
    <w:name w:val="annotation text"/>
    <w:basedOn w:val="Normal"/>
    <w:link w:val="CommentTextChar"/>
    <w:uiPriority w:val="99"/>
    <w:semiHidden/>
    <w:unhideWhenUsed/>
    <w:rsid w:val="00C83EA6"/>
    <w:rPr>
      <w:sz w:val="20"/>
      <w:szCs w:val="20"/>
    </w:rPr>
  </w:style>
  <w:style w:type="character" w:customStyle="1" w:styleId="CommentTextChar">
    <w:name w:val="Comment Text Char"/>
    <w:basedOn w:val="DefaultParagraphFont"/>
    <w:link w:val="CommentText"/>
    <w:uiPriority w:val="99"/>
    <w:semiHidden/>
    <w:rsid w:val="00C83EA6"/>
    <w:rPr>
      <w:sz w:val="20"/>
      <w:szCs w:val="20"/>
    </w:rPr>
  </w:style>
  <w:style w:type="paragraph" w:styleId="CommentSubject">
    <w:name w:val="annotation subject"/>
    <w:basedOn w:val="CommentText"/>
    <w:next w:val="CommentText"/>
    <w:link w:val="CommentSubjectChar"/>
    <w:uiPriority w:val="99"/>
    <w:semiHidden/>
    <w:unhideWhenUsed/>
    <w:rsid w:val="00C83EA6"/>
    <w:rPr>
      <w:b/>
      <w:bCs/>
    </w:rPr>
  </w:style>
  <w:style w:type="character" w:customStyle="1" w:styleId="CommentSubjectChar">
    <w:name w:val="Comment Subject Char"/>
    <w:basedOn w:val="CommentTextChar"/>
    <w:link w:val="CommentSubject"/>
    <w:uiPriority w:val="99"/>
    <w:semiHidden/>
    <w:rsid w:val="00C83EA6"/>
    <w:rPr>
      <w:b/>
      <w:bCs/>
      <w:sz w:val="20"/>
      <w:szCs w:val="20"/>
    </w:rPr>
  </w:style>
  <w:style w:type="paragraph" w:styleId="Revision">
    <w:name w:val="Revision"/>
    <w:hidden/>
    <w:uiPriority w:val="99"/>
    <w:semiHidden/>
    <w:rsid w:val="00D26931"/>
    <w:pPr>
      <w:spacing w:after="0" w:line="240" w:lineRule="auto"/>
    </w:pPr>
  </w:style>
  <w:style w:type="paragraph" w:styleId="ListParagraph">
    <w:name w:val="List Paragraph"/>
    <w:basedOn w:val="Normal"/>
    <w:uiPriority w:val="34"/>
    <w:unhideWhenUsed/>
    <w:qFormat/>
    <w:rsid w:val="00F920EB"/>
    <w:pPr>
      <w:ind w:left="720"/>
      <w:contextualSpacing/>
    </w:pPr>
  </w:style>
  <w:style w:type="character" w:styleId="PlaceholderText">
    <w:name w:val="Placeholder Text"/>
    <w:basedOn w:val="DefaultParagraphFont"/>
    <w:uiPriority w:val="99"/>
    <w:semiHidden/>
    <w:rsid w:val="00517339"/>
    <w:rPr>
      <w:color w:val="808080"/>
    </w:rPr>
  </w:style>
  <w:style w:type="paragraph" w:customStyle="1" w:styleId="FilePath">
    <w:name w:val="File Path"/>
    <w:basedOn w:val="Normal"/>
    <w:link w:val="FilePathChar"/>
    <w:qFormat/>
    <w:rsid w:val="0087705D"/>
    <w:pPr>
      <w:spacing w:before="120"/>
      <w:jc w:val="both"/>
    </w:pPr>
    <w:rPr>
      <w:rFonts w:eastAsia="Times New Roman"/>
      <w:sz w:val="16"/>
      <w:szCs w:val="20"/>
      <w:lang w:eastAsia="zh-TW"/>
    </w:rPr>
  </w:style>
  <w:style w:type="character" w:customStyle="1" w:styleId="FilePathChar">
    <w:name w:val="File Path Char"/>
    <w:basedOn w:val="DefaultParagraphFont"/>
    <w:link w:val="FilePath"/>
    <w:rsid w:val="0087705D"/>
    <w:rPr>
      <w:rFonts w:eastAsia="Times New Roman"/>
      <w:sz w:val="16"/>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96724-BEE4-4180-A422-ED2E318CF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order2013(wd'ab)</Template>
  <TotalTime>834</TotalTime>
  <Pages>16</Pages>
  <Words>4231</Words>
  <Characters>24119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Wharton, Laurie</cp:lastModifiedBy>
  <cp:revision>333</cp:revision>
  <cp:lastPrinted>2019-09-20T17:38:00Z</cp:lastPrinted>
  <dcterms:created xsi:type="dcterms:W3CDTF">2019-08-22T13:55:00Z</dcterms:created>
  <dcterms:modified xsi:type="dcterms:W3CDTF">2019-09-20T19:53:00Z</dcterms:modified>
</cp:coreProperties>
</file>