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0F1" w:rsidRPr="009731A3" w:rsidRDefault="0050539B" w:rsidP="00F15140">
      <w:pPr>
        <w:jc w:val="center"/>
        <w:rPr>
          <w:b/>
          <w:szCs w:val="24"/>
        </w:rPr>
      </w:pPr>
      <w:r w:rsidRPr="009731A3">
        <w:rPr>
          <w:b/>
          <w:szCs w:val="24"/>
        </w:rPr>
        <w:t xml:space="preserve">DOCKET </w:t>
      </w:r>
      <w:r w:rsidR="001061FB" w:rsidRPr="009731A3">
        <w:rPr>
          <w:b/>
          <w:szCs w:val="24"/>
        </w:rPr>
        <w:t xml:space="preserve">NO. </w:t>
      </w:r>
      <w:r w:rsidR="00F27DB2">
        <w:rPr>
          <w:b/>
          <w:szCs w:val="24"/>
        </w:rPr>
        <w:t>49421</w:t>
      </w:r>
    </w:p>
    <w:p w:rsidR="00AE00F1" w:rsidRPr="009731A3" w:rsidRDefault="00AE00F1" w:rsidP="00F4482E">
      <w:pPr>
        <w:rPr>
          <w:b/>
          <w:szCs w:val="24"/>
        </w:rPr>
      </w:pPr>
    </w:p>
    <w:tbl>
      <w:tblPr>
        <w:tblW w:w="928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500"/>
        <w:gridCol w:w="472"/>
        <w:gridCol w:w="4311"/>
      </w:tblGrid>
      <w:tr w:rsidR="00AE00F1" w:rsidRPr="009731A3" w:rsidTr="00F66DC6">
        <w:trPr>
          <w:trHeight w:val="1161"/>
        </w:trPr>
        <w:tc>
          <w:tcPr>
            <w:tcW w:w="4500" w:type="dxa"/>
          </w:tcPr>
          <w:p w:rsidR="00AE00F1" w:rsidRPr="009731A3" w:rsidRDefault="00F27DB2" w:rsidP="00350F4B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APPLICATION OF CENTERPOINT ENERGY HOUSTON ELECTRIC, LLC FOR AUTHORITY TO CHANGE RATES</w:t>
            </w:r>
          </w:p>
        </w:tc>
        <w:tc>
          <w:tcPr>
            <w:tcW w:w="472" w:type="dxa"/>
          </w:tcPr>
          <w:p w:rsidR="00AE00F1" w:rsidRPr="009731A3" w:rsidRDefault="0050539B" w:rsidP="00F4482E">
            <w:pPr>
              <w:rPr>
                <w:b/>
                <w:szCs w:val="24"/>
              </w:rPr>
            </w:pPr>
            <w:r w:rsidRPr="009731A3">
              <w:rPr>
                <w:b/>
                <w:szCs w:val="24"/>
              </w:rPr>
              <w:t>§</w:t>
            </w:r>
          </w:p>
          <w:p w:rsidR="00AE00F1" w:rsidRPr="009731A3" w:rsidRDefault="00AE00F1" w:rsidP="00F4482E">
            <w:pPr>
              <w:rPr>
                <w:b/>
                <w:szCs w:val="24"/>
              </w:rPr>
            </w:pPr>
            <w:r w:rsidRPr="009731A3">
              <w:rPr>
                <w:b/>
                <w:szCs w:val="24"/>
              </w:rPr>
              <w:t>§</w:t>
            </w:r>
          </w:p>
          <w:p w:rsidR="00AE00F1" w:rsidRPr="009731A3" w:rsidRDefault="00AE00F1" w:rsidP="00F4482E">
            <w:pPr>
              <w:rPr>
                <w:b/>
                <w:szCs w:val="24"/>
              </w:rPr>
            </w:pPr>
            <w:r w:rsidRPr="009731A3">
              <w:rPr>
                <w:b/>
                <w:szCs w:val="24"/>
              </w:rPr>
              <w:t>§</w:t>
            </w:r>
          </w:p>
          <w:p w:rsidR="00E64F3E" w:rsidRPr="009731A3" w:rsidRDefault="009731A3" w:rsidP="00F4482E">
            <w:pPr>
              <w:rPr>
                <w:b/>
                <w:szCs w:val="24"/>
              </w:rPr>
            </w:pPr>
            <w:r w:rsidRPr="009731A3">
              <w:rPr>
                <w:b/>
                <w:szCs w:val="24"/>
              </w:rPr>
              <w:t>§</w:t>
            </w:r>
          </w:p>
        </w:tc>
        <w:tc>
          <w:tcPr>
            <w:tcW w:w="4311" w:type="dxa"/>
          </w:tcPr>
          <w:p w:rsidR="00B03D06" w:rsidRDefault="00AE00F1" w:rsidP="00F4482E">
            <w:pPr>
              <w:rPr>
                <w:b/>
                <w:szCs w:val="24"/>
              </w:rPr>
            </w:pPr>
            <w:r w:rsidRPr="009731A3">
              <w:rPr>
                <w:b/>
                <w:szCs w:val="24"/>
              </w:rPr>
              <w:t>PUBLIC UTILITY COMMISSION</w:t>
            </w:r>
          </w:p>
          <w:p w:rsidR="00B03D06" w:rsidRDefault="00B03D06" w:rsidP="00F4482E">
            <w:pPr>
              <w:rPr>
                <w:b/>
                <w:szCs w:val="24"/>
              </w:rPr>
            </w:pPr>
          </w:p>
          <w:p w:rsidR="00AE00F1" w:rsidRPr="009731A3" w:rsidRDefault="00495C29" w:rsidP="00F4482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        </w:t>
            </w:r>
            <w:r w:rsidR="00AE00F1" w:rsidRPr="009731A3">
              <w:rPr>
                <w:b/>
                <w:szCs w:val="24"/>
              </w:rPr>
              <w:t>OF TEXAS</w:t>
            </w:r>
          </w:p>
        </w:tc>
      </w:tr>
    </w:tbl>
    <w:p w:rsidR="00AE00F1" w:rsidRPr="009731A3" w:rsidRDefault="001061FB" w:rsidP="00F66DC6">
      <w:pPr>
        <w:tabs>
          <w:tab w:val="left" w:pos="2970"/>
        </w:tabs>
        <w:spacing w:before="480"/>
        <w:jc w:val="center"/>
        <w:rPr>
          <w:b/>
          <w:caps/>
          <w:szCs w:val="24"/>
        </w:rPr>
      </w:pPr>
      <w:r w:rsidRPr="009731A3">
        <w:rPr>
          <w:b/>
          <w:caps/>
          <w:szCs w:val="24"/>
        </w:rPr>
        <w:t xml:space="preserve">ORDER NO. </w:t>
      </w:r>
      <w:r w:rsidR="0060768E">
        <w:rPr>
          <w:b/>
          <w:caps/>
          <w:szCs w:val="24"/>
        </w:rPr>
        <w:t>1</w:t>
      </w:r>
    </w:p>
    <w:p w:rsidR="00181961" w:rsidRDefault="00B32F92" w:rsidP="00B32F92">
      <w:pPr>
        <w:jc w:val="center"/>
        <w:rPr>
          <w:rFonts w:ascii="Times New Roman Bold" w:eastAsiaTheme="majorEastAsia" w:hAnsi="Times New Roman Bold"/>
          <w:b/>
          <w:caps/>
          <w:snapToGrid w:val="0"/>
          <w:szCs w:val="24"/>
        </w:rPr>
      </w:pPr>
      <w:r>
        <w:rPr>
          <w:rFonts w:ascii="Times New Roman Bold" w:eastAsiaTheme="majorEastAsia" w:hAnsi="Times New Roman Bold"/>
          <w:b/>
          <w:caps/>
          <w:snapToGrid w:val="0"/>
          <w:szCs w:val="24"/>
        </w:rPr>
        <w:t>suspending effective date and</w:t>
      </w:r>
    </w:p>
    <w:p w:rsidR="00B32F92" w:rsidRPr="00C2071F" w:rsidRDefault="00B32F92" w:rsidP="00C2071F">
      <w:pPr>
        <w:spacing w:after="360"/>
        <w:jc w:val="center"/>
        <w:rPr>
          <w:b/>
          <w:caps/>
          <w:szCs w:val="24"/>
        </w:rPr>
      </w:pPr>
      <w:r>
        <w:rPr>
          <w:rFonts w:ascii="Times New Roman Bold" w:eastAsiaTheme="majorEastAsia" w:hAnsi="Times New Roman Bold"/>
          <w:b/>
          <w:caps/>
          <w:snapToGrid w:val="0"/>
          <w:szCs w:val="24"/>
        </w:rPr>
        <w:t>entering protective order</w:t>
      </w:r>
    </w:p>
    <w:p w:rsidR="00517DBF" w:rsidRPr="00517DBF" w:rsidRDefault="00517DBF" w:rsidP="00517DBF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I.</w:t>
      </w:r>
      <w:r>
        <w:rPr>
          <w:b/>
        </w:rPr>
        <w:tab/>
        <w:t>Statement of Intent and Application</w:t>
      </w:r>
    </w:p>
    <w:p w:rsidR="00517DBF" w:rsidRDefault="00181961" w:rsidP="00517DBF">
      <w:pPr>
        <w:autoSpaceDE w:val="0"/>
        <w:autoSpaceDN w:val="0"/>
        <w:adjustRightInd w:val="0"/>
        <w:spacing w:line="360" w:lineRule="auto"/>
        <w:ind w:firstLine="720"/>
      </w:pPr>
      <w:r w:rsidRPr="005E30FC">
        <w:t xml:space="preserve">On </w:t>
      </w:r>
      <w:r w:rsidR="00B32F92">
        <w:t xml:space="preserve">April 5, 2019, CenterPoint Energy Houston Electric, LLC filed a statement of intent and application to change rates.  </w:t>
      </w:r>
      <w:r w:rsidR="00484FAC">
        <w:t xml:space="preserve">According to CenterPoint, the </w:t>
      </w:r>
      <w:r w:rsidR="00B32F92">
        <w:t xml:space="preserve">application </w:t>
      </w:r>
      <w:r w:rsidR="00484FAC">
        <w:t xml:space="preserve">will </w:t>
      </w:r>
      <w:r w:rsidR="00B32F92">
        <w:t>affect</w:t>
      </w:r>
      <w:r w:rsidR="00484FAC">
        <w:t>:</w:t>
      </w:r>
      <w:r w:rsidR="00B32F92">
        <w:t xml:space="preserve"> (1)</w:t>
      </w:r>
      <w:r w:rsidR="00484FAC">
        <w:t> </w:t>
      </w:r>
      <w:r w:rsidR="00B32F92">
        <w:t xml:space="preserve">all retail electric providers </w:t>
      </w:r>
      <w:r w:rsidR="00484FAC">
        <w:t xml:space="preserve">(REPs) </w:t>
      </w:r>
      <w:r w:rsidR="00B32F92">
        <w:t>serving end</w:t>
      </w:r>
      <w:r w:rsidR="00B32F92">
        <w:noBreakHyphen/>
        <w:t xml:space="preserve">use retail electric customers in </w:t>
      </w:r>
      <w:r w:rsidR="00484FAC">
        <w:t xml:space="preserve">CenterPoint’s </w:t>
      </w:r>
      <w:r w:rsidR="00B32F92">
        <w:t xml:space="preserve">certificated service territory and their retail electric customers to the extent </w:t>
      </w:r>
      <w:r w:rsidR="00484FAC">
        <w:t>the REPs</w:t>
      </w:r>
      <w:r w:rsidR="00B32F92">
        <w:t xml:space="preserve"> pass along </w:t>
      </w:r>
      <w:r w:rsidR="00484FAC">
        <w:t xml:space="preserve">those charges under CenterPoint’s </w:t>
      </w:r>
      <w:r w:rsidR="00B32F92">
        <w:t>tariff for retail delivery service</w:t>
      </w:r>
      <w:r w:rsidR="00517DBF">
        <w:t>;</w:t>
      </w:r>
      <w:r w:rsidR="00B32F92">
        <w:t xml:space="preserve"> and </w:t>
      </w:r>
      <w:r w:rsidR="00517DBF">
        <w:t xml:space="preserve">(2) </w:t>
      </w:r>
      <w:r w:rsidR="00B32F92">
        <w:t xml:space="preserve">all customers under CenterPoint’s tariff for wholesale transmission service.  </w:t>
      </w:r>
    </w:p>
    <w:p w:rsidR="00517DBF" w:rsidRDefault="00B32F92" w:rsidP="00517DBF">
      <w:pPr>
        <w:autoSpaceDE w:val="0"/>
        <w:autoSpaceDN w:val="0"/>
        <w:adjustRightInd w:val="0"/>
        <w:spacing w:before="120" w:line="360" w:lineRule="auto"/>
        <w:ind w:firstLine="720"/>
        <w:rPr>
          <w:szCs w:val="24"/>
        </w:rPr>
      </w:pPr>
      <w:r>
        <w:t xml:space="preserve">CenterPoint requests </w:t>
      </w:r>
      <w:r>
        <w:rPr>
          <w:szCs w:val="24"/>
        </w:rPr>
        <w:t>a base rate increase of approximately $154 million for service to retail customers and an increase of approximately $6.8 million for</w:t>
      </w:r>
      <w:r w:rsidR="00517DBF">
        <w:rPr>
          <w:szCs w:val="24"/>
        </w:rPr>
        <w:t xml:space="preserve"> wholesale transmission service</w:t>
      </w:r>
      <w:r w:rsidR="00B901E7">
        <w:rPr>
          <w:szCs w:val="24"/>
        </w:rPr>
        <w:t xml:space="preserve"> based on a test year ending December 31, 2018.</w:t>
      </w:r>
    </w:p>
    <w:p w:rsidR="00517DBF" w:rsidRPr="00517DBF" w:rsidRDefault="00517DBF" w:rsidP="00B607DB">
      <w:pPr>
        <w:autoSpaceDE w:val="0"/>
        <w:autoSpaceDN w:val="0"/>
        <w:adjustRightInd w:val="0"/>
        <w:spacing w:before="240" w:line="360" w:lineRule="auto"/>
        <w:ind w:firstLine="720"/>
        <w:jc w:val="center"/>
        <w:rPr>
          <w:b/>
          <w:bCs/>
          <w:szCs w:val="24"/>
        </w:rPr>
      </w:pPr>
      <w:r w:rsidRPr="00517DBF">
        <w:rPr>
          <w:b/>
          <w:bCs/>
          <w:szCs w:val="24"/>
        </w:rPr>
        <w:t>II.</w:t>
      </w:r>
      <w:r w:rsidRPr="00517DBF">
        <w:rPr>
          <w:b/>
          <w:bCs/>
          <w:szCs w:val="24"/>
        </w:rPr>
        <w:tab/>
        <w:t>Suspension of Rates</w:t>
      </w:r>
    </w:p>
    <w:p w:rsidR="00517DBF" w:rsidRDefault="00517DBF" w:rsidP="00517DBF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517DBF">
        <w:rPr>
          <w:szCs w:val="24"/>
        </w:rPr>
        <w:t>CenterPoint requests a proposed effective date 35 days after the filing of its statement of intent and application, which is May 10, 2019.  Under Texas Administrative Code (TAC) §§</w:t>
      </w:r>
      <w:r w:rsidR="00B607DB">
        <w:rPr>
          <w:szCs w:val="24"/>
        </w:rPr>
        <w:t> </w:t>
      </w:r>
      <w:r w:rsidRPr="00517DBF">
        <w:rPr>
          <w:szCs w:val="24"/>
        </w:rPr>
        <w:t xml:space="preserve">25.241(i) and 22.33(c), the effective date of CenterPoint’s requested rates </w:t>
      </w:r>
      <w:r w:rsidR="00484FAC">
        <w:rPr>
          <w:szCs w:val="24"/>
        </w:rPr>
        <w:t xml:space="preserve">is hereby extended </w:t>
      </w:r>
      <w:r w:rsidRPr="00517DBF">
        <w:rPr>
          <w:szCs w:val="24"/>
        </w:rPr>
        <w:t>from May 10, 2019, until October 7, 2019, to allow sufficient time for a final determination.</w:t>
      </w:r>
    </w:p>
    <w:p w:rsidR="00C0318B" w:rsidRDefault="00C0318B" w:rsidP="00B607DB">
      <w:pPr>
        <w:autoSpaceDE w:val="0"/>
        <w:autoSpaceDN w:val="0"/>
        <w:adjustRightInd w:val="0"/>
        <w:spacing w:before="240" w:line="360" w:lineRule="auto"/>
        <w:ind w:firstLine="720"/>
        <w:jc w:val="center"/>
        <w:rPr>
          <w:b/>
          <w:szCs w:val="24"/>
        </w:rPr>
      </w:pPr>
      <w:r w:rsidRPr="00C0318B">
        <w:rPr>
          <w:b/>
          <w:szCs w:val="24"/>
        </w:rPr>
        <w:t>III.</w:t>
      </w:r>
      <w:r w:rsidRPr="00C0318B">
        <w:rPr>
          <w:b/>
          <w:szCs w:val="24"/>
        </w:rPr>
        <w:tab/>
        <w:t>Protective Order</w:t>
      </w:r>
    </w:p>
    <w:p w:rsidR="00BA659B" w:rsidRDefault="00BA659B" w:rsidP="00BA659B">
      <w:pPr>
        <w:pStyle w:val="BodyTextIndented"/>
        <w:spacing w:before="0"/>
      </w:pPr>
      <w:r>
        <w:t xml:space="preserve">CenterPoint requests adoption of a protective order for use in this proceeding and included a protective order in its application.  The Commission’s standard protective order attached to this Order as Attachment 1 </w:t>
      </w:r>
      <w:proofErr w:type="gramStart"/>
      <w:r>
        <w:t>is entered</w:t>
      </w:r>
      <w:proofErr w:type="gramEnd"/>
      <w:r>
        <w:t xml:space="preserve"> for use in this proceeding and </w:t>
      </w:r>
      <w:r w:rsidR="0007312C">
        <w:t>must</w:t>
      </w:r>
      <w:r>
        <w:t xml:space="preserve"> remain in effect unless ordered otherwise.</w:t>
      </w:r>
    </w:p>
    <w:p w:rsidR="00C0318B" w:rsidRPr="00C0318B" w:rsidRDefault="00C0318B" w:rsidP="00C0318B">
      <w:pPr>
        <w:autoSpaceDE w:val="0"/>
        <w:autoSpaceDN w:val="0"/>
        <w:adjustRightInd w:val="0"/>
        <w:spacing w:line="360" w:lineRule="auto"/>
        <w:ind w:firstLine="720"/>
        <w:jc w:val="left"/>
        <w:rPr>
          <w:szCs w:val="24"/>
        </w:rPr>
      </w:pPr>
    </w:p>
    <w:p w:rsidR="00484FAC" w:rsidRDefault="00F4482E" w:rsidP="00E17A0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4952"/>
          <w:tab w:val="left" w:pos="5760"/>
          <w:tab w:val="left" w:pos="6912"/>
          <w:tab w:val="left" w:pos="7200"/>
          <w:tab w:val="left" w:pos="7920"/>
          <w:tab w:val="left" w:pos="8640"/>
          <w:tab w:val="left" w:pos="9360"/>
        </w:tabs>
        <w:spacing w:after="85"/>
        <w:rPr>
          <w:b/>
          <w:szCs w:val="24"/>
        </w:rPr>
      </w:pPr>
      <w:r>
        <w:rPr>
          <w:b/>
          <w:szCs w:val="24"/>
        </w:rPr>
        <w:lastRenderedPageBreak/>
        <w:tab/>
      </w:r>
    </w:p>
    <w:p w:rsidR="00FF7C2F" w:rsidRPr="009731A3" w:rsidRDefault="00484FAC" w:rsidP="00C1250C">
      <w:pPr>
        <w:spacing w:before="120"/>
        <w:jc w:val="left"/>
        <w:rPr>
          <w:b/>
          <w:szCs w:val="24"/>
        </w:rPr>
      </w:pPr>
      <w:r>
        <w:rPr>
          <w:b/>
          <w:szCs w:val="24"/>
        </w:rPr>
        <w:br w:type="page"/>
      </w:r>
      <w:r>
        <w:rPr>
          <w:b/>
          <w:szCs w:val="24"/>
        </w:rPr>
        <w:tab/>
      </w:r>
      <w:r w:rsidR="00350F4B">
        <w:rPr>
          <w:b/>
          <w:szCs w:val="24"/>
        </w:rPr>
        <w:t>Si</w:t>
      </w:r>
      <w:bookmarkStart w:id="0" w:name="_GoBack"/>
      <w:bookmarkEnd w:id="0"/>
      <w:r w:rsidR="00350F4B">
        <w:rPr>
          <w:b/>
          <w:szCs w:val="24"/>
        </w:rPr>
        <w:t>gned a</w:t>
      </w:r>
      <w:r w:rsidR="00350F4B" w:rsidRPr="009731A3">
        <w:rPr>
          <w:b/>
          <w:szCs w:val="24"/>
        </w:rPr>
        <w:t xml:space="preserve">t Austin, Texas </w:t>
      </w:r>
      <w:r w:rsidR="009731A3" w:rsidRPr="009731A3">
        <w:rPr>
          <w:b/>
          <w:szCs w:val="24"/>
        </w:rPr>
        <w:t xml:space="preserve">on </w:t>
      </w:r>
      <w:r w:rsidR="00E17A04" w:rsidRPr="009731A3">
        <w:rPr>
          <w:b/>
          <w:szCs w:val="24"/>
        </w:rPr>
        <w:t xml:space="preserve">the </w:t>
      </w:r>
      <w:r>
        <w:rPr>
          <w:b/>
          <w:szCs w:val="24"/>
        </w:rPr>
        <w:t>5th</w:t>
      </w:r>
      <w:r w:rsidR="00E17A04" w:rsidRPr="009731A3">
        <w:rPr>
          <w:b/>
          <w:szCs w:val="24"/>
        </w:rPr>
        <w:t xml:space="preserve"> day of </w:t>
      </w:r>
      <w:r w:rsidR="00BA659B">
        <w:rPr>
          <w:b/>
          <w:szCs w:val="24"/>
        </w:rPr>
        <w:t>April</w:t>
      </w:r>
      <w:r w:rsidR="00350F4B">
        <w:rPr>
          <w:b/>
          <w:szCs w:val="24"/>
        </w:rPr>
        <w:t xml:space="preserve"> 2019</w:t>
      </w:r>
      <w:r w:rsidR="004B539D">
        <w:rPr>
          <w:b/>
          <w:szCs w:val="24"/>
        </w:rPr>
        <w:t>.</w:t>
      </w:r>
    </w:p>
    <w:p w:rsidR="00A13D06" w:rsidRDefault="00A13D06" w:rsidP="00BA659B">
      <w:pPr>
        <w:spacing w:before="24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4B539D">
        <w:tab/>
      </w:r>
      <w:r>
        <w:rPr>
          <w:b/>
        </w:rPr>
        <w:t>PUBLIC UTILITY COMMISSION OF TEXAS</w:t>
      </w:r>
    </w:p>
    <w:p w:rsidR="00A13D06" w:rsidRDefault="00A13D0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B539D">
        <w:rPr>
          <w:b/>
        </w:rPr>
        <w:tab/>
      </w:r>
      <w:r w:rsidR="004B539D">
        <w:rPr>
          <w:b/>
        </w:rPr>
        <w:tab/>
      </w:r>
      <w:r w:rsidR="004B539D">
        <w:rPr>
          <w:b/>
        </w:rPr>
        <w:tab/>
      </w:r>
      <w:r>
        <w:rPr>
          <w:b/>
        </w:rPr>
        <w:t>_________________________________________</w:t>
      </w:r>
    </w:p>
    <w:p w:rsidR="00A13D06" w:rsidRDefault="00A13D0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B539D">
        <w:rPr>
          <w:b/>
        </w:rPr>
        <w:tab/>
      </w:r>
      <w:r w:rsidR="00F04A21">
        <w:rPr>
          <w:b/>
        </w:rPr>
        <w:t>HUNTER BURKHALTER</w:t>
      </w:r>
    </w:p>
    <w:p w:rsidR="00A13D06" w:rsidRDefault="00A13D0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B539D">
        <w:rPr>
          <w:b/>
        </w:rPr>
        <w:tab/>
      </w:r>
      <w:r w:rsidR="00F04A21">
        <w:rPr>
          <w:b/>
        </w:rPr>
        <w:t>ADMINISTRATIVE LAW JUDGE</w:t>
      </w:r>
    </w:p>
    <w:p w:rsidR="00FF7C2F" w:rsidRDefault="00FF7C2F">
      <w:pPr>
        <w:rPr>
          <w:b/>
        </w:rPr>
      </w:pPr>
    </w:p>
    <w:p w:rsidR="00FF7C2F" w:rsidRPr="009731A3" w:rsidRDefault="00FF7C2F" w:rsidP="00E17A04">
      <w:pPr>
        <w:tabs>
          <w:tab w:val="left" w:pos="4320"/>
          <w:tab w:val="left" w:pos="8640"/>
        </w:tabs>
        <w:rPr>
          <w:b/>
          <w:szCs w:val="24"/>
        </w:rPr>
      </w:pPr>
    </w:p>
    <w:p w:rsidR="00AE00F1" w:rsidRPr="00FE050D" w:rsidRDefault="00FE050D" w:rsidP="004F194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4952"/>
          <w:tab w:val="left" w:pos="5760"/>
          <w:tab w:val="left" w:pos="6912"/>
          <w:tab w:val="left" w:pos="7200"/>
          <w:tab w:val="left" w:pos="7920"/>
          <w:tab w:val="left" w:pos="8640"/>
          <w:tab w:val="left" w:pos="9360"/>
        </w:tabs>
        <w:spacing w:after="85"/>
        <w:rPr>
          <w:sz w:val="16"/>
          <w:szCs w:val="16"/>
        </w:rPr>
      </w:pPr>
      <w:r w:rsidRPr="00FE050D">
        <w:rPr>
          <w:sz w:val="16"/>
          <w:szCs w:val="16"/>
        </w:rPr>
        <w:fldChar w:fldCharType="begin"/>
      </w:r>
      <w:r w:rsidRPr="00FE050D">
        <w:rPr>
          <w:sz w:val="16"/>
          <w:szCs w:val="16"/>
        </w:rPr>
        <w:instrText xml:space="preserve"> FILENAME  \* Lower \p  \* MERGEFORMAT </w:instrText>
      </w:r>
      <w:r w:rsidRPr="00FE050D">
        <w:rPr>
          <w:sz w:val="16"/>
          <w:szCs w:val="16"/>
        </w:rPr>
        <w:fldChar w:fldCharType="separate"/>
      </w:r>
      <w:r w:rsidR="00BA659B">
        <w:rPr>
          <w:noProof/>
          <w:sz w:val="16"/>
          <w:szCs w:val="16"/>
        </w:rPr>
        <w:t>q:\cadm\docket management\electric\miscellaneous\49xxx\49421-1_suspend_protective_order.docx</w:t>
      </w:r>
      <w:r w:rsidRPr="00FE050D">
        <w:rPr>
          <w:sz w:val="16"/>
          <w:szCs w:val="16"/>
        </w:rPr>
        <w:fldChar w:fldCharType="end"/>
      </w:r>
    </w:p>
    <w:sectPr w:rsidR="00AE00F1" w:rsidRPr="00FE050D" w:rsidSect="00875EF7">
      <w:headerReference w:type="default" r:id="rId7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E02" w:rsidRDefault="00FB0E02">
      <w:r>
        <w:separator/>
      </w:r>
    </w:p>
  </w:endnote>
  <w:endnote w:type="continuationSeparator" w:id="0">
    <w:p w:rsidR="00FB0E02" w:rsidRDefault="00FB0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E02" w:rsidRDefault="00FB0E02">
      <w:r>
        <w:separator/>
      </w:r>
    </w:p>
  </w:footnote>
  <w:footnote w:type="continuationSeparator" w:id="0">
    <w:p w:rsidR="00FB0E02" w:rsidRDefault="00FB0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E02" w:rsidRPr="00F84931" w:rsidRDefault="00BA659B" w:rsidP="00BD58BA">
    <w:pPr>
      <w:pStyle w:val="Header"/>
      <w:tabs>
        <w:tab w:val="clear" w:pos="4320"/>
        <w:tab w:val="clear" w:pos="8640"/>
        <w:tab w:val="center" w:pos="4680"/>
        <w:tab w:val="right" w:pos="9630"/>
      </w:tabs>
      <w:rPr>
        <w:b/>
        <w:sz w:val="20"/>
      </w:rPr>
    </w:pPr>
    <w:r>
      <w:rPr>
        <w:b/>
        <w:sz w:val="20"/>
      </w:rPr>
      <w:t>Docket No. 49421</w:t>
    </w:r>
    <w:r>
      <w:rPr>
        <w:b/>
        <w:sz w:val="20"/>
      </w:rPr>
      <w:tab/>
      <w:t>Order No. 1</w:t>
    </w:r>
    <w:r>
      <w:rPr>
        <w:b/>
        <w:sz w:val="20"/>
      </w:rPr>
      <w:tab/>
    </w:r>
    <w:r w:rsidRPr="00F84931">
      <w:rPr>
        <w:b/>
        <w:sz w:val="20"/>
      </w:rPr>
      <w:t xml:space="preserve">Page </w:t>
    </w:r>
    <w:r w:rsidR="00FB0E02" w:rsidRPr="00F84931">
      <w:rPr>
        <w:b/>
        <w:sz w:val="20"/>
      </w:rPr>
      <w:fldChar w:fldCharType="begin"/>
    </w:r>
    <w:r w:rsidR="00FB0E02" w:rsidRPr="00F84931">
      <w:rPr>
        <w:b/>
        <w:sz w:val="20"/>
      </w:rPr>
      <w:instrText xml:space="preserve"> PAGE </w:instrText>
    </w:r>
    <w:r w:rsidR="00FB0E02" w:rsidRPr="00F84931">
      <w:rPr>
        <w:b/>
        <w:sz w:val="20"/>
      </w:rPr>
      <w:fldChar w:fldCharType="separate"/>
    </w:r>
    <w:r w:rsidR="00C1250C">
      <w:rPr>
        <w:b/>
        <w:noProof/>
        <w:sz w:val="20"/>
      </w:rPr>
      <w:t>2</w:t>
    </w:r>
    <w:r w:rsidR="00FB0E02" w:rsidRPr="00F84931">
      <w:rPr>
        <w:b/>
        <w:sz w:val="20"/>
      </w:rPr>
      <w:fldChar w:fldCharType="end"/>
    </w:r>
    <w:r w:rsidRPr="00F84931">
      <w:rPr>
        <w:b/>
        <w:sz w:val="20"/>
      </w:rPr>
      <w:t xml:space="preserve"> </w:t>
    </w:r>
    <w:r>
      <w:rPr>
        <w:b/>
        <w:sz w:val="20"/>
      </w:rPr>
      <w:t>of</w:t>
    </w:r>
    <w:r w:rsidRPr="00F84931">
      <w:rPr>
        <w:b/>
        <w:sz w:val="20"/>
      </w:rPr>
      <w:t xml:space="preserve"> </w:t>
    </w:r>
    <w:r w:rsidR="00FB0E02" w:rsidRPr="00F84931">
      <w:rPr>
        <w:b/>
        <w:sz w:val="20"/>
      </w:rPr>
      <w:fldChar w:fldCharType="begin"/>
    </w:r>
    <w:r w:rsidR="00FB0E02" w:rsidRPr="00F84931">
      <w:rPr>
        <w:b/>
        <w:sz w:val="20"/>
      </w:rPr>
      <w:instrText xml:space="preserve"> NUMPAGES </w:instrText>
    </w:r>
    <w:r w:rsidR="00FB0E02" w:rsidRPr="00F84931">
      <w:rPr>
        <w:b/>
        <w:sz w:val="20"/>
      </w:rPr>
      <w:fldChar w:fldCharType="separate"/>
    </w:r>
    <w:r w:rsidR="00C1250C">
      <w:rPr>
        <w:b/>
        <w:noProof/>
        <w:sz w:val="20"/>
      </w:rPr>
      <w:t>2</w:t>
    </w:r>
    <w:r w:rsidR="00FB0E02" w:rsidRPr="00F84931">
      <w:rPr>
        <w:b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C0423F"/>
    <w:multiLevelType w:val="hybridMultilevel"/>
    <w:tmpl w:val="E760FF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0F1"/>
    <w:rsid w:val="00004F2D"/>
    <w:rsid w:val="00020FEB"/>
    <w:rsid w:val="00050B54"/>
    <w:rsid w:val="00066CED"/>
    <w:rsid w:val="0007312C"/>
    <w:rsid w:val="00080262"/>
    <w:rsid w:val="00094286"/>
    <w:rsid w:val="000D7C30"/>
    <w:rsid w:val="000E5C3D"/>
    <w:rsid w:val="000F7849"/>
    <w:rsid w:val="00104639"/>
    <w:rsid w:val="001061FB"/>
    <w:rsid w:val="001176CA"/>
    <w:rsid w:val="00141667"/>
    <w:rsid w:val="00146A8B"/>
    <w:rsid w:val="00151BC4"/>
    <w:rsid w:val="001604D7"/>
    <w:rsid w:val="00173636"/>
    <w:rsid w:val="00181961"/>
    <w:rsid w:val="00197C98"/>
    <w:rsid w:val="001A4650"/>
    <w:rsid w:val="001B7CA2"/>
    <w:rsid w:val="001F0695"/>
    <w:rsid w:val="001F32C3"/>
    <w:rsid w:val="001F6CD9"/>
    <w:rsid w:val="00217B56"/>
    <w:rsid w:val="002479B3"/>
    <w:rsid w:val="00254CDE"/>
    <w:rsid w:val="00257104"/>
    <w:rsid w:val="00267080"/>
    <w:rsid w:val="00274D47"/>
    <w:rsid w:val="0028042F"/>
    <w:rsid w:val="002918AD"/>
    <w:rsid w:val="00293497"/>
    <w:rsid w:val="0029527B"/>
    <w:rsid w:val="002B220A"/>
    <w:rsid w:val="002B5CE8"/>
    <w:rsid w:val="002F258E"/>
    <w:rsid w:val="003007A9"/>
    <w:rsid w:val="00310E0C"/>
    <w:rsid w:val="0031717B"/>
    <w:rsid w:val="00332908"/>
    <w:rsid w:val="00347EFB"/>
    <w:rsid w:val="00350F4B"/>
    <w:rsid w:val="00360DFC"/>
    <w:rsid w:val="00362781"/>
    <w:rsid w:val="00395B4B"/>
    <w:rsid w:val="003A44C7"/>
    <w:rsid w:val="003B09E4"/>
    <w:rsid w:val="003D4737"/>
    <w:rsid w:val="00421544"/>
    <w:rsid w:val="004243A3"/>
    <w:rsid w:val="00441ACA"/>
    <w:rsid w:val="00447C10"/>
    <w:rsid w:val="004552BC"/>
    <w:rsid w:val="00467D4F"/>
    <w:rsid w:val="00472FCC"/>
    <w:rsid w:val="004733D5"/>
    <w:rsid w:val="00484FAC"/>
    <w:rsid w:val="00495C29"/>
    <w:rsid w:val="004B539D"/>
    <w:rsid w:val="004E2D98"/>
    <w:rsid w:val="004E6259"/>
    <w:rsid w:val="004F173D"/>
    <w:rsid w:val="004F1949"/>
    <w:rsid w:val="004F3025"/>
    <w:rsid w:val="004F62E1"/>
    <w:rsid w:val="0050539B"/>
    <w:rsid w:val="00512092"/>
    <w:rsid w:val="00517010"/>
    <w:rsid w:val="00517DBF"/>
    <w:rsid w:val="00530954"/>
    <w:rsid w:val="005434AB"/>
    <w:rsid w:val="005458D4"/>
    <w:rsid w:val="00550EBE"/>
    <w:rsid w:val="0058122D"/>
    <w:rsid w:val="00597B84"/>
    <w:rsid w:val="005B7E32"/>
    <w:rsid w:val="005D1207"/>
    <w:rsid w:val="005E6B3B"/>
    <w:rsid w:val="005E7BEE"/>
    <w:rsid w:val="0060768E"/>
    <w:rsid w:val="006129C0"/>
    <w:rsid w:val="006139B0"/>
    <w:rsid w:val="006154F6"/>
    <w:rsid w:val="006331A6"/>
    <w:rsid w:val="006351B5"/>
    <w:rsid w:val="0063716B"/>
    <w:rsid w:val="006958E6"/>
    <w:rsid w:val="006A368D"/>
    <w:rsid w:val="006D6718"/>
    <w:rsid w:val="006E0202"/>
    <w:rsid w:val="006E3280"/>
    <w:rsid w:val="006E4F68"/>
    <w:rsid w:val="006F2FC6"/>
    <w:rsid w:val="007135BF"/>
    <w:rsid w:val="007154F7"/>
    <w:rsid w:val="00731240"/>
    <w:rsid w:val="00766698"/>
    <w:rsid w:val="00782FB3"/>
    <w:rsid w:val="00783840"/>
    <w:rsid w:val="007966F2"/>
    <w:rsid w:val="007B1495"/>
    <w:rsid w:val="007C034A"/>
    <w:rsid w:val="007C38E6"/>
    <w:rsid w:val="007E2F6A"/>
    <w:rsid w:val="007E6B03"/>
    <w:rsid w:val="00812317"/>
    <w:rsid w:val="0081699F"/>
    <w:rsid w:val="008278DC"/>
    <w:rsid w:val="00834EA6"/>
    <w:rsid w:val="00840DA2"/>
    <w:rsid w:val="008652DB"/>
    <w:rsid w:val="00872588"/>
    <w:rsid w:val="00875EF7"/>
    <w:rsid w:val="00890053"/>
    <w:rsid w:val="0089763E"/>
    <w:rsid w:val="008B42C1"/>
    <w:rsid w:val="008C7D6C"/>
    <w:rsid w:val="008E22CD"/>
    <w:rsid w:val="0093043D"/>
    <w:rsid w:val="00943EE2"/>
    <w:rsid w:val="009477D9"/>
    <w:rsid w:val="009636C2"/>
    <w:rsid w:val="009731A3"/>
    <w:rsid w:val="00980C2C"/>
    <w:rsid w:val="00992C4A"/>
    <w:rsid w:val="009B7660"/>
    <w:rsid w:val="009D7447"/>
    <w:rsid w:val="00A00BE6"/>
    <w:rsid w:val="00A13D06"/>
    <w:rsid w:val="00A33B66"/>
    <w:rsid w:val="00A4233E"/>
    <w:rsid w:val="00A479DD"/>
    <w:rsid w:val="00A9092D"/>
    <w:rsid w:val="00AA0F9F"/>
    <w:rsid w:val="00AD7A58"/>
    <w:rsid w:val="00AE00F1"/>
    <w:rsid w:val="00B03D06"/>
    <w:rsid w:val="00B32826"/>
    <w:rsid w:val="00B32F92"/>
    <w:rsid w:val="00B3569F"/>
    <w:rsid w:val="00B607DB"/>
    <w:rsid w:val="00B623F9"/>
    <w:rsid w:val="00B870D1"/>
    <w:rsid w:val="00B901E7"/>
    <w:rsid w:val="00B909C5"/>
    <w:rsid w:val="00BA659B"/>
    <w:rsid w:val="00BB2687"/>
    <w:rsid w:val="00BC5C32"/>
    <w:rsid w:val="00BC6EFF"/>
    <w:rsid w:val="00BD58BA"/>
    <w:rsid w:val="00C00138"/>
    <w:rsid w:val="00C02CB9"/>
    <w:rsid w:val="00C0318B"/>
    <w:rsid w:val="00C10FBF"/>
    <w:rsid w:val="00C124A3"/>
    <w:rsid w:val="00C1250C"/>
    <w:rsid w:val="00C2071F"/>
    <w:rsid w:val="00C21FEB"/>
    <w:rsid w:val="00C22016"/>
    <w:rsid w:val="00C224DE"/>
    <w:rsid w:val="00C31249"/>
    <w:rsid w:val="00C34586"/>
    <w:rsid w:val="00C47623"/>
    <w:rsid w:val="00C513C8"/>
    <w:rsid w:val="00C64B8A"/>
    <w:rsid w:val="00C65CB2"/>
    <w:rsid w:val="00C82D2D"/>
    <w:rsid w:val="00C85E06"/>
    <w:rsid w:val="00C9488E"/>
    <w:rsid w:val="00CB682B"/>
    <w:rsid w:val="00CC3FEE"/>
    <w:rsid w:val="00CE4B9E"/>
    <w:rsid w:val="00CF05EB"/>
    <w:rsid w:val="00D2212E"/>
    <w:rsid w:val="00D32D36"/>
    <w:rsid w:val="00D53D8B"/>
    <w:rsid w:val="00D547DA"/>
    <w:rsid w:val="00D6081F"/>
    <w:rsid w:val="00D866FA"/>
    <w:rsid w:val="00DA463C"/>
    <w:rsid w:val="00DE423F"/>
    <w:rsid w:val="00E06DE4"/>
    <w:rsid w:val="00E113E7"/>
    <w:rsid w:val="00E17A04"/>
    <w:rsid w:val="00E34B0F"/>
    <w:rsid w:val="00E36BBA"/>
    <w:rsid w:val="00E57FDC"/>
    <w:rsid w:val="00E63212"/>
    <w:rsid w:val="00E64F3E"/>
    <w:rsid w:val="00E71B7B"/>
    <w:rsid w:val="00EF057F"/>
    <w:rsid w:val="00F04A21"/>
    <w:rsid w:val="00F07CDE"/>
    <w:rsid w:val="00F15140"/>
    <w:rsid w:val="00F27DB2"/>
    <w:rsid w:val="00F4482E"/>
    <w:rsid w:val="00F45632"/>
    <w:rsid w:val="00F57046"/>
    <w:rsid w:val="00F65F4B"/>
    <w:rsid w:val="00F66DC6"/>
    <w:rsid w:val="00F84931"/>
    <w:rsid w:val="00F90405"/>
    <w:rsid w:val="00FB0E02"/>
    <w:rsid w:val="00FD53C6"/>
    <w:rsid w:val="00FD5C3C"/>
    <w:rsid w:val="00FE050D"/>
    <w:rsid w:val="00FF07EC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02864A7-9834-4B21-AC0C-0F86931B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0F1"/>
    <w:pPr>
      <w:jc w:val="both"/>
    </w:pPr>
    <w:rPr>
      <w:sz w:val="24"/>
    </w:rPr>
  </w:style>
  <w:style w:type="paragraph" w:styleId="Heading2">
    <w:name w:val="heading 2"/>
    <w:basedOn w:val="Normal"/>
    <w:next w:val="Normal"/>
    <w:qFormat/>
    <w:rsid w:val="002F25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50539B"/>
    <w:rPr>
      <w:sz w:val="20"/>
    </w:rPr>
  </w:style>
  <w:style w:type="character" w:styleId="FootnoteReference">
    <w:name w:val="footnote reference"/>
    <w:basedOn w:val="DefaultParagraphFont"/>
    <w:semiHidden/>
    <w:rsid w:val="0050539B"/>
    <w:rPr>
      <w:vertAlign w:val="superscript"/>
    </w:rPr>
  </w:style>
  <w:style w:type="table" w:styleId="TableGrid">
    <w:name w:val="Table Grid"/>
    <w:basedOn w:val="TableNormal"/>
    <w:rsid w:val="00DA463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9488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7966F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966F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84931"/>
  </w:style>
  <w:style w:type="paragraph" w:styleId="PlainText">
    <w:name w:val="Plain Text"/>
    <w:basedOn w:val="Normal"/>
    <w:rsid w:val="002479B3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 w:cs="Courier New"/>
      <w:sz w:val="20"/>
    </w:rPr>
  </w:style>
  <w:style w:type="paragraph" w:customStyle="1" w:styleId="BodyTextIndented">
    <w:name w:val="Body Text Indented"/>
    <w:basedOn w:val="Normal"/>
    <w:link w:val="BodyTextIndentedCharChar"/>
    <w:qFormat/>
    <w:rsid w:val="00BA659B"/>
    <w:pPr>
      <w:spacing w:before="24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A659B"/>
    <w:rPr>
      <w:rFonts w:eastAsia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285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DOCKET NO</vt:lpstr>
    </vt:vector>
  </TitlesOfParts>
  <Company>Public Utility Commission of Texas</Company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DOCKET NO</dc:title>
  <dc:creator>lwharton</dc:creator>
  <cp:lastModifiedBy>Wharton, Laurie</cp:lastModifiedBy>
  <cp:revision>32</cp:revision>
  <cp:lastPrinted>2012-03-28T16:19:00Z</cp:lastPrinted>
  <dcterms:created xsi:type="dcterms:W3CDTF">2019-04-05T16:35:00Z</dcterms:created>
  <dcterms:modified xsi:type="dcterms:W3CDTF">2019-04-05T18:57:00Z</dcterms:modified>
</cp:coreProperties>
</file>