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E43" w:rsidRDefault="00AE6E43" w:rsidP="00AE6E43">
      <w:pPr>
        <w:pStyle w:val="OrderStyle"/>
        <w:spacing w:after="120"/>
        <w:jc w:val="center"/>
      </w:pPr>
      <w:r w:rsidRPr="00AE6E43">
        <w:t>Docket No. 48037</w:t>
      </w:r>
    </w:p>
    <w:p w:rsidR="00AE6E43" w:rsidRPr="00AE6E43" w:rsidRDefault="00AE6E43" w:rsidP="00AE6E43">
      <w:pPr>
        <w:pStyle w:val="OrderStyle"/>
        <w:jc w:val="center"/>
      </w:pPr>
    </w:p>
    <w:tbl>
      <w:tblPr>
        <w:tblW w:w="9803" w:type="dxa"/>
        <w:jc w:val="center"/>
        <w:tblLayout w:type="fixed"/>
        <w:tblLook w:val="01E0" w:firstRow="1" w:lastRow="1" w:firstColumn="1" w:lastColumn="1" w:noHBand="0" w:noVBand="0"/>
      </w:tblPr>
      <w:tblGrid>
        <w:gridCol w:w="4770"/>
        <w:gridCol w:w="540"/>
        <w:gridCol w:w="4493"/>
      </w:tblGrid>
      <w:tr w:rsidR="00AE6E43" w:rsidRPr="00AE6E43" w:rsidTr="0078666F">
        <w:trPr>
          <w:trHeight w:val="846"/>
          <w:jc w:val="center"/>
        </w:trPr>
        <w:tc>
          <w:tcPr>
            <w:tcW w:w="4770" w:type="dxa"/>
          </w:tcPr>
          <w:p w:rsidR="00AE6E43" w:rsidRPr="00AE6E43" w:rsidRDefault="00AE6E43" w:rsidP="00AE6E43">
            <w:pPr>
              <w:pStyle w:val="OrderStyle"/>
            </w:pPr>
            <w:r w:rsidRPr="00AE6E43">
              <w:t>PETITION OF MSEC ENTERPRISES, INC. FOR A GOOD CAUSE EXCEPTION FROM THE REQUIREMENT TO FILE A STATEMENT OF INTENT AND REQUEST FOR APPROVAL OF TARIFF</w:t>
            </w:r>
          </w:p>
        </w:tc>
        <w:tc>
          <w:tcPr>
            <w:tcW w:w="540" w:type="dxa"/>
          </w:tcPr>
          <w:p w:rsidR="00AE6E43" w:rsidRPr="00AE6E43" w:rsidRDefault="00AE6E43" w:rsidP="00AE6E43">
            <w:pPr>
              <w:pStyle w:val="OrderStyle"/>
              <w:rPr>
                <w:rStyle w:val="StyleBold"/>
                <w:b/>
              </w:rPr>
            </w:pPr>
            <w:r w:rsidRPr="00AE6E43">
              <w:rPr>
                <w:rStyle w:val="StyleBold"/>
                <w:b/>
              </w:rPr>
              <w:t>§</w:t>
            </w:r>
          </w:p>
          <w:p w:rsidR="00AE6E43" w:rsidRPr="00AE6E43" w:rsidRDefault="00AE6E43" w:rsidP="00AE6E43">
            <w:pPr>
              <w:pStyle w:val="OrderStyle"/>
              <w:rPr>
                <w:rStyle w:val="StyleBold"/>
                <w:b/>
              </w:rPr>
            </w:pPr>
            <w:r w:rsidRPr="00AE6E43">
              <w:rPr>
                <w:rStyle w:val="StyleBold"/>
                <w:b/>
              </w:rPr>
              <w:t>§</w:t>
            </w:r>
          </w:p>
          <w:p w:rsidR="00AE6E43" w:rsidRPr="00AE6E43" w:rsidRDefault="00AE6E43" w:rsidP="00AE6E43">
            <w:pPr>
              <w:pStyle w:val="OrderStyle"/>
              <w:rPr>
                <w:rStyle w:val="StyleBold"/>
                <w:b/>
              </w:rPr>
            </w:pPr>
            <w:r w:rsidRPr="00AE6E43">
              <w:rPr>
                <w:rStyle w:val="StyleBold"/>
                <w:b/>
              </w:rPr>
              <w:t>§</w:t>
            </w:r>
          </w:p>
          <w:p w:rsidR="00AE6E43" w:rsidRPr="00AE6E43" w:rsidRDefault="00AE6E43" w:rsidP="00AE6E43">
            <w:pPr>
              <w:pStyle w:val="OrderStyle"/>
              <w:rPr>
                <w:rStyle w:val="StyleBold"/>
                <w:b/>
              </w:rPr>
            </w:pPr>
            <w:r w:rsidRPr="00AE6E43">
              <w:rPr>
                <w:rStyle w:val="StyleBold"/>
                <w:b/>
              </w:rPr>
              <w:t>§</w:t>
            </w:r>
          </w:p>
          <w:p w:rsidR="00AE6E43" w:rsidRPr="00AE6E43" w:rsidRDefault="00AE6E43" w:rsidP="00AE6E43">
            <w:pPr>
              <w:pStyle w:val="OrderStyle"/>
              <w:rPr>
                <w:bCs/>
              </w:rPr>
            </w:pPr>
            <w:r w:rsidRPr="00AE6E43">
              <w:rPr>
                <w:rStyle w:val="StyleBold"/>
                <w:b/>
              </w:rPr>
              <w:t>§</w:t>
            </w:r>
          </w:p>
        </w:tc>
        <w:tc>
          <w:tcPr>
            <w:tcW w:w="4493" w:type="dxa"/>
          </w:tcPr>
          <w:p w:rsidR="00AE6E43" w:rsidRPr="00AE6E43" w:rsidRDefault="00AE6E43" w:rsidP="00AE6E43">
            <w:pPr>
              <w:pStyle w:val="OrderStyle"/>
              <w:jc w:val="center"/>
            </w:pPr>
            <w:r w:rsidRPr="00AE6E43">
              <w:t>Public Utility Commission</w:t>
            </w:r>
          </w:p>
          <w:p w:rsidR="00AE6E43" w:rsidRPr="00AE6E43" w:rsidRDefault="00AE6E43" w:rsidP="00AE6E43">
            <w:pPr>
              <w:pStyle w:val="OrderStyle"/>
              <w:jc w:val="center"/>
            </w:pPr>
          </w:p>
          <w:p w:rsidR="00AE6E43" w:rsidRPr="00AE6E43" w:rsidRDefault="00AE6E43" w:rsidP="00AE6E43">
            <w:pPr>
              <w:pStyle w:val="OrderStyle"/>
              <w:jc w:val="center"/>
            </w:pPr>
            <w:r w:rsidRPr="00AE6E43">
              <w:t>of Texas</w:t>
            </w:r>
          </w:p>
        </w:tc>
      </w:tr>
    </w:tbl>
    <w:p w:rsidR="007572FC" w:rsidRDefault="00AE6E43" w:rsidP="00C54659">
      <w:pPr>
        <w:pStyle w:val="Titleoforder"/>
      </w:pPr>
      <w:r>
        <w:t xml:space="preserve"> PROPOSED ORDER</w:t>
      </w:r>
    </w:p>
    <w:p w:rsidR="00266F9F" w:rsidRDefault="00266F9F" w:rsidP="00266F9F">
      <w:pPr>
        <w:pStyle w:val="BodyText"/>
      </w:pPr>
      <w:r>
        <w:t>This Order address</w:t>
      </w:r>
      <w:r w:rsidR="001D4F4B">
        <w:t>es</w:t>
      </w:r>
      <w:r>
        <w:t xml:space="preserve"> the petition</w:t>
      </w:r>
      <w:r w:rsidR="0077140F">
        <w:t xml:space="preserve"> </w:t>
      </w:r>
      <w:r>
        <w:t xml:space="preserve">of </w:t>
      </w:r>
      <w:r w:rsidR="0077140F">
        <w:t>MSEC Enterprises, Inc. for a good cause exception from the requirement</w:t>
      </w:r>
      <w:r w:rsidR="009D472F">
        <w:t xml:space="preserve"> to file a statement of intent and request for approval of an amendment to its tariff to include new meter sizes</w:t>
      </w:r>
      <w:r w:rsidR="002D0C88">
        <w:t xml:space="preserve"> and corresponding rates</w:t>
      </w:r>
      <w:r w:rsidR="009D472F">
        <w:t xml:space="preserve">.  </w:t>
      </w:r>
      <w:r w:rsidR="0077140F">
        <w:t xml:space="preserve">Commission Staff recommended that </w:t>
      </w:r>
      <w:r w:rsidR="00E277F9">
        <w:t>MSEC’s</w:t>
      </w:r>
      <w:r w:rsidR="0077140F">
        <w:t xml:space="preserve"> petition be granted and that MSEC be </w:t>
      </w:r>
      <w:r w:rsidR="00E277F9">
        <w:t>ordered</w:t>
      </w:r>
      <w:r w:rsidR="0077140F">
        <w:t xml:space="preserve"> to file a rate application </w:t>
      </w:r>
      <w:r w:rsidR="002D0C88">
        <w:rPr>
          <w:bCs/>
        </w:rPr>
        <w:t>within 18 months of the date it begins providing service to a larger meter size under the rates approved in this docket</w:t>
      </w:r>
      <w:r w:rsidR="00677B5E">
        <w:t>.</w:t>
      </w:r>
      <w:r w:rsidR="00BA6925">
        <w:t xml:space="preserve">  </w:t>
      </w:r>
      <w:r w:rsidR="009A20EF">
        <w:t>The Commission grants MSEC’s petition for a good cause exception</w:t>
      </w:r>
      <w:r w:rsidR="00BA6925">
        <w:t>.</w:t>
      </w:r>
    </w:p>
    <w:p w:rsidR="008D1724" w:rsidRDefault="008D1724" w:rsidP="00EE5DDA">
      <w:pPr>
        <w:pStyle w:val="BodyText"/>
      </w:pPr>
      <w:r>
        <w:t>The Commission adopts the following findings of fact and conclusions of law</w:t>
      </w:r>
      <w:r w:rsidR="0077140F">
        <w:t>:</w:t>
      </w:r>
    </w:p>
    <w:p w:rsidR="008D1724" w:rsidRPr="008D1724" w:rsidRDefault="00EE5DDA" w:rsidP="008D1724">
      <w:pPr>
        <w:pStyle w:val="Heading1"/>
      </w:pPr>
      <w:r>
        <w:t>Findings of Fact</w:t>
      </w:r>
    </w:p>
    <w:p w:rsidR="009D472F" w:rsidRDefault="009D472F" w:rsidP="009D472F">
      <w:pPr>
        <w:pStyle w:val="Heading7"/>
      </w:pPr>
      <w:r>
        <w:t>Procedural History</w:t>
      </w:r>
      <w:r w:rsidR="009022E9">
        <w:t xml:space="preserve"> and Background</w:t>
      </w:r>
    </w:p>
    <w:p w:rsidR="009D472F" w:rsidRPr="009022E9" w:rsidRDefault="0077140F" w:rsidP="009022E9">
      <w:pPr>
        <w:pStyle w:val="FOFNumbered"/>
      </w:pPr>
      <w:r w:rsidRPr="009022E9">
        <w:t xml:space="preserve">On February 8, 2018, MSEC filed a petition </w:t>
      </w:r>
      <w:r w:rsidR="009D472F" w:rsidRPr="009022E9">
        <w:t xml:space="preserve">(a) for a good cause exception from the requirements of 16 </w:t>
      </w:r>
      <w:r w:rsidR="005B03F6" w:rsidRPr="009022E9">
        <w:t>Texas Administrative Code (TAC)</w:t>
      </w:r>
      <w:r w:rsidR="009D472F" w:rsidRPr="009022E9">
        <w:t xml:space="preserve"> § 24.22 in order to add larger meters and accompanying new rates for the larger meters</w:t>
      </w:r>
      <w:r w:rsidR="002D0C88" w:rsidRPr="009022E9">
        <w:t>;</w:t>
      </w:r>
      <w:r w:rsidR="009D472F" w:rsidRPr="009022E9">
        <w:t xml:space="preserve"> and (b) </w:t>
      </w:r>
      <w:r w:rsidR="009A20EF">
        <w:t>for approval of</w:t>
      </w:r>
      <w:r w:rsidR="009D472F" w:rsidRPr="009022E9">
        <w:t xml:space="preserve"> the related tariff sheet.</w:t>
      </w:r>
    </w:p>
    <w:p w:rsidR="009022E9" w:rsidRPr="009022E9" w:rsidRDefault="009022E9" w:rsidP="009022E9">
      <w:pPr>
        <w:pStyle w:val="FOFNumbered"/>
      </w:pPr>
      <w:r w:rsidRPr="009022E9">
        <w:t>MSEC holds water certificate of convenience and necessity (CCN) 12887 and sewer CCN 20984.</w:t>
      </w:r>
    </w:p>
    <w:p w:rsidR="009022E9" w:rsidRPr="009022E9" w:rsidRDefault="009022E9" w:rsidP="009022E9">
      <w:pPr>
        <w:pStyle w:val="FOFNumbered"/>
      </w:pPr>
      <w:r w:rsidRPr="009022E9">
        <w:t>MSEC is an independently-owned Class B water and wastewater utility in Montgomery County.</w:t>
      </w:r>
    </w:p>
    <w:p w:rsidR="009022E9" w:rsidRPr="009022E9" w:rsidRDefault="009022E9" w:rsidP="009022E9">
      <w:pPr>
        <w:pStyle w:val="FOFNumbered"/>
      </w:pPr>
      <w:r w:rsidRPr="009022E9">
        <w:t>MSEC provides water utility services in Grimes County and water and sewer utility services in Montgomery County.</w:t>
      </w:r>
    </w:p>
    <w:p w:rsidR="009022E9" w:rsidRPr="009022E9" w:rsidRDefault="009022E9" w:rsidP="009022E9">
      <w:pPr>
        <w:pStyle w:val="FOFNumbered"/>
      </w:pPr>
      <w:r w:rsidRPr="009022E9">
        <w:t>MSEC provides water utility service to over 5,000 connections through three permitted public water systems and sewer utility service to seven commercial connections.</w:t>
      </w:r>
    </w:p>
    <w:p w:rsidR="009022E9" w:rsidRDefault="009022E9" w:rsidP="009022E9">
      <w:pPr>
        <w:pStyle w:val="FOFNumbered"/>
      </w:pPr>
      <w:r w:rsidRPr="00363FA4">
        <w:lastRenderedPageBreak/>
        <w:t>MSEC’s customer base is changing from a predominantly rural and residential base to a more varied mix of uses.</w:t>
      </w:r>
    </w:p>
    <w:p w:rsidR="0077140F" w:rsidRPr="009D472F" w:rsidRDefault="0077140F" w:rsidP="00EE5DDA">
      <w:pPr>
        <w:pStyle w:val="FOFNumbered"/>
      </w:pPr>
      <w:r>
        <w:t>On February 9, 2018, Order No. 1</w:t>
      </w:r>
      <w:r w:rsidR="009D472F" w:rsidRPr="009D472F">
        <w:rPr>
          <w:bCs/>
          <w:szCs w:val="24"/>
        </w:rPr>
        <w:t xml:space="preserve"> </w:t>
      </w:r>
      <w:r w:rsidR="002D0C88">
        <w:rPr>
          <w:bCs/>
          <w:szCs w:val="24"/>
        </w:rPr>
        <w:t xml:space="preserve">was issued </w:t>
      </w:r>
      <w:r w:rsidR="009D472F">
        <w:rPr>
          <w:bCs/>
          <w:szCs w:val="24"/>
        </w:rPr>
        <w:t xml:space="preserve">requiring </w:t>
      </w:r>
      <w:r w:rsidR="009D472F" w:rsidRPr="00523C49">
        <w:rPr>
          <w:bCs/>
          <w:szCs w:val="24"/>
        </w:rPr>
        <w:t xml:space="preserve">Commission Staff comments </w:t>
      </w:r>
      <w:r w:rsidR="009D472F">
        <w:rPr>
          <w:bCs/>
          <w:szCs w:val="24"/>
        </w:rPr>
        <w:t>a</w:t>
      </w:r>
      <w:r w:rsidR="005B03F6">
        <w:rPr>
          <w:bCs/>
          <w:szCs w:val="24"/>
        </w:rPr>
        <w:t>nd recommendation</w:t>
      </w:r>
      <w:r w:rsidR="009D472F">
        <w:rPr>
          <w:bCs/>
          <w:szCs w:val="24"/>
        </w:rPr>
        <w:t xml:space="preserve"> regarding MSEC’s petition</w:t>
      </w:r>
      <w:r w:rsidR="005B03F6">
        <w:rPr>
          <w:bCs/>
          <w:szCs w:val="24"/>
        </w:rPr>
        <w:t xml:space="preserve">, </w:t>
      </w:r>
      <w:r w:rsidR="009D472F">
        <w:rPr>
          <w:bCs/>
          <w:szCs w:val="24"/>
        </w:rPr>
        <w:t>form and content of notice, if any, to be provided, and</w:t>
      </w:r>
      <w:r w:rsidR="009D472F" w:rsidRPr="00523C49">
        <w:rPr>
          <w:bCs/>
          <w:szCs w:val="24"/>
        </w:rPr>
        <w:t xml:space="preserve"> </w:t>
      </w:r>
      <w:r w:rsidR="009A20EF">
        <w:rPr>
          <w:bCs/>
          <w:szCs w:val="24"/>
        </w:rPr>
        <w:t xml:space="preserve">a </w:t>
      </w:r>
      <w:r w:rsidR="009D472F">
        <w:rPr>
          <w:bCs/>
          <w:szCs w:val="24"/>
        </w:rPr>
        <w:t>propose</w:t>
      </w:r>
      <w:r w:rsidR="009A20EF">
        <w:rPr>
          <w:bCs/>
          <w:szCs w:val="24"/>
        </w:rPr>
        <w:t>d</w:t>
      </w:r>
      <w:r w:rsidR="009D472F">
        <w:rPr>
          <w:bCs/>
          <w:szCs w:val="24"/>
        </w:rPr>
        <w:t xml:space="preserve"> procedural schedule for processing </w:t>
      </w:r>
      <w:r w:rsidR="005B03F6">
        <w:rPr>
          <w:bCs/>
          <w:szCs w:val="24"/>
        </w:rPr>
        <w:t>the petition.</w:t>
      </w:r>
    </w:p>
    <w:p w:rsidR="009D472F" w:rsidRPr="000E5E5A" w:rsidRDefault="009D472F" w:rsidP="009022E9">
      <w:pPr>
        <w:pStyle w:val="FOFNumbered"/>
      </w:pPr>
      <w:r>
        <w:t>On March 9, 2018, Commission Staff recommended that MSEC</w:t>
      </w:r>
      <w:r w:rsidR="00BD72AC">
        <w:t xml:space="preserve"> </w:t>
      </w:r>
      <w:r>
        <w:t>be granted a good cause exception and be ordered to file a rate application within 18 months of the date it begins providing service to a larger meter size under the rates approved in this docket.</w:t>
      </w:r>
    </w:p>
    <w:p w:rsidR="009D472F" w:rsidRDefault="009022E9" w:rsidP="009022E9">
      <w:pPr>
        <w:pStyle w:val="Heading7"/>
      </w:pPr>
      <w:r>
        <w:t>MSEC’s</w:t>
      </w:r>
      <w:r w:rsidR="000E5E5A">
        <w:t xml:space="preserve"> </w:t>
      </w:r>
      <w:r>
        <w:t xml:space="preserve">Good Cause </w:t>
      </w:r>
      <w:r w:rsidR="000E5E5A">
        <w:t>Request</w:t>
      </w:r>
    </w:p>
    <w:p w:rsidR="009022E9" w:rsidRPr="009022E9" w:rsidRDefault="009022E9" w:rsidP="009022E9">
      <w:pPr>
        <w:pStyle w:val="FOFNumbered"/>
      </w:pPr>
      <w:r w:rsidRPr="009022E9">
        <w:t>MSEC requests authority to add larger meters to the water tariff to serve larger customers and requests approval of an accompanying tariff without having to undertake the time and expense of filing a full statement of intent.</w:t>
      </w:r>
    </w:p>
    <w:p w:rsidR="00616768" w:rsidRPr="009022E9" w:rsidRDefault="009022E9" w:rsidP="009022E9">
      <w:pPr>
        <w:pStyle w:val="FOFNumbered"/>
      </w:pPr>
      <w:r w:rsidRPr="009022E9">
        <w:t>MSEC does not have any current customers with meters larger than 3 inches; therefore, existing customer rates will remain unchanged.</w:t>
      </w:r>
    </w:p>
    <w:p w:rsidR="00941115" w:rsidRPr="009022E9" w:rsidRDefault="00C9565E" w:rsidP="009022E9">
      <w:pPr>
        <w:pStyle w:val="FOFNumbered"/>
      </w:pPr>
      <w:r w:rsidRPr="009022E9">
        <w:t>MSEC has a reasonable expectation that it will be required to provide water utility service to users that require larger meters than are identified in its existing tariff.</w:t>
      </w:r>
    </w:p>
    <w:p w:rsidR="007364ED" w:rsidRPr="00CD5567" w:rsidRDefault="006478A5" w:rsidP="009022E9">
      <w:pPr>
        <w:pStyle w:val="FOFNumbered"/>
      </w:pPr>
      <w:r w:rsidRPr="009022E9">
        <w:t>MSEC’s current Commission-approved water utility tariff, originally implemented in</w:t>
      </w:r>
      <w:r w:rsidRPr="00CD5567">
        <w:t xml:space="preserve"> 1997, has provisions for meters ranging in size from 5/8 </w:t>
      </w:r>
      <w:r w:rsidR="002D0C88">
        <w:t xml:space="preserve">inches </w:t>
      </w:r>
      <w:r w:rsidRPr="00CD5567">
        <w:t>to 3 inches.</w:t>
      </w:r>
    </w:p>
    <w:p w:rsidR="007364ED" w:rsidRDefault="009022E9" w:rsidP="007364ED">
      <w:pPr>
        <w:pStyle w:val="FOFNumbered"/>
      </w:pPr>
      <w:r>
        <w:t>MSEC’s</w:t>
      </w:r>
      <w:r w:rsidR="006478A5" w:rsidRPr="007364ED">
        <w:t xml:space="preserve"> need for larger meters</w:t>
      </w:r>
      <w:r w:rsidR="007364ED" w:rsidRPr="007364ED">
        <w:t xml:space="preserve"> was not foreseen at the time the tariff was originally written and approved, but</w:t>
      </w:r>
      <w:r w:rsidR="0075328F">
        <w:t>,</w:t>
      </w:r>
      <w:r w:rsidR="00CB06C5">
        <w:t xml:space="preserve"> because of the reasonably-</w:t>
      </w:r>
      <w:r w:rsidR="007364ED" w:rsidRPr="007364ED">
        <w:t xml:space="preserve">anticipated need for larger meter sizes now, MSEC needs to revise </w:t>
      </w:r>
      <w:r w:rsidR="00CB06C5">
        <w:t>the</w:t>
      </w:r>
      <w:r w:rsidR="007364ED" w:rsidRPr="007364ED">
        <w:t xml:space="preserve"> water tariff to add rates for larger meters.</w:t>
      </w:r>
    </w:p>
    <w:p w:rsidR="002D0C88" w:rsidRDefault="00161537" w:rsidP="0075328F">
      <w:pPr>
        <w:pStyle w:val="FOFNumbered"/>
      </w:pPr>
      <w:r>
        <w:t xml:space="preserve">MSEC requested </w:t>
      </w:r>
      <w:r w:rsidR="00CB06C5">
        <w:t xml:space="preserve">the addition of </w:t>
      </w:r>
      <w:r>
        <w:t>base rate provisions to the existing tariff for 4</w:t>
      </w:r>
      <w:r w:rsidR="00CB73A1">
        <w:t>-</w:t>
      </w:r>
      <w:r>
        <w:t>, 6</w:t>
      </w:r>
      <w:r w:rsidR="00CB73A1">
        <w:t>-</w:t>
      </w:r>
      <w:r>
        <w:t>, 8</w:t>
      </w:r>
      <w:r w:rsidR="00CB73A1">
        <w:t>-</w:t>
      </w:r>
      <w:r>
        <w:t>, 10</w:t>
      </w:r>
      <w:r w:rsidR="00CB73A1">
        <w:t>-</w:t>
      </w:r>
      <w:bookmarkStart w:id="0" w:name="_GoBack"/>
      <w:bookmarkEnd w:id="0"/>
      <w:r w:rsidR="00CB06C5">
        <w:t xml:space="preserve"> </w:t>
      </w:r>
      <w:r>
        <w:t>and 12</w:t>
      </w:r>
      <w:r w:rsidR="00E05393">
        <w:t>-</w:t>
      </w:r>
      <w:r>
        <w:t xml:space="preserve">inch meters without seeking approval through a regular rate change application. </w:t>
      </w:r>
    </w:p>
    <w:p w:rsidR="002D0C88" w:rsidRDefault="002D0C88">
      <w:pPr>
        <w:spacing w:after="160" w:line="259" w:lineRule="auto"/>
        <w:rPr>
          <w:rFonts w:eastAsia="Times New Roman"/>
          <w:snapToGrid w:val="0"/>
          <w:szCs w:val="20"/>
        </w:rPr>
      </w:pPr>
      <w:r>
        <w:br w:type="page"/>
      </w:r>
    </w:p>
    <w:p w:rsidR="007364ED" w:rsidRDefault="007364ED" w:rsidP="00E05393">
      <w:pPr>
        <w:pStyle w:val="FOFNumbered"/>
        <w:spacing w:after="120"/>
      </w:pPr>
      <w:r>
        <w:t>MSEC’s proposed rate schedule for the larger meter sizes is as follows:</w:t>
      </w:r>
    </w:p>
    <w:tbl>
      <w:tblPr>
        <w:tblStyle w:val="TableGrid"/>
        <w:tblW w:w="0" w:type="auto"/>
        <w:tblInd w:w="1163" w:type="dxa"/>
        <w:tblLook w:val="04A0" w:firstRow="1" w:lastRow="0" w:firstColumn="1" w:lastColumn="0" w:noHBand="0" w:noVBand="1"/>
      </w:tblPr>
      <w:tblGrid>
        <w:gridCol w:w="1350"/>
        <w:gridCol w:w="2700"/>
        <w:gridCol w:w="2970"/>
      </w:tblGrid>
      <w:tr w:rsidR="007364ED" w:rsidTr="007364ED">
        <w:tc>
          <w:tcPr>
            <w:tcW w:w="1350" w:type="dxa"/>
          </w:tcPr>
          <w:p w:rsidR="007364ED" w:rsidRDefault="007364ED" w:rsidP="007364ED">
            <w:pPr>
              <w:pStyle w:val="FOFNumbered"/>
              <w:numPr>
                <w:ilvl w:val="0"/>
                <w:numId w:val="0"/>
              </w:numPr>
              <w:spacing w:before="60" w:line="240" w:lineRule="auto"/>
              <w:jc w:val="center"/>
            </w:pPr>
            <w:r>
              <w:t>Meter Size</w:t>
            </w:r>
          </w:p>
        </w:tc>
        <w:tc>
          <w:tcPr>
            <w:tcW w:w="2700" w:type="dxa"/>
          </w:tcPr>
          <w:p w:rsidR="007364ED" w:rsidRDefault="007364ED" w:rsidP="007364ED">
            <w:pPr>
              <w:pStyle w:val="FOFNumbered"/>
              <w:numPr>
                <w:ilvl w:val="0"/>
                <w:numId w:val="0"/>
              </w:numPr>
              <w:spacing w:before="60" w:line="240" w:lineRule="auto"/>
              <w:jc w:val="center"/>
            </w:pPr>
            <w:r>
              <w:t>Meter Equivalences</w:t>
            </w:r>
          </w:p>
        </w:tc>
        <w:tc>
          <w:tcPr>
            <w:tcW w:w="2970" w:type="dxa"/>
          </w:tcPr>
          <w:p w:rsidR="007364ED" w:rsidRDefault="007364ED" w:rsidP="007364ED">
            <w:pPr>
              <w:pStyle w:val="FOFNumbered"/>
              <w:numPr>
                <w:ilvl w:val="0"/>
                <w:numId w:val="0"/>
              </w:numPr>
              <w:spacing w:before="60" w:line="240" w:lineRule="auto"/>
            </w:pPr>
            <w:r>
              <w:t>MSEC Proposed Base Rate</w:t>
            </w:r>
          </w:p>
        </w:tc>
      </w:tr>
      <w:tr w:rsidR="007364ED" w:rsidTr="007364ED">
        <w:tc>
          <w:tcPr>
            <w:tcW w:w="1350" w:type="dxa"/>
          </w:tcPr>
          <w:p w:rsidR="007364ED" w:rsidRDefault="007364ED" w:rsidP="007364ED">
            <w:pPr>
              <w:pStyle w:val="FOFNumbered"/>
              <w:numPr>
                <w:ilvl w:val="0"/>
                <w:numId w:val="0"/>
              </w:numPr>
              <w:spacing w:before="60" w:line="240" w:lineRule="auto"/>
              <w:jc w:val="center"/>
            </w:pPr>
            <w:r>
              <w:t>4”</w:t>
            </w:r>
          </w:p>
        </w:tc>
        <w:tc>
          <w:tcPr>
            <w:tcW w:w="2700" w:type="dxa"/>
          </w:tcPr>
          <w:p w:rsidR="007364ED" w:rsidRDefault="007364ED" w:rsidP="007364ED">
            <w:pPr>
              <w:pStyle w:val="FOFNumbered"/>
              <w:numPr>
                <w:ilvl w:val="0"/>
                <w:numId w:val="0"/>
              </w:numPr>
              <w:spacing w:before="60" w:line="240" w:lineRule="auto"/>
              <w:jc w:val="center"/>
            </w:pPr>
            <w:r>
              <w:t>32.5</w:t>
            </w:r>
          </w:p>
        </w:tc>
        <w:tc>
          <w:tcPr>
            <w:tcW w:w="2970" w:type="dxa"/>
          </w:tcPr>
          <w:p w:rsidR="007364ED" w:rsidRDefault="007364ED" w:rsidP="007364ED">
            <w:pPr>
              <w:pStyle w:val="FOFNumbered"/>
              <w:numPr>
                <w:ilvl w:val="0"/>
                <w:numId w:val="0"/>
              </w:numPr>
              <w:spacing w:before="60" w:line="240" w:lineRule="auto"/>
              <w:jc w:val="center"/>
            </w:pPr>
            <w:r>
              <w:t>$  715.00</w:t>
            </w:r>
          </w:p>
        </w:tc>
      </w:tr>
      <w:tr w:rsidR="007364ED" w:rsidTr="007364ED">
        <w:tc>
          <w:tcPr>
            <w:tcW w:w="1350" w:type="dxa"/>
          </w:tcPr>
          <w:p w:rsidR="007364ED" w:rsidRDefault="007364ED" w:rsidP="007364ED">
            <w:pPr>
              <w:pStyle w:val="FOFNumbered"/>
              <w:numPr>
                <w:ilvl w:val="0"/>
                <w:numId w:val="0"/>
              </w:numPr>
              <w:spacing w:before="60" w:line="240" w:lineRule="auto"/>
              <w:jc w:val="center"/>
            </w:pPr>
            <w:r>
              <w:t>6”</w:t>
            </w:r>
          </w:p>
        </w:tc>
        <w:tc>
          <w:tcPr>
            <w:tcW w:w="2700" w:type="dxa"/>
          </w:tcPr>
          <w:p w:rsidR="007364ED" w:rsidRDefault="007364ED" w:rsidP="007364ED">
            <w:pPr>
              <w:pStyle w:val="FOFNumbered"/>
              <w:numPr>
                <w:ilvl w:val="0"/>
                <w:numId w:val="0"/>
              </w:numPr>
              <w:spacing w:before="60" w:line="240" w:lineRule="auto"/>
              <w:jc w:val="center"/>
            </w:pPr>
            <w:r>
              <w:t>70</w:t>
            </w:r>
          </w:p>
        </w:tc>
        <w:tc>
          <w:tcPr>
            <w:tcW w:w="2970" w:type="dxa"/>
          </w:tcPr>
          <w:p w:rsidR="007364ED" w:rsidRDefault="007364ED" w:rsidP="007364ED">
            <w:pPr>
              <w:pStyle w:val="FOFNumbered"/>
              <w:numPr>
                <w:ilvl w:val="0"/>
                <w:numId w:val="0"/>
              </w:numPr>
              <w:spacing w:before="60" w:line="240" w:lineRule="auto"/>
              <w:jc w:val="center"/>
            </w:pPr>
            <w:r>
              <w:t xml:space="preserve"> 1,540.00</w:t>
            </w:r>
          </w:p>
        </w:tc>
      </w:tr>
      <w:tr w:rsidR="007364ED" w:rsidTr="007364ED">
        <w:tc>
          <w:tcPr>
            <w:tcW w:w="1350" w:type="dxa"/>
          </w:tcPr>
          <w:p w:rsidR="007364ED" w:rsidRDefault="007364ED" w:rsidP="007364ED">
            <w:pPr>
              <w:pStyle w:val="FOFNumbered"/>
              <w:numPr>
                <w:ilvl w:val="0"/>
                <w:numId w:val="0"/>
              </w:numPr>
              <w:spacing w:before="60" w:line="240" w:lineRule="auto"/>
              <w:jc w:val="center"/>
            </w:pPr>
            <w:r>
              <w:t>8”</w:t>
            </w:r>
          </w:p>
        </w:tc>
        <w:tc>
          <w:tcPr>
            <w:tcW w:w="2700" w:type="dxa"/>
          </w:tcPr>
          <w:p w:rsidR="007364ED" w:rsidRDefault="007364ED" w:rsidP="007364ED">
            <w:pPr>
              <w:pStyle w:val="FOFNumbered"/>
              <w:numPr>
                <w:ilvl w:val="0"/>
                <w:numId w:val="0"/>
              </w:numPr>
              <w:spacing w:before="60" w:line="240" w:lineRule="auto"/>
              <w:jc w:val="center"/>
            </w:pPr>
            <w:r>
              <w:t>120</w:t>
            </w:r>
          </w:p>
        </w:tc>
        <w:tc>
          <w:tcPr>
            <w:tcW w:w="2970" w:type="dxa"/>
          </w:tcPr>
          <w:p w:rsidR="007364ED" w:rsidRDefault="007364ED" w:rsidP="007364ED">
            <w:pPr>
              <w:pStyle w:val="FOFNumbered"/>
              <w:numPr>
                <w:ilvl w:val="0"/>
                <w:numId w:val="0"/>
              </w:numPr>
              <w:spacing w:before="60" w:line="240" w:lineRule="auto"/>
              <w:jc w:val="center"/>
            </w:pPr>
            <w:r>
              <w:t xml:space="preserve"> 2,640.00</w:t>
            </w:r>
          </w:p>
        </w:tc>
      </w:tr>
      <w:tr w:rsidR="007364ED" w:rsidTr="007364ED">
        <w:tc>
          <w:tcPr>
            <w:tcW w:w="1350" w:type="dxa"/>
          </w:tcPr>
          <w:p w:rsidR="007364ED" w:rsidRDefault="007364ED" w:rsidP="007364ED">
            <w:pPr>
              <w:pStyle w:val="FOFNumbered"/>
              <w:numPr>
                <w:ilvl w:val="0"/>
                <w:numId w:val="0"/>
              </w:numPr>
              <w:spacing w:before="60" w:line="240" w:lineRule="auto"/>
              <w:jc w:val="center"/>
            </w:pPr>
            <w:r>
              <w:t>10”</w:t>
            </w:r>
          </w:p>
        </w:tc>
        <w:tc>
          <w:tcPr>
            <w:tcW w:w="2700" w:type="dxa"/>
          </w:tcPr>
          <w:p w:rsidR="007364ED" w:rsidRDefault="007364ED" w:rsidP="007364ED">
            <w:pPr>
              <w:pStyle w:val="FOFNumbered"/>
              <w:numPr>
                <w:ilvl w:val="0"/>
                <w:numId w:val="0"/>
              </w:numPr>
              <w:spacing w:before="60" w:line="240" w:lineRule="auto"/>
              <w:jc w:val="center"/>
            </w:pPr>
            <w:r>
              <w:t>190</w:t>
            </w:r>
          </w:p>
        </w:tc>
        <w:tc>
          <w:tcPr>
            <w:tcW w:w="2970" w:type="dxa"/>
          </w:tcPr>
          <w:p w:rsidR="007364ED" w:rsidRDefault="007364ED" w:rsidP="007364ED">
            <w:pPr>
              <w:pStyle w:val="FOFNumbered"/>
              <w:numPr>
                <w:ilvl w:val="0"/>
                <w:numId w:val="0"/>
              </w:numPr>
              <w:spacing w:before="60" w:line="240" w:lineRule="auto"/>
              <w:jc w:val="center"/>
            </w:pPr>
            <w:r>
              <w:t xml:space="preserve"> 4,180.00</w:t>
            </w:r>
          </w:p>
        </w:tc>
      </w:tr>
      <w:tr w:rsidR="007364ED" w:rsidTr="007364ED">
        <w:tc>
          <w:tcPr>
            <w:tcW w:w="1350" w:type="dxa"/>
          </w:tcPr>
          <w:p w:rsidR="007364ED" w:rsidRDefault="007364ED" w:rsidP="007364ED">
            <w:pPr>
              <w:pStyle w:val="FOFNumbered"/>
              <w:numPr>
                <w:ilvl w:val="0"/>
                <w:numId w:val="0"/>
              </w:numPr>
              <w:spacing w:before="60" w:line="240" w:lineRule="auto"/>
              <w:jc w:val="center"/>
            </w:pPr>
            <w:r>
              <w:t>12”</w:t>
            </w:r>
          </w:p>
        </w:tc>
        <w:tc>
          <w:tcPr>
            <w:tcW w:w="2700" w:type="dxa"/>
          </w:tcPr>
          <w:p w:rsidR="007364ED" w:rsidRDefault="007364ED" w:rsidP="007364ED">
            <w:pPr>
              <w:pStyle w:val="FOFNumbered"/>
              <w:numPr>
                <w:ilvl w:val="0"/>
                <w:numId w:val="0"/>
              </w:numPr>
              <w:spacing w:before="60" w:line="240" w:lineRule="auto"/>
              <w:jc w:val="center"/>
            </w:pPr>
            <w:r>
              <w:t>310</w:t>
            </w:r>
          </w:p>
        </w:tc>
        <w:tc>
          <w:tcPr>
            <w:tcW w:w="2970" w:type="dxa"/>
          </w:tcPr>
          <w:p w:rsidR="007364ED" w:rsidRDefault="007364ED" w:rsidP="007364ED">
            <w:pPr>
              <w:pStyle w:val="FOFNumbered"/>
              <w:numPr>
                <w:ilvl w:val="0"/>
                <w:numId w:val="0"/>
              </w:numPr>
              <w:spacing w:before="60" w:line="240" w:lineRule="auto"/>
              <w:jc w:val="center"/>
            </w:pPr>
            <w:r>
              <w:t xml:space="preserve"> 6,820.00</w:t>
            </w:r>
          </w:p>
        </w:tc>
      </w:tr>
    </w:tbl>
    <w:p w:rsidR="00731528" w:rsidRDefault="00731528" w:rsidP="00E05393">
      <w:pPr>
        <w:pStyle w:val="FOFNumbered"/>
        <w:spacing w:before="360"/>
      </w:pPr>
      <w:r>
        <w:t>MSEC calculated the proposed base rates for the larger meters using industry standards (meter equivalencies).</w:t>
      </w:r>
    </w:p>
    <w:p w:rsidR="00CB06C5" w:rsidRDefault="00CB06C5" w:rsidP="005454A7">
      <w:pPr>
        <w:pStyle w:val="FOFNumbered"/>
      </w:pPr>
      <w:r>
        <w:t>Commission Staff agrees that MSEC’s proposed method for calculating base rates for the larger meters is appropriate.</w:t>
      </w:r>
    </w:p>
    <w:p w:rsidR="00BD72AC" w:rsidRDefault="00CB06C5" w:rsidP="005454A7">
      <w:pPr>
        <w:pStyle w:val="Heading7"/>
      </w:pPr>
      <w:r>
        <w:t>Tariff Provisions</w:t>
      </w:r>
    </w:p>
    <w:p w:rsidR="005454A7" w:rsidRPr="005454A7" w:rsidRDefault="005454A7" w:rsidP="005454A7">
      <w:pPr>
        <w:pStyle w:val="FOFNumbered"/>
      </w:pPr>
      <w:r w:rsidRPr="005454A7">
        <w:t>The Commission’s rules require a utility to charge only those rates contained in an approved tariff.</w:t>
      </w:r>
    </w:p>
    <w:p w:rsidR="005454A7" w:rsidRPr="005454A7" w:rsidRDefault="005454A7" w:rsidP="005454A7">
      <w:pPr>
        <w:pStyle w:val="FOFNumbered"/>
      </w:pPr>
      <w:r w:rsidRPr="005454A7">
        <w:t>A utility’s approved tariff may not be changed or amended without Commission approval.</w:t>
      </w:r>
    </w:p>
    <w:p w:rsidR="00CD5567" w:rsidRDefault="00CD5567" w:rsidP="005454A7">
      <w:pPr>
        <w:pStyle w:val="FOFNumbered"/>
      </w:pPr>
      <w:r w:rsidRPr="005454A7">
        <w:t>A tariff may be implemented without the need for a rate change application when:</w:t>
      </w:r>
      <w:r w:rsidR="005454A7" w:rsidRPr="005454A7">
        <w:t xml:space="preserve">  (a) </w:t>
      </w:r>
      <w:r w:rsidRPr="005454A7">
        <w:t xml:space="preserve">the tariff is being implemented by a new market entrant wherein the tariff was approved via an application to obtain a </w:t>
      </w:r>
      <w:r w:rsidR="00CB06C5" w:rsidRPr="005454A7">
        <w:t>certificate of convenience and necessity</w:t>
      </w:r>
      <w:r w:rsidRPr="005454A7">
        <w:t xml:space="preserve"> in accordance with 16 TAC §</w:t>
      </w:r>
      <w:r w:rsidR="002D0C88" w:rsidRPr="005454A7">
        <w:t> </w:t>
      </w:r>
      <w:r w:rsidRPr="005454A7">
        <w:t xml:space="preserve">24.21(b)(1); or </w:t>
      </w:r>
      <w:r w:rsidR="005454A7" w:rsidRPr="005454A7">
        <w:t xml:space="preserve">(b) </w:t>
      </w:r>
      <w:r w:rsidRPr="005454A7">
        <w:t>the requested change in the tariff meets the criteria of a “minor rate</w:t>
      </w:r>
      <w:r>
        <w:rPr>
          <w:i/>
        </w:rPr>
        <w:t xml:space="preserve"> change” </w:t>
      </w:r>
      <w:r>
        <w:t>in accordance with 16 TAC § 24.21(b)(2).</w:t>
      </w:r>
    </w:p>
    <w:p w:rsidR="008207A3" w:rsidRDefault="00731528" w:rsidP="005454A7">
      <w:pPr>
        <w:pStyle w:val="FOFNumbered"/>
      </w:pPr>
      <w:r>
        <w:t>MSEC’s requested tariff amendment does not meet the requirements</w:t>
      </w:r>
      <w:r w:rsidR="00CB06C5">
        <w:t xml:space="preserve"> for a rate change without the need for a rate change application</w:t>
      </w:r>
      <w:r w:rsidR="008207A3">
        <w:t>.</w:t>
      </w:r>
    </w:p>
    <w:p w:rsidR="002D0C88" w:rsidRDefault="008207A3" w:rsidP="005454A7">
      <w:pPr>
        <w:pStyle w:val="FOFNumbered"/>
      </w:pPr>
      <w:r>
        <w:t>T</w:t>
      </w:r>
      <w:r w:rsidR="00731528">
        <w:t xml:space="preserve">he requirement to file a complete rate filing package is applicable to </w:t>
      </w:r>
      <w:r>
        <w:t>MSEC’s</w:t>
      </w:r>
      <w:r w:rsidR="00731528">
        <w:t xml:space="preserve"> addition of new meter sizes with new base rates.</w:t>
      </w:r>
    </w:p>
    <w:p w:rsidR="008207A3" w:rsidRDefault="008207A3" w:rsidP="002D0C88">
      <w:pPr>
        <w:pStyle w:val="FOFNumbered"/>
      </w:pPr>
      <w:r>
        <w:t>The Commission may grant, for good cause, an exception to filing a rate change application.</w:t>
      </w:r>
    </w:p>
    <w:p w:rsidR="008207A3" w:rsidRDefault="008207A3" w:rsidP="002D0C88">
      <w:pPr>
        <w:pStyle w:val="FOFNumbered"/>
      </w:pPr>
      <w:r>
        <w:t xml:space="preserve">Good cause exists to grant MSEC’s petition so that pending service requests can be filled. </w:t>
      </w:r>
    </w:p>
    <w:p w:rsidR="008207A3" w:rsidRDefault="008207A3" w:rsidP="008207A3">
      <w:pPr>
        <w:pStyle w:val="Heading7"/>
      </w:pPr>
      <w:r>
        <w:t>Notice</w:t>
      </w:r>
    </w:p>
    <w:p w:rsidR="008207A3" w:rsidRDefault="008207A3" w:rsidP="008207A3">
      <w:pPr>
        <w:pStyle w:val="FOFNumbered"/>
      </w:pPr>
      <w:r>
        <w:t>Because no existing customers will be affected by MSEC’s petition, no notice was necessary or required.</w:t>
      </w:r>
    </w:p>
    <w:p w:rsidR="003A1847" w:rsidRDefault="003A1847" w:rsidP="003A1847">
      <w:pPr>
        <w:pStyle w:val="Heading7"/>
      </w:pPr>
      <w:r>
        <w:t>Informal Disposition</w:t>
      </w:r>
    </w:p>
    <w:p w:rsidR="003A1847" w:rsidRDefault="003A1847" w:rsidP="003A1847">
      <w:pPr>
        <w:pStyle w:val="FOFNumbered"/>
      </w:pPr>
      <w:r>
        <w:t>Commission Staff and MSEC are the only parties to this proceeding.</w:t>
      </w:r>
    </w:p>
    <w:p w:rsidR="003A1847" w:rsidRPr="003A1847" w:rsidRDefault="003A1847" w:rsidP="003A1847">
      <w:pPr>
        <w:pStyle w:val="FOFNumbered"/>
      </w:pPr>
      <w:r>
        <w:t>No issues of fact or law are disputed by any party.</w:t>
      </w:r>
    </w:p>
    <w:p w:rsidR="00EE5DDA" w:rsidRDefault="00EE5DDA" w:rsidP="00EE5DDA">
      <w:pPr>
        <w:pStyle w:val="Heading1"/>
      </w:pPr>
      <w:r>
        <w:t>Conclusions of Law</w:t>
      </w:r>
    </w:p>
    <w:p w:rsidR="00EE5DDA" w:rsidRDefault="00263F99" w:rsidP="00EE5DDA">
      <w:pPr>
        <w:pStyle w:val="COLNumbered"/>
      </w:pPr>
      <w:r>
        <w:t>MSEC is a retail public utility under Texas Water Code § 13.002(19)</w:t>
      </w:r>
      <w:r>
        <w:rPr>
          <w:rStyle w:val="FootnoteReference"/>
        </w:rPr>
        <w:footnoteReference w:id="1"/>
      </w:r>
      <w:r w:rsidR="005D453C">
        <w:t xml:space="preserve"> and 16 Texas Administrative Code (TAC) § 24.3(59).</w:t>
      </w:r>
    </w:p>
    <w:p w:rsidR="00EA1883" w:rsidRDefault="005D453C" w:rsidP="00EE5DDA">
      <w:pPr>
        <w:pStyle w:val="COLNumbered"/>
      </w:pPr>
      <w:r>
        <w:t>The Commission has jurisdiction over th</w:t>
      </w:r>
      <w:r w:rsidR="00E05393">
        <w:t>e</w:t>
      </w:r>
      <w:r>
        <w:t xml:space="preserve"> petition under TWC §</w:t>
      </w:r>
      <w:r w:rsidR="009A20EF">
        <w:t xml:space="preserve">§ </w:t>
      </w:r>
      <w:r>
        <w:t>13.041</w:t>
      </w:r>
      <w:r w:rsidR="009A20EF">
        <w:t xml:space="preserve"> and 13.181</w:t>
      </w:r>
      <w:r w:rsidR="00EA1883">
        <w:t>.</w:t>
      </w:r>
    </w:p>
    <w:p w:rsidR="00EA1883" w:rsidRDefault="00EA1883" w:rsidP="00EE5DDA">
      <w:pPr>
        <w:pStyle w:val="COLNumbered"/>
      </w:pPr>
      <w:r>
        <w:t>The petition was processed in accordance with the TWC and Commission rules.</w:t>
      </w:r>
    </w:p>
    <w:p w:rsidR="00EA1883" w:rsidRDefault="00EA1883" w:rsidP="00EE5DDA">
      <w:pPr>
        <w:pStyle w:val="COLNumbered"/>
      </w:pPr>
      <w:r>
        <w:t>The Commission may make exceptions to its rules under 16 TAC §§ 22.5(b) and 24.2(b).</w:t>
      </w:r>
    </w:p>
    <w:p w:rsidR="00EA1883" w:rsidRDefault="009A20EF" w:rsidP="00EE5DDA">
      <w:pPr>
        <w:pStyle w:val="COLNumbered"/>
      </w:pPr>
      <w:r>
        <w:t>Under 16 TAC § 24.2(b), good cause exists to grant an exception from the application requirements in 16 TAC § 24.22</w:t>
      </w:r>
      <w:r w:rsidR="003501BE">
        <w:t>.</w:t>
      </w:r>
    </w:p>
    <w:p w:rsidR="003501BE" w:rsidRDefault="003501BE" w:rsidP="00EE5DDA">
      <w:pPr>
        <w:pStyle w:val="COLNumbered"/>
      </w:pPr>
      <w:r>
        <w:t xml:space="preserve">The requirements for informal disposition in 16 </w:t>
      </w:r>
      <w:r w:rsidR="007917AA">
        <w:t xml:space="preserve">TAC </w:t>
      </w:r>
      <w:r>
        <w:t>§ 22.35 have been met in this proceeding.</w:t>
      </w:r>
    </w:p>
    <w:p w:rsidR="00EE5DDA" w:rsidRDefault="00EE5DDA" w:rsidP="00EA1883">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035EA" w:rsidRDefault="009A20EF" w:rsidP="00A035EA">
      <w:pPr>
        <w:pStyle w:val="OrderingParagraph"/>
      </w:pPr>
      <w:r>
        <w:t xml:space="preserve">The Commission grants </w:t>
      </w:r>
      <w:r w:rsidR="003501BE">
        <w:t xml:space="preserve">MSEC’s petition </w:t>
      </w:r>
      <w:r>
        <w:t>for a good cause exception.</w:t>
      </w:r>
    </w:p>
    <w:p w:rsidR="003501BE" w:rsidRDefault="003501BE" w:rsidP="00A035EA">
      <w:pPr>
        <w:pStyle w:val="OrderingParagraph"/>
      </w:pPr>
      <w:r>
        <w:t>MSEC’s tariff sheet included with this Order is approved.</w:t>
      </w:r>
    </w:p>
    <w:p w:rsidR="003501BE" w:rsidRDefault="003501BE" w:rsidP="00A035EA">
      <w:pPr>
        <w:pStyle w:val="OrderingParagraph"/>
      </w:pPr>
      <w:r>
        <w:t xml:space="preserve">MSEC shall file a </w:t>
      </w:r>
      <w:r w:rsidR="00E05393">
        <w:t xml:space="preserve">statement of intent and rate filing package </w:t>
      </w:r>
      <w:r>
        <w:t>within 18 months of the date it begins providing service to a larger meter size under the rates approved in this Order.</w:t>
      </w:r>
    </w:p>
    <w:p w:rsidR="003501BE" w:rsidRDefault="003501BE" w:rsidP="00A035EA">
      <w:pPr>
        <w:pStyle w:val="OrderingParagraph"/>
      </w:pPr>
      <w:r>
        <w:t xml:space="preserve">All other motions and any other requests for general or specific relief, if not granted, are denied. </w:t>
      </w:r>
    </w:p>
    <w:p w:rsidR="003501BE" w:rsidRDefault="003501BE" w:rsidP="00E05393">
      <w:pPr>
        <w:spacing w:line="259" w:lineRule="auto"/>
        <w:rPr>
          <w:b/>
        </w:rPr>
      </w:pPr>
    </w:p>
    <w:p w:rsidR="00160DCD" w:rsidRDefault="00160DCD" w:rsidP="00160DCD">
      <w:pPr>
        <w:pStyle w:val="Dateline"/>
      </w:pPr>
      <w:r>
        <w:t xml:space="preserve">Signed at Austin, Texas the ______ day of </w:t>
      </w:r>
      <w:r w:rsidR="009A20EF">
        <w:t>May</w:t>
      </w:r>
      <w:r w:rsidR="003501BE">
        <w:t xml:space="preserve"> 2018.</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501BE"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 w:rsidR="00FE4318" w:rsidRPr="003501BE" w:rsidRDefault="00FE4318" w:rsidP="0062202F">
      <w:pPr>
        <w:pStyle w:val="EndMatter"/>
        <w:rPr>
          <w:sz w:val="16"/>
          <w:szCs w:val="16"/>
        </w:rPr>
      </w:pPr>
      <w:r w:rsidRPr="003501BE">
        <w:rPr>
          <w:sz w:val="16"/>
          <w:szCs w:val="16"/>
        </w:rPr>
        <w:t>W2013</w:t>
      </w:r>
    </w:p>
    <w:p w:rsidR="00160DCD" w:rsidRPr="003501BE" w:rsidRDefault="000E5E5A" w:rsidP="0062202F">
      <w:pPr>
        <w:pStyle w:val="EndMatter"/>
        <w:rPr>
          <w:sz w:val="16"/>
          <w:szCs w:val="16"/>
        </w:rPr>
      </w:pPr>
      <w:r w:rsidRPr="003501BE">
        <w:rPr>
          <w:sz w:val="16"/>
          <w:szCs w:val="16"/>
        </w:rPr>
        <w:fldChar w:fldCharType="begin"/>
      </w:r>
      <w:r w:rsidRPr="003501BE">
        <w:rPr>
          <w:sz w:val="16"/>
          <w:szCs w:val="16"/>
        </w:rPr>
        <w:instrText xml:space="preserve"> FILENAME  \* Lower \p  \* MERGEFORMAT </w:instrText>
      </w:r>
      <w:r w:rsidRPr="003501BE">
        <w:rPr>
          <w:sz w:val="16"/>
          <w:szCs w:val="16"/>
        </w:rPr>
        <w:fldChar w:fldCharType="separate"/>
      </w:r>
      <w:r w:rsidR="003501BE">
        <w:rPr>
          <w:noProof/>
          <w:sz w:val="16"/>
          <w:szCs w:val="16"/>
        </w:rPr>
        <w:t>q:\cadm\docket management\water\rates\48xxx\48037po.docx</w:t>
      </w:r>
      <w:r w:rsidRPr="003501BE">
        <w:rPr>
          <w:noProof/>
          <w:sz w:val="16"/>
          <w:szCs w:val="16"/>
        </w:rPr>
        <w:fldChar w:fldCharType="end"/>
      </w:r>
    </w:p>
    <w:sectPr w:rsidR="00160DCD" w:rsidRPr="003501BE"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3D9" w:rsidRDefault="006F33D9" w:rsidP="00D03394">
      <w:r>
        <w:separator/>
      </w:r>
    </w:p>
  </w:endnote>
  <w:endnote w:type="continuationSeparator" w:id="0">
    <w:p w:rsidR="006F33D9" w:rsidRDefault="006F33D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3D9" w:rsidRDefault="006F33D9" w:rsidP="00D03394">
      <w:r>
        <w:separator/>
      </w:r>
    </w:p>
  </w:footnote>
  <w:footnote w:type="continuationSeparator" w:id="0">
    <w:p w:rsidR="006F33D9" w:rsidRDefault="006F33D9" w:rsidP="00D03394">
      <w:r>
        <w:continuationSeparator/>
      </w:r>
    </w:p>
  </w:footnote>
  <w:footnote w:id="1">
    <w:p w:rsidR="00263F99" w:rsidRDefault="00263F99" w:rsidP="00263F99">
      <w:pPr>
        <w:pStyle w:val="FootnoteText"/>
        <w:spacing w:after="120"/>
      </w:pPr>
      <w:r>
        <w:rPr>
          <w:rStyle w:val="FootnoteReference"/>
        </w:rPr>
        <w:footnoteRef/>
      </w:r>
      <w:r>
        <w:t xml:space="preserve"> Tex. Water Code Ann. § 13.002(19) (West 2008 &amp; Supp. 2017) (TWC).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6478A5">
    <w:pPr>
      <w:pStyle w:val="Header"/>
      <w:tabs>
        <w:tab w:val="clear" w:pos="4680"/>
        <w:tab w:val="center" w:pos="4950"/>
      </w:tabs>
    </w:pPr>
    <w:r>
      <w:t>Docket No. </w:t>
    </w:r>
    <w:r w:rsidR="006478A5">
      <w:t>48037</w:t>
    </w:r>
    <w:r>
      <w:tab/>
    </w:r>
    <w:r w:rsidR="006478A5">
      <w:t xml:space="preserve">Proposed </w:t>
    </w:r>
    <w:r>
      <w:t>Order</w:t>
    </w:r>
    <w:r>
      <w:tab/>
      <w:t xml:space="preserve">Page </w:t>
    </w:r>
    <w:r>
      <w:fldChar w:fldCharType="begin"/>
    </w:r>
    <w:r>
      <w:instrText xml:space="preserve"> PAGE   \* MERGEFORMAT </w:instrText>
    </w:r>
    <w:r>
      <w:fldChar w:fldCharType="separate"/>
    </w:r>
    <w:r w:rsidR="00CB73A1">
      <w:rPr>
        <w:noProof/>
      </w:rPr>
      <w:t>5</w:t>
    </w:r>
    <w:r>
      <w:fldChar w:fldCharType="end"/>
    </w:r>
    <w:r>
      <w:t xml:space="preserve"> of </w:t>
    </w:r>
    <w:fldSimple w:instr=" NUMPAGES   \* MERGEFORMAT ">
      <w:r w:rsidR="00CB73A1">
        <w:rPr>
          <w:noProof/>
        </w:rPr>
        <w:t>5</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3D9"/>
    <w:rsid w:val="000E5DBE"/>
    <w:rsid w:val="000E5E5A"/>
    <w:rsid w:val="001169CA"/>
    <w:rsid w:val="00160DCD"/>
    <w:rsid w:val="00161537"/>
    <w:rsid w:val="001D4F4B"/>
    <w:rsid w:val="001E360C"/>
    <w:rsid w:val="002003F5"/>
    <w:rsid w:val="00232F53"/>
    <w:rsid w:val="00263F99"/>
    <w:rsid w:val="00266F9F"/>
    <w:rsid w:val="002D0C88"/>
    <w:rsid w:val="00312838"/>
    <w:rsid w:val="0032054B"/>
    <w:rsid w:val="003501BE"/>
    <w:rsid w:val="00363FA4"/>
    <w:rsid w:val="003655B2"/>
    <w:rsid w:val="003729E5"/>
    <w:rsid w:val="003A1847"/>
    <w:rsid w:val="004100F1"/>
    <w:rsid w:val="00433B5E"/>
    <w:rsid w:val="004A5F56"/>
    <w:rsid w:val="004E082A"/>
    <w:rsid w:val="005454A7"/>
    <w:rsid w:val="00574282"/>
    <w:rsid w:val="005B03F6"/>
    <w:rsid w:val="005C3512"/>
    <w:rsid w:val="005D453C"/>
    <w:rsid w:val="00616768"/>
    <w:rsid w:val="0062202F"/>
    <w:rsid w:val="006478A5"/>
    <w:rsid w:val="00677B5E"/>
    <w:rsid w:val="006F33D9"/>
    <w:rsid w:val="00731528"/>
    <w:rsid w:val="007364ED"/>
    <w:rsid w:val="0075328F"/>
    <w:rsid w:val="007572FC"/>
    <w:rsid w:val="0077140F"/>
    <w:rsid w:val="007917AA"/>
    <w:rsid w:val="007E5F79"/>
    <w:rsid w:val="0080046C"/>
    <w:rsid w:val="008207A3"/>
    <w:rsid w:val="008738BF"/>
    <w:rsid w:val="008D1724"/>
    <w:rsid w:val="009022E9"/>
    <w:rsid w:val="0090791E"/>
    <w:rsid w:val="00941115"/>
    <w:rsid w:val="009727E0"/>
    <w:rsid w:val="009A20EF"/>
    <w:rsid w:val="009C1919"/>
    <w:rsid w:val="009D472F"/>
    <w:rsid w:val="00A035EA"/>
    <w:rsid w:val="00A40798"/>
    <w:rsid w:val="00A64ADE"/>
    <w:rsid w:val="00A95ECD"/>
    <w:rsid w:val="00AD5C62"/>
    <w:rsid w:val="00AE6E43"/>
    <w:rsid w:val="00AF4602"/>
    <w:rsid w:val="00AF618F"/>
    <w:rsid w:val="00B22348"/>
    <w:rsid w:val="00B71CA8"/>
    <w:rsid w:val="00BA6925"/>
    <w:rsid w:val="00BD72AC"/>
    <w:rsid w:val="00C54659"/>
    <w:rsid w:val="00C83D2C"/>
    <w:rsid w:val="00C9565E"/>
    <w:rsid w:val="00CB06C5"/>
    <w:rsid w:val="00CB73A1"/>
    <w:rsid w:val="00CD5567"/>
    <w:rsid w:val="00D03394"/>
    <w:rsid w:val="00D1503F"/>
    <w:rsid w:val="00D42BD7"/>
    <w:rsid w:val="00D451DC"/>
    <w:rsid w:val="00D706B4"/>
    <w:rsid w:val="00DA733B"/>
    <w:rsid w:val="00DC3E65"/>
    <w:rsid w:val="00E05393"/>
    <w:rsid w:val="00E277F9"/>
    <w:rsid w:val="00EA1883"/>
    <w:rsid w:val="00EB3FB6"/>
    <w:rsid w:val="00EB7869"/>
    <w:rsid w:val="00ED04FC"/>
    <w:rsid w:val="00EE5DDA"/>
    <w:rsid w:val="00F67E21"/>
    <w:rsid w:val="00F7095D"/>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3C2164E2-8A44-4884-8508-EF301D2A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AE6E43"/>
    <w:rPr>
      <w:b/>
      <w:bCs/>
      <w:caps/>
    </w:rPr>
  </w:style>
  <w:style w:type="paragraph" w:customStyle="1" w:styleId="DocketNumber0">
    <w:name w:val="Docket Number"/>
    <w:basedOn w:val="Title"/>
    <w:link w:val="DocketNumberChar0"/>
    <w:qFormat/>
    <w:rsid w:val="00AE6E43"/>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AE6E43"/>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AE6E43"/>
    <w:rPr>
      <w:rFonts w:eastAsia="SimSun"/>
      <w:b/>
      <w:caps/>
      <w:szCs w:val="20"/>
      <w:lang w:eastAsia="zh-TW"/>
    </w:rPr>
  </w:style>
  <w:style w:type="character" w:customStyle="1" w:styleId="OrderStyleChar">
    <w:name w:val="Order Style Char"/>
    <w:basedOn w:val="DefaultParagraphFont"/>
    <w:link w:val="OrderStyle"/>
    <w:rsid w:val="00AE6E43"/>
    <w:rPr>
      <w:rFonts w:eastAsia="SimSun"/>
      <w:b/>
      <w:caps/>
      <w:szCs w:val="20"/>
      <w:lang w:eastAsia="zh-TW"/>
    </w:rPr>
  </w:style>
  <w:style w:type="paragraph" w:styleId="Title">
    <w:name w:val="Title"/>
    <w:basedOn w:val="Normal"/>
    <w:next w:val="Normal"/>
    <w:link w:val="TitleChar"/>
    <w:uiPriority w:val="10"/>
    <w:rsid w:val="00AE6E4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6E43"/>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md'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98FBA-66BE-4F40-B8A4-3225DD8D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order2013(wmd'a)</Template>
  <TotalTime>574</TotalTime>
  <Pages>5</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58</cp:revision>
  <cp:lastPrinted>2018-04-19T13:51:00Z</cp:lastPrinted>
  <dcterms:created xsi:type="dcterms:W3CDTF">2018-03-15T18:07:00Z</dcterms:created>
  <dcterms:modified xsi:type="dcterms:W3CDTF">2018-04-19T15:16:00Z</dcterms:modified>
</cp:coreProperties>
</file>