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4A28" w14:textId="77777777" w:rsidR="002D2802" w:rsidRPr="002D2802" w:rsidRDefault="002D2802" w:rsidP="002D2802">
      <w:pPr>
        <w:suppressLineNumbers/>
        <w:spacing w:after="480" w:line="240" w:lineRule="auto"/>
        <w:jc w:val="center"/>
        <w:rPr>
          <w:rFonts w:ascii="Times New Roman" w:eastAsia="Times New Roman" w:hAnsi="Times New Roman" w:cs="Times New Roman"/>
          <w:b/>
          <w:sz w:val="24"/>
          <w:szCs w:val="20"/>
        </w:rPr>
      </w:pPr>
      <w:bookmarkStart w:id="0" w:name="_GoBack"/>
      <w:bookmarkEnd w:id="0"/>
      <w:r w:rsidRPr="002D2802">
        <w:rPr>
          <w:rFonts w:ascii="Times New Roman" w:eastAsia="Times New Roman" w:hAnsi="Times New Roman" w:cs="Times New Roman"/>
          <w:b/>
          <w:sz w:val="24"/>
          <w:szCs w:val="20"/>
        </w:rPr>
        <w:t>PROJECT NO. 47668</w:t>
      </w:r>
    </w:p>
    <w:tbl>
      <w:tblPr>
        <w:tblW w:w="0" w:type="auto"/>
        <w:tblLayout w:type="fixed"/>
        <w:tblLook w:val="04A0" w:firstRow="1" w:lastRow="0" w:firstColumn="1" w:lastColumn="0" w:noHBand="0" w:noVBand="1"/>
      </w:tblPr>
      <w:tblGrid>
        <w:gridCol w:w="4518"/>
        <w:gridCol w:w="630"/>
        <w:gridCol w:w="4320"/>
      </w:tblGrid>
      <w:tr w:rsidR="002D2802" w:rsidRPr="002D2802" w14:paraId="1B06BBE3" w14:textId="77777777" w:rsidTr="0010127C">
        <w:tc>
          <w:tcPr>
            <w:tcW w:w="4518" w:type="dxa"/>
          </w:tcPr>
          <w:p w14:paraId="7D03CB00" w14:textId="77777777" w:rsidR="002D2802" w:rsidRPr="002D2802" w:rsidRDefault="002D2802" w:rsidP="002D2802">
            <w:pPr>
              <w:suppressLineNumbers/>
              <w:spacing w:after="0" w:line="240" w:lineRule="auto"/>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 xml:space="preserve">RULEMAKING REGARDING </w:t>
            </w:r>
          </w:p>
          <w:p w14:paraId="158FC37A" w14:textId="77777777" w:rsidR="002D2802" w:rsidRPr="002D2802" w:rsidRDefault="002D2802" w:rsidP="002D2802">
            <w:pPr>
              <w:suppressLineNumbers/>
              <w:spacing w:after="0" w:line="240" w:lineRule="auto"/>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SUBSTANTIVE RULE PURSUANT TO S.B. 1476</w:t>
            </w:r>
          </w:p>
          <w:p w14:paraId="474AD831" w14:textId="77777777" w:rsidR="002D2802" w:rsidRPr="002D2802" w:rsidRDefault="002D2802" w:rsidP="002D2802">
            <w:pPr>
              <w:suppressLineNumbers/>
              <w:spacing w:after="0" w:line="240" w:lineRule="auto"/>
              <w:ind w:right="-198"/>
              <w:rPr>
                <w:rFonts w:ascii="Times New Roman" w:eastAsia="Times New Roman" w:hAnsi="Times New Roman" w:cs="Times New Roman"/>
                <w:b/>
                <w:sz w:val="24"/>
                <w:szCs w:val="20"/>
              </w:rPr>
            </w:pPr>
          </w:p>
        </w:tc>
        <w:tc>
          <w:tcPr>
            <w:tcW w:w="630" w:type="dxa"/>
            <w:hideMark/>
          </w:tcPr>
          <w:p w14:paraId="1D54A479" w14:textId="77777777" w:rsidR="002D2802" w:rsidRPr="002D2802" w:rsidRDefault="002D2802" w:rsidP="002D2802">
            <w:pPr>
              <w:suppressLineNumbers/>
              <w:spacing w:after="0" w:line="240" w:lineRule="auto"/>
              <w:jc w:val="center"/>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w:t>
            </w:r>
          </w:p>
          <w:p w14:paraId="5336732C" w14:textId="77777777" w:rsidR="002D2802" w:rsidRPr="002D2802" w:rsidRDefault="002D2802" w:rsidP="002D2802">
            <w:pPr>
              <w:suppressLineNumbers/>
              <w:spacing w:after="0" w:line="240" w:lineRule="auto"/>
              <w:jc w:val="center"/>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w:t>
            </w:r>
          </w:p>
          <w:p w14:paraId="3FD9BD34" w14:textId="1E64CD1F" w:rsidR="002D2802" w:rsidRPr="002D2802" w:rsidRDefault="002D2802" w:rsidP="00F00954">
            <w:pPr>
              <w:suppressLineNumbers/>
              <w:spacing w:after="0" w:line="240" w:lineRule="auto"/>
              <w:jc w:val="center"/>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w:t>
            </w:r>
          </w:p>
        </w:tc>
        <w:tc>
          <w:tcPr>
            <w:tcW w:w="4320" w:type="dxa"/>
          </w:tcPr>
          <w:p w14:paraId="1F3C4929" w14:textId="77777777" w:rsidR="002D2802" w:rsidRPr="002D2802" w:rsidRDefault="002D2802" w:rsidP="002D2802">
            <w:pPr>
              <w:suppressLineNumbers/>
              <w:spacing w:after="0" w:line="240" w:lineRule="auto"/>
              <w:jc w:val="center"/>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PUBLIC UTILITY COMMISSION</w:t>
            </w:r>
          </w:p>
          <w:p w14:paraId="66CF787E" w14:textId="77777777" w:rsidR="002D2802" w:rsidRPr="002D2802" w:rsidRDefault="002D2802" w:rsidP="002D2802">
            <w:pPr>
              <w:suppressLineNumbers/>
              <w:spacing w:after="0" w:line="240" w:lineRule="auto"/>
              <w:jc w:val="center"/>
              <w:rPr>
                <w:rFonts w:ascii="Times New Roman" w:eastAsia="Times New Roman" w:hAnsi="Times New Roman" w:cs="Times New Roman"/>
                <w:b/>
                <w:sz w:val="24"/>
                <w:szCs w:val="20"/>
              </w:rPr>
            </w:pPr>
          </w:p>
          <w:p w14:paraId="404E685E" w14:textId="77777777" w:rsidR="002D2802" w:rsidRPr="002D2802" w:rsidRDefault="002D2802" w:rsidP="002D2802">
            <w:pPr>
              <w:suppressLineNumbers/>
              <w:spacing w:after="0" w:line="240" w:lineRule="auto"/>
              <w:jc w:val="center"/>
              <w:rPr>
                <w:rFonts w:ascii="Times New Roman" w:eastAsia="Times New Roman" w:hAnsi="Times New Roman" w:cs="Times New Roman"/>
                <w:b/>
                <w:sz w:val="24"/>
                <w:szCs w:val="20"/>
              </w:rPr>
            </w:pPr>
            <w:r w:rsidRPr="002D2802">
              <w:rPr>
                <w:rFonts w:ascii="Times New Roman" w:eastAsia="Times New Roman" w:hAnsi="Times New Roman" w:cs="Times New Roman"/>
                <w:b/>
                <w:sz w:val="24"/>
                <w:szCs w:val="20"/>
              </w:rPr>
              <w:t>OF TEXAS</w:t>
            </w:r>
          </w:p>
        </w:tc>
      </w:tr>
    </w:tbl>
    <w:p w14:paraId="6C62AFDB" w14:textId="2CBF1967" w:rsidR="002D2802" w:rsidRPr="002D2802" w:rsidRDefault="006718F4" w:rsidP="00F00954">
      <w:pPr>
        <w:suppressLineNumbers/>
        <w:spacing w:before="240" w:after="36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ORDER ADOPTING</w:t>
      </w:r>
      <w:r w:rsidR="002D2802" w:rsidRPr="002D2802">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rPr>
        <w:t>NEW RULE</w:t>
      </w:r>
      <w:r w:rsidR="002D2802" w:rsidRPr="002D2802">
        <w:rPr>
          <w:rFonts w:ascii="Times New Roman" w:eastAsia="Times New Roman" w:hAnsi="Times New Roman" w:cs="Times New Roman"/>
          <w:b/>
          <w:sz w:val="24"/>
          <w:szCs w:val="20"/>
        </w:rPr>
        <w:t xml:space="preserve"> §26.409 </w:t>
      </w:r>
      <w:r w:rsidR="002D2802" w:rsidRPr="002D2802">
        <w:rPr>
          <w:rFonts w:ascii="Times New Roman" w:eastAsia="Times New Roman" w:hAnsi="Times New Roman" w:cs="Times New Roman"/>
          <w:b/>
          <w:sz w:val="24"/>
          <w:szCs w:val="20"/>
        </w:rPr>
        <w:br/>
      </w:r>
      <w:r w:rsidR="00F00954">
        <w:rPr>
          <w:rFonts w:ascii="Times New Roman" w:eastAsia="Times New Roman" w:hAnsi="Times New Roman" w:cs="Times New Roman"/>
          <w:b/>
          <w:sz w:val="24"/>
          <w:szCs w:val="20"/>
        </w:rPr>
        <w:t>AS APPROVED</w:t>
      </w:r>
      <w:r w:rsidR="002D2802" w:rsidRPr="002D2802">
        <w:rPr>
          <w:rFonts w:ascii="Times New Roman" w:eastAsia="Times New Roman" w:hAnsi="Times New Roman" w:cs="Times New Roman"/>
          <w:b/>
          <w:sz w:val="24"/>
          <w:szCs w:val="20"/>
        </w:rPr>
        <w:t xml:space="preserve"> AT THE </w:t>
      </w:r>
      <w:r w:rsidR="003D0EE8">
        <w:rPr>
          <w:rFonts w:ascii="Times New Roman" w:eastAsia="Times New Roman" w:hAnsi="Times New Roman" w:cs="Times New Roman"/>
          <w:b/>
          <w:sz w:val="24"/>
          <w:szCs w:val="20"/>
        </w:rPr>
        <w:t>SEPTEMBER 12</w:t>
      </w:r>
      <w:r w:rsidR="002D2802" w:rsidRPr="002D2802">
        <w:rPr>
          <w:rFonts w:ascii="Times New Roman" w:eastAsia="Times New Roman" w:hAnsi="Times New Roman" w:cs="Times New Roman"/>
          <w:b/>
          <w:sz w:val="24"/>
          <w:szCs w:val="20"/>
        </w:rPr>
        <w:t>, 2019 OPEN MEETING</w:t>
      </w:r>
    </w:p>
    <w:p w14:paraId="21014DD6" w14:textId="493F1A13" w:rsidR="002D2802" w:rsidRDefault="002D2802" w:rsidP="008D28EE">
      <w:pPr>
        <w:spacing w:line="480" w:lineRule="auto"/>
        <w:jc w:val="both"/>
        <w:rPr>
          <w:rFonts w:ascii="Times New Roman" w:eastAsia="Times New Roman" w:hAnsi="Times New Roman" w:cs="Times New Roman"/>
          <w:sz w:val="24"/>
          <w:szCs w:val="20"/>
        </w:rPr>
      </w:pPr>
      <w:r w:rsidRPr="002D2802">
        <w:rPr>
          <w:rFonts w:ascii="Times New Roman" w:eastAsia="Times New Roman" w:hAnsi="Times New Roman" w:cs="Times New Roman"/>
          <w:sz w:val="24"/>
          <w:szCs w:val="20"/>
        </w:rPr>
        <w:t xml:space="preserve">The Public Utility Commission of Texas (commission) </w:t>
      </w:r>
      <w:r w:rsidR="003D0EE8">
        <w:rPr>
          <w:rFonts w:ascii="Times New Roman" w:eastAsia="Times New Roman" w:hAnsi="Times New Roman" w:cs="Times New Roman"/>
          <w:sz w:val="24"/>
          <w:szCs w:val="20"/>
        </w:rPr>
        <w:t xml:space="preserve">adopts </w:t>
      </w:r>
      <w:r w:rsidRPr="002D2802">
        <w:rPr>
          <w:rFonts w:ascii="Times New Roman" w:eastAsia="Times New Roman" w:hAnsi="Times New Roman" w:cs="Times New Roman"/>
          <w:sz w:val="24"/>
          <w:szCs w:val="20"/>
        </w:rPr>
        <w:t>new rule 16 Texas Administrative Code (TAC) §26.409, relating to the review of Texas Universal Service Fund (TUSF) support received by competitive Eligible Telecommunications Providers (ETPs)</w:t>
      </w:r>
      <w:r w:rsidR="001705B2">
        <w:rPr>
          <w:rFonts w:ascii="Times New Roman" w:eastAsia="Times New Roman" w:hAnsi="Times New Roman" w:cs="Times New Roman"/>
          <w:sz w:val="24"/>
          <w:szCs w:val="20"/>
        </w:rPr>
        <w:t>,</w:t>
      </w:r>
      <w:r w:rsidR="003D0EE8">
        <w:rPr>
          <w:rFonts w:ascii="Times New Roman" w:eastAsia="Times New Roman" w:hAnsi="Times New Roman" w:cs="Times New Roman"/>
          <w:sz w:val="24"/>
          <w:szCs w:val="20"/>
        </w:rPr>
        <w:t xml:space="preserve"> with changes to the proposed text as published in the June 28, 2019 issue of the </w:t>
      </w:r>
      <w:r w:rsidR="003D0EE8" w:rsidRPr="008D28EE">
        <w:rPr>
          <w:rFonts w:ascii="Times New Roman" w:eastAsia="Times New Roman" w:hAnsi="Times New Roman" w:cs="Times New Roman"/>
          <w:i/>
          <w:sz w:val="24"/>
          <w:szCs w:val="20"/>
        </w:rPr>
        <w:t>Texas Register</w:t>
      </w:r>
      <w:r w:rsidRPr="002D2802">
        <w:rPr>
          <w:rFonts w:ascii="Times New Roman" w:eastAsia="Times New Roman" w:hAnsi="Times New Roman" w:cs="Times New Roman"/>
          <w:sz w:val="24"/>
          <w:szCs w:val="20"/>
        </w:rPr>
        <w:t xml:space="preserve">. The </w:t>
      </w:r>
      <w:r w:rsidR="003D0EE8">
        <w:rPr>
          <w:rFonts w:ascii="Times New Roman" w:eastAsia="Times New Roman" w:hAnsi="Times New Roman" w:cs="Times New Roman"/>
          <w:sz w:val="24"/>
          <w:szCs w:val="20"/>
        </w:rPr>
        <w:t xml:space="preserve">new rule </w:t>
      </w:r>
      <w:r w:rsidRPr="002D2802">
        <w:rPr>
          <w:rFonts w:ascii="Times New Roman" w:eastAsia="Times New Roman" w:hAnsi="Times New Roman" w:cs="Times New Roman"/>
          <w:sz w:val="24"/>
          <w:szCs w:val="20"/>
        </w:rPr>
        <w:t>establish</w:t>
      </w:r>
      <w:r w:rsidR="003D0EE8">
        <w:rPr>
          <w:rFonts w:ascii="Times New Roman" w:eastAsia="Times New Roman" w:hAnsi="Times New Roman" w:cs="Times New Roman"/>
          <w:sz w:val="24"/>
          <w:szCs w:val="20"/>
        </w:rPr>
        <w:t>es</w:t>
      </w:r>
      <w:r w:rsidRPr="002D2802">
        <w:rPr>
          <w:rFonts w:ascii="Times New Roman" w:eastAsia="Times New Roman" w:hAnsi="Times New Roman" w:cs="Times New Roman"/>
          <w:sz w:val="24"/>
          <w:szCs w:val="20"/>
        </w:rPr>
        <w:t xml:space="preserve"> the criteria and process for determining whether TUSF support should be eliminated under the provisions of </w:t>
      </w:r>
      <w:r w:rsidR="00552996">
        <w:rPr>
          <w:rFonts w:ascii="Times New Roman" w:eastAsia="Times New Roman" w:hAnsi="Times New Roman" w:cs="Times New Roman"/>
          <w:sz w:val="24"/>
          <w:szCs w:val="20"/>
        </w:rPr>
        <w:t>Public Utility Regulatory Act (</w:t>
      </w:r>
      <w:r w:rsidRPr="002D2802">
        <w:rPr>
          <w:rFonts w:ascii="Times New Roman" w:eastAsia="Times New Roman" w:hAnsi="Times New Roman" w:cs="Times New Roman"/>
          <w:sz w:val="24"/>
          <w:szCs w:val="20"/>
        </w:rPr>
        <w:t>PURA</w:t>
      </w:r>
      <w:r w:rsidR="00552996">
        <w:rPr>
          <w:rFonts w:ascii="Times New Roman" w:eastAsia="Times New Roman" w:hAnsi="Times New Roman" w:cs="Times New Roman"/>
          <w:sz w:val="24"/>
          <w:szCs w:val="20"/>
        </w:rPr>
        <w:t>)</w:t>
      </w:r>
      <w:r w:rsidRPr="002D2802">
        <w:rPr>
          <w:rFonts w:ascii="Times New Roman" w:eastAsia="Times New Roman" w:hAnsi="Times New Roman" w:cs="Times New Roman"/>
          <w:sz w:val="24"/>
          <w:szCs w:val="20"/>
        </w:rPr>
        <w:t xml:space="preserve"> §56.023(p) and (r).</w:t>
      </w:r>
      <w:r w:rsidR="00201D6E">
        <w:rPr>
          <w:rFonts w:ascii="Times New Roman" w:eastAsia="Times New Roman" w:hAnsi="Times New Roman" w:cs="Times New Roman"/>
          <w:sz w:val="24"/>
          <w:szCs w:val="20"/>
        </w:rPr>
        <w:t xml:space="preserve"> This amendment is adopted under Project Number 47668.</w:t>
      </w:r>
      <w:r w:rsidR="00EF3970" w:rsidRPr="00EF3970">
        <w:t xml:space="preserve"> </w:t>
      </w:r>
      <w:r w:rsidR="00EF3970" w:rsidRPr="00EF3970">
        <w:rPr>
          <w:rFonts w:ascii="Times New Roman" w:eastAsia="Times New Roman" w:hAnsi="Times New Roman" w:cs="Times New Roman"/>
          <w:sz w:val="24"/>
          <w:szCs w:val="20"/>
        </w:rPr>
        <w:t xml:space="preserve">In adopting this </w:t>
      </w:r>
      <w:r w:rsidR="003D23D8">
        <w:rPr>
          <w:rFonts w:ascii="Times New Roman" w:eastAsia="Times New Roman" w:hAnsi="Times New Roman" w:cs="Times New Roman"/>
          <w:sz w:val="24"/>
          <w:szCs w:val="20"/>
        </w:rPr>
        <w:t>new rule</w:t>
      </w:r>
      <w:r w:rsidR="00EF3970" w:rsidRPr="00EF3970">
        <w:rPr>
          <w:rFonts w:ascii="Times New Roman" w:eastAsia="Times New Roman" w:hAnsi="Times New Roman" w:cs="Times New Roman"/>
          <w:sz w:val="24"/>
          <w:szCs w:val="20"/>
        </w:rPr>
        <w:t>, the commission makes other minor modifications</w:t>
      </w:r>
      <w:r w:rsidR="00EF3970">
        <w:rPr>
          <w:rFonts w:ascii="Times New Roman" w:eastAsia="Times New Roman" w:hAnsi="Times New Roman" w:cs="Times New Roman"/>
          <w:sz w:val="24"/>
          <w:szCs w:val="20"/>
        </w:rPr>
        <w:t xml:space="preserve"> to subsections (e) and (j)</w:t>
      </w:r>
      <w:r w:rsidR="00EF3970" w:rsidRPr="00EF3970">
        <w:rPr>
          <w:rFonts w:ascii="Times New Roman" w:eastAsia="Times New Roman" w:hAnsi="Times New Roman" w:cs="Times New Roman"/>
          <w:sz w:val="24"/>
          <w:szCs w:val="20"/>
        </w:rPr>
        <w:t xml:space="preserve"> for the purpose of clarifying its intent.</w:t>
      </w:r>
    </w:p>
    <w:p w14:paraId="4A13C629" w14:textId="77777777" w:rsidR="00201D6E" w:rsidRDefault="00201D6E" w:rsidP="008D28EE">
      <w:pPr>
        <w:spacing w:line="480" w:lineRule="auto"/>
        <w:jc w:val="both"/>
        <w:rPr>
          <w:rFonts w:ascii="Times New Roman" w:eastAsia="Times New Roman" w:hAnsi="Times New Roman" w:cs="Times New Roman"/>
          <w:sz w:val="24"/>
          <w:szCs w:val="20"/>
        </w:rPr>
      </w:pPr>
    </w:p>
    <w:p w14:paraId="73A5EE4E" w14:textId="77777777" w:rsidR="00201D6E" w:rsidRDefault="00201D6E" w:rsidP="008D28EE">
      <w:pPr>
        <w:spacing w:line="480" w:lineRule="auto"/>
        <w:jc w:val="both"/>
        <w:rPr>
          <w:rFonts w:ascii="Times New Roman" w:eastAsia="Times New Roman" w:hAnsi="Times New Roman" w:cs="Times New Roman"/>
          <w:sz w:val="24"/>
          <w:szCs w:val="20"/>
        </w:rPr>
      </w:pPr>
      <w:r w:rsidRPr="00201D6E">
        <w:rPr>
          <w:rFonts w:ascii="Times New Roman" w:eastAsia="Times New Roman" w:hAnsi="Times New Roman" w:cs="Times New Roman"/>
          <w:sz w:val="24"/>
          <w:szCs w:val="20"/>
        </w:rPr>
        <w:t xml:space="preserve">The commission received comments on the </w:t>
      </w:r>
      <w:r w:rsidR="003D0EE8">
        <w:rPr>
          <w:rFonts w:ascii="Times New Roman" w:eastAsia="Times New Roman" w:hAnsi="Times New Roman" w:cs="Times New Roman"/>
          <w:sz w:val="24"/>
          <w:szCs w:val="20"/>
        </w:rPr>
        <w:t>new rule</w:t>
      </w:r>
      <w:r w:rsidRPr="00201D6E">
        <w:rPr>
          <w:rFonts w:ascii="Times New Roman" w:eastAsia="Times New Roman" w:hAnsi="Times New Roman" w:cs="Times New Roman"/>
          <w:sz w:val="24"/>
          <w:szCs w:val="20"/>
        </w:rPr>
        <w:t xml:space="preserve"> from AMA </w:t>
      </w:r>
      <w:proofErr w:type="spellStart"/>
      <w:r w:rsidRPr="00201D6E">
        <w:rPr>
          <w:rFonts w:ascii="Times New Roman" w:eastAsia="Times New Roman" w:hAnsi="Times New Roman" w:cs="Times New Roman"/>
          <w:sz w:val="24"/>
          <w:szCs w:val="20"/>
        </w:rPr>
        <w:t>TechTel</w:t>
      </w:r>
      <w:proofErr w:type="spellEnd"/>
      <w:r w:rsidRPr="00201D6E">
        <w:rPr>
          <w:rFonts w:ascii="Times New Roman" w:eastAsia="Times New Roman" w:hAnsi="Times New Roman" w:cs="Times New Roman"/>
          <w:sz w:val="24"/>
          <w:szCs w:val="20"/>
        </w:rPr>
        <w:t xml:space="preserve"> Communications (AMA) and Virgin Mobile USA, L.P. (Virgin Mobile). No party requested a hearing.</w:t>
      </w:r>
    </w:p>
    <w:p w14:paraId="3FB41741" w14:textId="77777777" w:rsidR="002F1214" w:rsidRPr="00201D6E" w:rsidRDefault="002F1214" w:rsidP="008D28EE">
      <w:pPr>
        <w:spacing w:line="480" w:lineRule="auto"/>
        <w:jc w:val="both"/>
        <w:rPr>
          <w:rFonts w:ascii="Times New Roman" w:eastAsia="Times New Roman" w:hAnsi="Times New Roman" w:cs="Times New Roman"/>
          <w:sz w:val="24"/>
          <w:szCs w:val="20"/>
        </w:rPr>
      </w:pPr>
    </w:p>
    <w:p w14:paraId="7AECE842" w14:textId="77777777" w:rsidR="00201D6E" w:rsidRPr="002F1214" w:rsidRDefault="00201D6E" w:rsidP="008D28EE">
      <w:pPr>
        <w:spacing w:line="480" w:lineRule="auto"/>
        <w:jc w:val="both"/>
        <w:rPr>
          <w:rFonts w:ascii="Times New Roman" w:eastAsia="Times New Roman" w:hAnsi="Times New Roman" w:cs="Times New Roman"/>
          <w:b/>
          <w:i/>
          <w:sz w:val="24"/>
          <w:szCs w:val="20"/>
        </w:rPr>
      </w:pPr>
      <w:r w:rsidRPr="002F1214">
        <w:rPr>
          <w:rFonts w:ascii="Times New Roman" w:eastAsia="Times New Roman" w:hAnsi="Times New Roman" w:cs="Times New Roman"/>
          <w:b/>
          <w:i/>
          <w:sz w:val="24"/>
          <w:szCs w:val="20"/>
        </w:rPr>
        <w:t>General Comments</w:t>
      </w:r>
    </w:p>
    <w:p w14:paraId="6D972F66" w14:textId="77777777" w:rsidR="00090CAE" w:rsidRPr="008D28EE" w:rsidRDefault="00090CAE" w:rsidP="00090CAE">
      <w:pPr>
        <w:spacing w:line="48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AMA stated that the costs associated with the rule are minimal but could be further reduced if the commission reviewed </w:t>
      </w:r>
      <w:r w:rsidR="00BD745E">
        <w:rPr>
          <w:rFonts w:ascii="Times New Roman" w:eastAsia="Times New Roman" w:hAnsi="Times New Roman" w:cs="Times New Roman"/>
          <w:sz w:val="24"/>
          <w:szCs w:val="20"/>
        </w:rPr>
        <w:t xml:space="preserve">the 50% </w:t>
      </w:r>
      <w:r>
        <w:rPr>
          <w:rFonts w:ascii="Times New Roman" w:eastAsia="Times New Roman" w:hAnsi="Times New Roman" w:cs="Times New Roman"/>
          <w:sz w:val="24"/>
          <w:szCs w:val="20"/>
        </w:rPr>
        <w:t>triggered exchanges only once every three years.</w:t>
      </w:r>
    </w:p>
    <w:p w14:paraId="5C024CF8" w14:textId="77777777" w:rsidR="00090CAE" w:rsidRDefault="00090CAE" w:rsidP="00090CAE">
      <w:pPr>
        <w:spacing w:line="480" w:lineRule="auto"/>
        <w:jc w:val="both"/>
        <w:rPr>
          <w:rFonts w:ascii="Times New Roman" w:eastAsia="Times New Roman" w:hAnsi="Times New Roman" w:cs="Times New Roman"/>
          <w:b/>
          <w:i/>
          <w:sz w:val="24"/>
          <w:szCs w:val="20"/>
        </w:rPr>
      </w:pPr>
    </w:p>
    <w:p w14:paraId="5F4FBC1B" w14:textId="77777777" w:rsidR="00090CAE" w:rsidRDefault="00090CAE" w:rsidP="00090CAE">
      <w:pPr>
        <w:spacing w:line="480" w:lineRule="auto"/>
        <w:jc w:val="both"/>
        <w:rPr>
          <w:rFonts w:ascii="Times New Roman" w:eastAsia="Times New Roman" w:hAnsi="Times New Roman" w:cs="Times New Roman"/>
          <w:b/>
          <w:i/>
          <w:sz w:val="24"/>
          <w:szCs w:val="20"/>
        </w:rPr>
      </w:pPr>
      <w:r>
        <w:rPr>
          <w:rFonts w:ascii="Times New Roman" w:eastAsia="Times New Roman" w:hAnsi="Times New Roman" w:cs="Times New Roman"/>
          <w:b/>
          <w:i/>
          <w:sz w:val="24"/>
          <w:szCs w:val="20"/>
        </w:rPr>
        <w:lastRenderedPageBreak/>
        <w:t>Commission Response</w:t>
      </w:r>
    </w:p>
    <w:p w14:paraId="10F034DF" w14:textId="038ABB00" w:rsidR="00090CAE" w:rsidRDefault="00090CAE" w:rsidP="00090CAE">
      <w:pPr>
        <w:spacing w:line="48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The commission </w:t>
      </w:r>
      <w:r w:rsidR="00FC2E22">
        <w:rPr>
          <w:rFonts w:ascii="Times New Roman" w:eastAsia="Times New Roman" w:hAnsi="Times New Roman" w:cs="Times New Roman"/>
          <w:b/>
          <w:sz w:val="24"/>
          <w:szCs w:val="20"/>
        </w:rPr>
        <w:t xml:space="preserve">understands </w:t>
      </w:r>
      <w:r>
        <w:rPr>
          <w:rFonts w:ascii="Times New Roman" w:eastAsia="Times New Roman" w:hAnsi="Times New Roman" w:cs="Times New Roman"/>
          <w:b/>
          <w:sz w:val="24"/>
          <w:szCs w:val="20"/>
        </w:rPr>
        <w:t xml:space="preserve">AMA’s concern about the costs of administering the new rule.  However, the commission declines to adopt AMA’s proposal to limit review of the triggered exchanges to once every three years. </w:t>
      </w:r>
      <w:r w:rsidR="00740E37">
        <w:rPr>
          <w:rFonts w:ascii="Times New Roman" w:eastAsia="Times New Roman" w:hAnsi="Times New Roman" w:cs="Times New Roman"/>
          <w:b/>
          <w:sz w:val="24"/>
          <w:szCs w:val="20"/>
        </w:rPr>
        <w:t>PURA §56.023(r) requires the commission to review the per-line support amount at least every three years</w:t>
      </w:r>
      <w:r w:rsidR="004953C3">
        <w:rPr>
          <w:rFonts w:ascii="Times New Roman" w:eastAsia="Times New Roman" w:hAnsi="Times New Roman" w:cs="Times New Roman"/>
          <w:b/>
          <w:sz w:val="24"/>
          <w:szCs w:val="20"/>
        </w:rPr>
        <w:t>,</w:t>
      </w:r>
      <w:r w:rsidR="00740E37">
        <w:rPr>
          <w:rFonts w:ascii="Times New Roman" w:eastAsia="Times New Roman" w:hAnsi="Times New Roman" w:cs="Times New Roman"/>
          <w:b/>
          <w:sz w:val="24"/>
          <w:szCs w:val="20"/>
        </w:rPr>
        <w:t xml:space="preserve"> but allows the commission the latitude to do so more frequently. </w:t>
      </w:r>
      <w:r>
        <w:rPr>
          <w:rFonts w:ascii="Times New Roman" w:eastAsia="Times New Roman" w:hAnsi="Times New Roman" w:cs="Times New Roman"/>
          <w:b/>
          <w:sz w:val="24"/>
          <w:szCs w:val="20"/>
        </w:rPr>
        <w:t xml:space="preserve">Commission resources will not be unduly strained by an annual review of exchanges as described in the new rule. </w:t>
      </w:r>
      <w:r w:rsidR="00740E37">
        <w:rPr>
          <w:rFonts w:ascii="Times New Roman" w:eastAsia="Times New Roman" w:hAnsi="Times New Roman" w:cs="Times New Roman"/>
          <w:b/>
          <w:sz w:val="24"/>
          <w:szCs w:val="20"/>
        </w:rPr>
        <w:t>In addition, m</w:t>
      </w:r>
      <w:r>
        <w:rPr>
          <w:rFonts w:ascii="Times New Roman" w:eastAsia="Times New Roman" w:hAnsi="Times New Roman" w:cs="Times New Roman"/>
          <w:b/>
          <w:sz w:val="24"/>
          <w:szCs w:val="20"/>
        </w:rPr>
        <w:t>ore frequent review could benefit the state by reducing continuation of support that is not in the public interest.</w:t>
      </w:r>
    </w:p>
    <w:p w14:paraId="6A29196A" w14:textId="77777777" w:rsidR="00EF2F29" w:rsidRDefault="00EF2F29" w:rsidP="00090CAE">
      <w:pPr>
        <w:spacing w:line="480" w:lineRule="auto"/>
        <w:jc w:val="both"/>
        <w:rPr>
          <w:rFonts w:ascii="Times New Roman" w:eastAsia="Times New Roman" w:hAnsi="Times New Roman" w:cs="Times New Roman"/>
          <w:b/>
          <w:sz w:val="24"/>
          <w:szCs w:val="20"/>
        </w:rPr>
      </w:pPr>
    </w:p>
    <w:p w14:paraId="45C0DF82" w14:textId="645E0C32" w:rsidR="00090CAE" w:rsidRPr="00201D6E" w:rsidRDefault="00090CAE" w:rsidP="00090CAE">
      <w:pPr>
        <w:spacing w:line="48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Virgin Mobile acknowledged that nothing in the proposed rule states that a competitive ETP providing Lifeline service to customers located in exchanges </w:t>
      </w:r>
      <w:r w:rsidR="00493BEE">
        <w:rPr>
          <w:rFonts w:ascii="Times New Roman" w:eastAsia="Times New Roman" w:hAnsi="Times New Roman" w:cs="Times New Roman"/>
          <w:sz w:val="24"/>
          <w:szCs w:val="20"/>
        </w:rPr>
        <w:t xml:space="preserve">subject to review under </w:t>
      </w:r>
      <w:r w:rsidR="00740E37">
        <w:rPr>
          <w:rFonts w:ascii="Times New Roman" w:eastAsia="Times New Roman" w:hAnsi="Times New Roman" w:cs="Times New Roman"/>
          <w:sz w:val="24"/>
          <w:szCs w:val="20"/>
        </w:rPr>
        <w:t xml:space="preserve">the proposed </w:t>
      </w:r>
      <w:r w:rsidR="00493BEE">
        <w:rPr>
          <w:rFonts w:ascii="Times New Roman" w:eastAsia="Times New Roman" w:hAnsi="Times New Roman" w:cs="Times New Roman"/>
          <w:sz w:val="24"/>
          <w:szCs w:val="20"/>
        </w:rPr>
        <w:t>rule</w:t>
      </w:r>
      <w:r>
        <w:rPr>
          <w:rFonts w:ascii="Times New Roman" w:eastAsia="Times New Roman" w:hAnsi="Times New Roman" w:cs="Times New Roman"/>
          <w:sz w:val="24"/>
          <w:szCs w:val="20"/>
        </w:rPr>
        <w:t xml:space="preserve"> will be subject to potential elimination of Lifeline support. </w:t>
      </w:r>
      <w:r w:rsidR="00493BEE">
        <w:rPr>
          <w:rFonts w:ascii="Times New Roman" w:eastAsia="Times New Roman" w:hAnsi="Times New Roman" w:cs="Times New Roman"/>
          <w:sz w:val="24"/>
          <w:szCs w:val="20"/>
        </w:rPr>
        <w:t xml:space="preserve">Nevertheless, </w:t>
      </w:r>
      <w:r>
        <w:rPr>
          <w:rFonts w:ascii="Times New Roman" w:eastAsia="Times New Roman" w:hAnsi="Times New Roman" w:cs="Times New Roman"/>
          <w:sz w:val="24"/>
          <w:szCs w:val="20"/>
        </w:rPr>
        <w:t xml:space="preserve">Virgin Mobile expressed concern that unless the rule is clarified, Lifeline support could be eliminated for Lifeline-only ETPs such as itself under the new rule. Virgin Mobile recommended language to clarify that this rule does not apply to loss of Lifeline support. Virgin Mobile explained that its concern is </w:t>
      </w:r>
      <w:r w:rsidR="00E34FC4">
        <w:rPr>
          <w:rFonts w:ascii="Times New Roman" w:eastAsia="Times New Roman" w:hAnsi="Times New Roman" w:cs="Times New Roman"/>
          <w:sz w:val="24"/>
          <w:szCs w:val="20"/>
        </w:rPr>
        <w:t xml:space="preserve">caused by </w:t>
      </w:r>
      <w:r>
        <w:rPr>
          <w:rFonts w:ascii="Times New Roman" w:eastAsia="Times New Roman" w:hAnsi="Times New Roman" w:cs="Times New Roman"/>
          <w:sz w:val="24"/>
          <w:szCs w:val="20"/>
        </w:rPr>
        <w:t xml:space="preserve">commission staff’s </w:t>
      </w:r>
      <w:r w:rsidR="00E34FC4">
        <w:rPr>
          <w:rFonts w:ascii="Times New Roman" w:eastAsia="Times New Roman" w:hAnsi="Times New Roman" w:cs="Times New Roman"/>
          <w:sz w:val="24"/>
          <w:szCs w:val="20"/>
        </w:rPr>
        <w:t>position</w:t>
      </w:r>
      <w:r>
        <w:rPr>
          <w:rFonts w:ascii="Times New Roman" w:eastAsia="Times New Roman" w:hAnsi="Times New Roman" w:cs="Times New Roman"/>
          <w:sz w:val="24"/>
          <w:szCs w:val="20"/>
        </w:rPr>
        <w:t xml:space="preserve"> in a pending contested case, Docket No. 48502, </w:t>
      </w:r>
      <w:r w:rsidRPr="00D0189C">
        <w:rPr>
          <w:rFonts w:ascii="Times New Roman" w:eastAsia="Times New Roman" w:hAnsi="Times New Roman" w:cs="Times New Roman"/>
          <w:i/>
          <w:sz w:val="24"/>
          <w:szCs w:val="20"/>
        </w:rPr>
        <w:t>Application of Virgin Mobile USA, L.P. to Amend its Designation as an Eligible Telecommunications Carrier and its Designation as an Eligible Telecommunications Provider for the Limited Purpose of Offering Lifeline Service</w:t>
      </w:r>
      <w:r>
        <w:rPr>
          <w:rFonts w:ascii="Times New Roman" w:eastAsia="Times New Roman" w:hAnsi="Times New Roman" w:cs="Times New Roman"/>
          <w:sz w:val="24"/>
          <w:szCs w:val="20"/>
        </w:rPr>
        <w:t>, that the Lifeline program is not a distinct program within the TUSF, but is a subset of the two high cost funds.</w:t>
      </w:r>
    </w:p>
    <w:p w14:paraId="134B5C90" w14:textId="77777777" w:rsidR="00090CAE" w:rsidRDefault="00090CAE" w:rsidP="00090CAE">
      <w:pPr>
        <w:spacing w:line="480" w:lineRule="auto"/>
        <w:jc w:val="both"/>
        <w:rPr>
          <w:rFonts w:ascii="Times New Roman" w:eastAsia="Times New Roman" w:hAnsi="Times New Roman" w:cs="Times New Roman"/>
          <w:b/>
          <w:i/>
          <w:sz w:val="24"/>
          <w:szCs w:val="20"/>
        </w:rPr>
      </w:pPr>
    </w:p>
    <w:p w14:paraId="4D2ACE16" w14:textId="77777777" w:rsidR="00090CAE" w:rsidRPr="002F1214" w:rsidRDefault="00090CAE" w:rsidP="00090CAE">
      <w:pPr>
        <w:spacing w:line="480" w:lineRule="auto"/>
        <w:jc w:val="both"/>
        <w:rPr>
          <w:rFonts w:ascii="Times New Roman" w:eastAsia="Times New Roman" w:hAnsi="Times New Roman" w:cs="Times New Roman"/>
          <w:b/>
          <w:i/>
          <w:sz w:val="24"/>
          <w:szCs w:val="20"/>
        </w:rPr>
      </w:pPr>
      <w:r w:rsidRPr="002F1214">
        <w:rPr>
          <w:rFonts w:ascii="Times New Roman" w:eastAsia="Times New Roman" w:hAnsi="Times New Roman" w:cs="Times New Roman"/>
          <w:b/>
          <w:i/>
          <w:sz w:val="24"/>
          <w:szCs w:val="20"/>
        </w:rPr>
        <w:t>Commission Response</w:t>
      </w:r>
    </w:p>
    <w:p w14:paraId="7E3110A8" w14:textId="4A061B77" w:rsidR="00090CAE" w:rsidRDefault="00090CAE" w:rsidP="00090CAE">
      <w:pPr>
        <w:spacing w:line="48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lastRenderedPageBreak/>
        <w:t>The commission agrees with Virgin Mobile that Lifeline support is not contemplated in PURA</w:t>
      </w:r>
      <w:r w:rsidR="00FC2E22">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rPr>
        <w:t xml:space="preserve">56.023(p) and (r) and is not under consideration in this rule. The rule is clear on this point and additional clarification is unnecessary. </w:t>
      </w:r>
    </w:p>
    <w:p w14:paraId="3B590819" w14:textId="77777777" w:rsidR="00090CAE" w:rsidRDefault="00090CAE" w:rsidP="00090CAE">
      <w:pPr>
        <w:spacing w:line="480" w:lineRule="auto"/>
        <w:jc w:val="both"/>
        <w:rPr>
          <w:rFonts w:ascii="Times New Roman" w:eastAsia="Times New Roman" w:hAnsi="Times New Roman" w:cs="Times New Roman"/>
          <w:b/>
          <w:sz w:val="24"/>
          <w:szCs w:val="20"/>
        </w:rPr>
      </w:pPr>
    </w:p>
    <w:p w14:paraId="619885B7" w14:textId="7CDD2E8B" w:rsidR="00201D6E" w:rsidRDefault="0051768B" w:rsidP="00090CAE">
      <w:pPr>
        <w:spacing w:line="48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AMA had concerns about the confidentiality of the number of access lines it serves in a market. </w:t>
      </w:r>
      <w:r w:rsidR="00AC30E4">
        <w:rPr>
          <w:rFonts w:ascii="Times New Roman" w:eastAsia="Times New Roman" w:hAnsi="Times New Roman" w:cs="Times New Roman"/>
          <w:sz w:val="24"/>
          <w:szCs w:val="20"/>
        </w:rPr>
        <w:t xml:space="preserve">AMA argued that the number of access lines that paragraph (d)(1)(A) would require commission staff to report is only relevant for staff’s identification of exchanges to be reported under paragraph (d)(1)(B). Therefore, </w:t>
      </w:r>
      <w:r w:rsidR="009D681A">
        <w:rPr>
          <w:rFonts w:ascii="Times New Roman" w:eastAsia="Times New Roman" w:hAnsi="Times New Roman" w:cs="Times New Roman"/>
          <w:sz w:val="24"/>
          <w:szCs w:val="20"/>
        </w:rPr>
        <w:t xml:space="preserve">AMA </w:t>
      </w:r>
      <w:r w:rsidR="00AC30E4">
        <w:rPr>
          <w:rFonts w:ascii="Times New Roman" w:eastAsia="Times New Roman" w:hAnsi="Times New Roman" w:cs="Times New Roman"/>
          <w:sz w:val="24"/>
          <w:szCs w:val="20"/>
        </w:rPr>
        <w:t xml:space="preserve">continued </w:t>
      </w:r>
      <w:r w:rsidR="009D681A">
        <w:rPr>
          <w:rFonts w:ascii="Times New Roman" w:eastAsia="Times New Roman" w:hAnsi="Times New Roman" w:cs="Times New Roman"/>
          <w:sz w:val="24"/>
          <w:szCs w:val="20"/>
        </w:rPr>
        <w:t>that paragraph (d)(1)(A) be eliminated</w:t>
      </w:r>
      <w:r w:rsidR="00E022E7">
        <w:rPr>
          <w:rFonts w:ascii="Times New Roman" w:eastAsia="Times New Roman" w:hAnsi="Times New Roman" w:cs="Times New Roman"/>
          <w:sz w:val="24"/>
          <w:szCs w:val="20"/>
        </w:rPr>
        <w:t xml:space="preserve"> to address these concerns</w:t>
      </w:r>
      <w:r w:rsidR="009D681A">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AMA asserted that the data is subject to Texas law </w:t>
      </w:r>
      <w:r w:rsidR="008D28EE">
        <w:rPr>
          <w:rFonts w:ascii="Times New Roman" w:eastAsia="Times New Roman" w:hAnsi="Times New Roman" w:cs="Times New Roman"/>
          <w:sz w:val="24"/>
          <w:szCs w:val="20"/>
        </w:rPr>
        <w:t>as a trade secret and that the c</w:t>
      </w:r>
      <w:r>
        <w:rPr>
          <w:rFonts w:ascii="Times New Roman" w:eastAsia="Times New Roman" w:hAnsi="Times New Roman" w:cs="Times New Roman"/>
          <w:sz w:val="24"/>
          <w:szCs w:val="20"/>
        </w:rPr>
        <w:t>ommission typically treats the number of access lines a company serves as proprietary and confidential information and should report this information confidentially.</w:t>
      </w:r>
    </w:p>
    <w:p w14:paraId="334EA721" w14:textId="77777777" w:rsidR="00382A51" w:rsidRDefault="00382A51" w:rsidP="008D28EE">
      <w:pPr>
        <w:spacing w:line="480" w:lineRule="auto"/>
        <w:jc w:val="both"/>
        <w:rPr>
          <w:rFonts w:ascii="Times New Roman" w:eastAsia="Times New Roman" w:hAnsi="Times New Roman" w:cs="Times New Roman"/>
          <w:b/>
          <w:i/>
          <w:sz w:val="24"/>
          <w:szCs w:val="20"/>
        </w:rPr>
      </w:pPr>
    </w:p>
    <w:p w14:paraId="6B6E7B2C" w14:textId="51E0F125" w:rsidR="0051768B" w:rsidRPr="008D28EE" w:rsidRDefault="0051768B" w:rsidP="008D28EE">
      <w:pPr>
        <w:spacing w:line="480" w:lineRule="auto"/>
        <w:jc w:val="both"/>
        <w:rPr>
          <w:rFonts w:ascii="Times New Roman" w:eastAsia="Times New Roman" w:hAnsi="Times New Roman" w:cs="Times New Roman"/>
          <w:b/>
          <w:i/>
          <w:sz w:val="24"/>
          <w:szCs w:val="20"/>
        </w:rPr>
      </w:pPr>
      <w:r w:rsidRPr="008D28EE">
        <w:rPr>
          <w:rFonts w:ascii="Times New Roman" w:eastAsia="Times New Roman" w:hAnsi="Times New Roman" w:cs="Times New Roman"/>
          <w:b/>
          <w:i/>
          <w:sz w:val="24"/>
          <w:szCs w:val="20"/>
        </w:rPr>
        <w:t xml:space="preserve">Commission </w:t>
      </w:r>
      <w:r w:rsidR="00CA1E63">
        <w:rPr>
          <w:rFonts w:ascii="Times New Roman" w:eastAsia="Times New Roman" w:hAnsi="Times New Roman" w:cs="Times New Roman"/>
          <w:b/>
          <w:i/>
          <w:sz w:val="24"/>
          <w:szCs w:val="20"/>
        </w:rPr>
        <w:t>R</w:t>
      </w:r>
      <w:r w:rsidRPr="008D28EE">
        <w:rPr>
          <w:rFonts w:ascii="Times New Roman" w:eastAsia="Times New Roman" w:hAnsi="Times New Roman" w:cs="Times New Roman"/>
          <w:b/>
          <w:i/>
          <w:sz w:val="24"/>
          <w:szCs w:val="20"/>
        </w:rPr>
        <w:t>esponse</w:t>
      </w:r>
    </w:p>
    <w:p w14:paraId="08782D31" w14:textId="71CE4C21" w:rsidR="00282D29" w:rsidRDefault="00282D29" w:rsidP="008D28EE">
      <w:pPr>
        <w:spacing w:line="48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It is not the commission</w:t>
      </w:r>
      <w:r w:rsidR="002059BB">
        <w:rPr>
          <w:rFonts w:ascii="Times New Roman" w:eastAsia="Times New Roman" w:hAnsi="Times New Roman" w:cs="Times New Roman"/>
          <w:b/>
          <w:sz w:val="24"/>
          <w:szCs w:val="20"/>
        </w:rPr>
        <w:t>’</w:t>
      </w:r>
      <w:r>
        <w:rPr>
          <w:rFonts w:ascii="Times New Roman" w:eastAsia="Times New Roman" w:hAnsi="Times New Roman" w:cs="Times New Roman"/>
          <w:b/>
          <w:sz w:val="24"/>
          <w:szCs w:val="20"/>
        </w:rPr>
        <w:t>s intent to expose the number of lines served by individual competitive ETPs.</w:t>
      </w:r>
      <w:r w:rsidR="009D681A">
        <w:rPr>
          <w:rFonts w:ascii="Times New Roman" w:eastAsia="Times New Roman" w:hAnsi="Times New Roman" w:cs="Times New Roman"/>
          <w:b/>
          <w:sz w:val="24"/>
          <w:szCs w:val="20"/>
        </w:rPr>
        <w:t xml:space="preserve"> The commission has reorganized section (d)(1)(A) to address AMA’s concerns.</w:t>
      </w:r>
      <w:r>
        <w:rPr>
          <w:rFonts w:ascii="Times New Roman" w:eastAsia="Times New Roman" w:hAnsi="Times New Roman" w:cs="Times New Roman"/>
          <w:b/>
          <w:sz w:val="24"/>
          <w:szCs w:val="20"/>
        </w:rPr>
        <w:t xml:space="preserve"> Filings made under </w:t>
      </w:r>
      <w:r w:rsidR="00413112">
        <w:rPr>
          <w:rFonts w:ascii="Times New Roman" w:eastAsia="Times New Roman" w:hAnsi="Times New Roman" w:cs="Times New Roman"/>
          <w:b/>
          <w:sz w:val="24"/>
          <w:szCs w:val="20"/>
        </w:rPr>
        <w:t>a</w:t>
      </w:r>
      <w:r>
        <w:rPr>
          <w:rFonts w:ascii="Times New Roman" w:eastAsia="Times New Roman" w:hAnsi="Times New Roman" w:cs="Times New Roman"/>
          <w:b/>
          <w:sz w:val="24"/>
          <w:szCs w:val="20"/>
        </w:rPr>
        <w:t xml:space="preserve"> claim of confidentiality </w:t>
      </w:r>
      <w:r w:rsidR="00CB63D2">
        <w:rPr>
          <w:rFonts w:ascii="Times New Roman" w:eastAsia="Times New Roman" w:hAnsi="Times New Roman" w:cs="Times New Roman"/>
          <w:b/>
          <w:sz w:val="24"/>
          <w:szCs w:val="20"/>
        </w:rPr>
        <w:t>and</w:t>
      </w:r>
      <w:r w:rsidR="002059BB">
        <w:rPr>
          <w:rFonts w:ascii="Times New Roman" w:eastAsia="Times New Roman" w:hAnsi="Times New Roman" w:cs="Times New Roman"/>
          <w:b/>
          <w:sz w:val="24"/>
          <w:szCs w:val="20"/>
        </w:rPr>
        <w:t xml:space="preserve"> submitted in accordance with </w:t>
      </w:r>
      <w:r w:rsidR="00C54447">
        <w:rPr>
          <w:rFonts w:ascii="Times New Roman" w:eastAsia="Times New Roman" w:hAnsi="Times New Roman" w:cs="Times New Roman"/>
          <w:b/>
          <w:sz w:val="24"/>
          <w:szCs w:val="20"/>
        </w:rPr>
        <w:t>TAC</w:t>
      </w:r>
      <w:r w:rsidR="002059BB">
        <w:rPr>
          <w:rFonts w:ascii="Times New Roman" w:eastAsia="Times New Roman" w:hAnsi="Times New Roman" w:cs="Times New Roman"/>
          <w:b/>
          <w:sz w:val="24"/>
          <w:szCs w:val="20"/>
        </w:rPr>
        <w:t xml:space="preserve"> </w:t>
      </w:r>
      <w:r w:rsidR="00C54447">
        <w:rPr>
          <w:rFonts w:ascii="Times New Roman" w:eastAsia="Times New Roman" w:hAnsi="Times New Roman" w:cs="Times New Roman"/>
          <w:b/>
          <w:sz w:val="24"/>
          <w:szCs w:val="20"/>
        </w:rPr>
        <w:t>§</w:t>
      </w:r>
      <w:r w:rsidR="002059BB">
        <w:rPr>
          <w:rFonts w:ascii="Times New Roman" w:eastAsia="Times New Roman" w:hAnsi="Times New Roman" w:cs="Times New Roman"/>
          <w:b/>
          <w:sz w:val="24"/>
          <w:szCs w:val="20"/>
        </w:rPr>
        <w:t xml:space="preserve">22.71 will be treated </w:t>
      </w:r>
      <w:r w:rsidR="003038EF">
        <w:rPr>
          <w:rFonts w:ascii="Times New Roman" w:eastAsia="Times New Roman" w:hAnsi="Times New Roman" w:cs="Times New Roman"/>
          <w:b/>
          <w:sz w:val="24"/>
          <w:szCs w:val="20"/>
        </w:rPr>
        <w:t>in accordance with the commission’s rules and procedures for handling confidential information.</w:t>
      </w:r>
    </w:p>
    <w:p w14:paraId="2AB0FF43" w14:textId="77777777" w:rsidR="00382A51" w:rsidRDefault="00382A51" w:rsidP="008D28EE">
      <w:pPr>
        <w:spacing w:line="480" w:lineRule="auto"/>
        <w:jc w:val="both"/>
        <w:rPr>
          <w:rFonts w:ascii="Times New Roman" w:eastAsia="Times New Roman" w:hAnsi="Times New Roman" w:cs="Times New Roman"/>
          <w:b/>
          <w:i/>
          <w:sz w:val="24"/>
          <w:szCs w:val="20"/>
        </w:rPr>
      </w:pPr>
    </w:p>
    <w:p w14:paraId="47C020AE" w14:textId="151881AD" w:rsidR="00201D6E" w:rsidRPr="00201D6E" w:rsidRDefault="00E648B0" w:rsidP="008D28EE">
      <w:pPr>
        <w:spacing w:line="48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AMA </w:t>
      </w:r>
      <w:r w:rsidR="00557A4D">
        <w:rPr>
          <w:rFonts w:ascii="Times New Roman" w:eastAsia="Times New Roman" w:hAnsi="Times New Roman" w:cs="Times New Roman"/>
          <w:sz w:val="24"/>
          <w:szCs w:val="20"/>
        </w:rPr>
        <w:t xml:space="preserve">recommended </w:t>
      </w:r>
      <w:r w:rsidR="003F4CF4">
        <w:rPr>
          <w:rFonts w:ascii="Times New Roman" w:eastAsia="Times New Roman" w:hAnsi="Times New Roman" w:cs="Times New Roman"/>
          <w:sz w:val="24"/>
          <w:szCs w:val="20"/>
        </w:rPr>
        <w:t xml:space="preserve">a </w:t>
      </w:r>
      <w:r>
        <w:rPr>
          <w:rFonts w:ascii="Times New Roman" w:eastAsia="Times New Roman" w:hAnsi="Times New Roman" w:cs="Times New Roman"/>
          <w:sz w:val="24"/>
          <w:szCs w:val="20"/>
        </w:rPr>
        <w:t xml:space="preserve">response period </w:t>
      </w:r>
      <w:r w:rsidR="003F4CF4">
        <w:rPr>
          <w:rFonts w:ascii="Times New Roman" w:eastAsia="Times New Roman" w:hAnsi="Times New Roman" w:cs="Times New Roman"/>
          <w:sz w:val="24"/>
          <w:szCs w:val="20"/>
        </w:rPr>
        <w:t xml:space="preserve">of 30 days </w:t>
      </w:r>
      <w:r>
        <w:rPr>
          <w:rFonts w:ascii="Times New Roman" w:eastAsia="Times New Roman" w:hAnsi="Times New Roman" w:cs="Times New Roman"/>
          <w:sz w:val="24"/>
          <w:szCs w:val="20"/>
        </w:rPr>
        <w:t xml:space="preserve">for </w:t>
      </w:r>
      <w:r w:rsidR="00557A4D">
        <w:rPr>
          <w:rFonts w:ascii="Times New Roman" w:eastAsia="Times New Roman" w:hAnsi="Times New Roman" w:cs="Times New Roman"/>
          <w:sz w:val="24"/>
          <w:szCs w:val="20"/>
        </w:rPr>
        <w:t xml:space="preserve">a competitive </w:t>
      </w:r>
      <w:r>
        <w:rPr>
          <w:rFonts w:ascii="Times New Roman" w:eastAsia="Times New Roman" w:hAnsi="Times New Roman" w:cs="Times New Roman"/>
          <w:sz w:val="24"/>
          <w:szCs w:val="20"/>
        </w:rPr>
        <w:t>ETP</w:t>
      </w:r>
      <w:r w:rsidR="00557A4D">
        <w:rPr>
          <w:rFonts w:ascii="Times New Roman" w:eastAsia="Times New Roman" w:hAnsi="Times New Roman" w:cs="Times New Roman"/>
          <w:sz w:val="24"/>
          <w:szCs w:val="20"/>
        </w:rPr>
        <w:t xml:space="preserve"> to</w:t>
      </w:r>
      <w:r>
        <w:rPr>
          <w:rFonts w:ascii="Times New Roman" w:eastAsia="Times New Roman" w:hAnsi="Times New Roman" w:cs="Times New Roman"/>
          <w:sz w:val="24"/>
          <w:szCs w:val="20"/>
        </w:rPr>
        <w:t xml:space="preserve"> </w:t>
      </w:r>
      <w:r w:rsidR="00557A4D">
        <w:rPr>
          <w:rFonts w:ascii="Times New Roman" w:eastAsia="Times New Roman" w:hAnsi="Times New Roman" w:cs="Times New Roman"/>
          <w:sz w:val="24"/>
          <w:szCs w:val="20"/>
        </w:rPr>
        <w:t xml:space="preserve">respond </w:t>
      </w:r>
      <w:r>
        <w:rPr>
          <w:rFonts w:ascii="Times New Roman" w:eastAsia="Times New Roman" w:hAnsi="Times New Roman" w:cs="Times New Roman"/>
          <w:sz w:val="24"/>
          <w:szCs w:val="20"/>
        </w:rPr>
        <w:t xml:space="preserve">to commission staff’s </w:t>
      </w:r>
      <w:r w:rsidR="005D33F1">
        <w:rPr>
          <w:rFonts w:ascii="Times New Roman" w:eastAsia="Times New Roman" w:hAnsi="Times New Roman" w:cs="Times New Roman"/>
          <w:sz w:val="24"/>
          <w:szCs w:val="20"/>
        </w:rPr>
        <w:t>application</w:t>
      </w:r>
      <w:r w:rsidR="003F4CF4">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instead of </w:t>
      </w:r>
      <w:r w:rsidR="00557A4D">
        <w:rPr>
          <w:rFonts w:ascii="Times New Roman" w:eastAsia="Times New Roman" w:hAnsi="Times New Roman" w:cs="Times New Roman"/>
          <w:sz w:val="24"/>
          <w:szCs w:val="20"/>
        </w:rPr>
        <w:t xml:space="preserve">the proposed </w:t>
      </w:r>
      <w:r>
        <w:rPr>
          <w:rFonts w:ascii="Times New Roman" w:eastAsia="Times New Roman" w:hAnsi="Times New Roman" w:cs="Times New Roman"/>
          <w:sz w:val="24"/>
          <w:szCs w:val="20"/>
        </w:rPr>
        <w:t>20</w:t>
      </w:r>
      <w:r w:rsidR="00557A4D">
        <w:rPr>
          <w:rFonts w:ascii="Times New Roman" w:eastAsia="Times New Roman" w:hAnsi="Times New Roman" w:cs="Times New Roman"/>
          <w:sz w:val="24"/>
          <w:szCs w:val="20"/>
        </w:rPr>
        <w:t xml:space="preserve"> days</w:t>
      </w:r>
      <w:r w:rsidR="00E83A9B">
        <w:rPr>
          <w:rFonts w:ascii="Times New Roman" w:eastAsia="Times New Roman" w:hAnsi="Times New Roman" w:cs="Times New Roman"/>
          <w:sz w:val="24"/>
          <w:szCs w:val="20"/>
        </w:rPr>
        <w:t xml:space="preserve"> in subsection (f)(1)</w:t>
      </w:r>
      <w:r>
        <w:rPr>
          <w:rFonts w:ascii="Times New Roman" w:eastAsia="Times New Roman" w:hAnsi="Times New Roman" w:cs="Times New Roman"/>
          <w:sz w:val="24"/>
          <w:szCs w:val="20"/>
        </w:rPr>
        <w:t>.</w:t>
      </w:r>
      <w:r w:rsidR="00557A4D">
        <w:rPr>
          <w:rFonts w:ascii="Times New Roman" w:eastAsia="Times New Roman" w:hAnsi="Times New Roman" w:cs="Times New Roman"/>
          <w:sz w:val="24"/>
          <w:szCs w:val="20"/>
        </w:rPr>
        <w:t xml:space="preserve"> </w:t>
      </w:r>
      <w:r w:rsidR="00E83A9B">
        <w:rPr>
          <w:rFonts w:ascii="Times New Roman" w:eastAsia="Times New Roman" w:hAnsi="Times New Roman" w:cs="Times New Roman"/>
          <w:sz w:val="24"/>
          <w:szCs w:val="20"/>
        </w:rPr>
        <w:t xml:space="preserve">Similarly, AMA </w:t>
      </w:r>
      <w:r w:rsidR="00E83A9B">
        <w:rPr>
          <w:rFonts w:ascii="Times New Roman" w:eastAsia="Times New Roman" w:hAnsi="Times New Roman" w:cs="Times New Roman"/>
          <w:sz w:val="24"/>
          <w:szCs w:val="20"/>
        </w:rPr>
        <w:lastRenderedPageBreak/>
        <w:t xml:space="preserve">recommended </w:t>
      </w:r>
      <w:r w:rsidR="003F4CF4">
        <w:rPr>
          <w:rFonts w:ascii="Times New Roman" w:eastAsia="Times New Roman" w:hAnsi="Times New Roman" w:cs="Times New Roman"/>
          <w:sz w:val="24"/>
          <w:szCs w:val="20"/>
        </w:rPr>
        <w:t xml:space="preserve">a </w:t>
      </w:r>
      <w:r w:rsidR="00E83A9B">
        <w:rPr>
          <w:rFonts w:ascii="Times New Roman" w:eastAsia="Times New Roman" w:hAnsi="Times New Roman" w:cs="Times New Roman"/>
          <w:sz w:val="24"/>
          <w:szCs w:val="20"/>
        </w:rPr>
        <w:t xml:space="preserve">response period </w:t>
      </w:r>
      <w:r w:rsidR="003F4CF4">
        <w:rPr>
          <w:rFonts w:ascii="Times New Roman" w:eastAsia="Times New Roman" w:hAnsi="Times New Roman" w:cs="Times New Roman"/>
          <w:sz w:val="24"/>
          <w:szCs w:val="20"/>
        </w:rPr>
        <w:t xml:space="preserve">of 20 days </w:t>
      </w:r>
      <w:r w:rsidR="00E83A9B">
        <w:rPr>
          <w:rFonts w:ascii="Times New Roman" w:eastAsia="Times New Roman" w:hAnsi="Times New Roman" w:cs="Times New Roman"/>
          <w:sz w:val="24"/>
          <w:szCs w:val="20"/>
        </w:rPr>
        <w:t>for a competitive ETP to respond to commission staff’s recommendation</w:t>
      </w:r>
      <w:r w:rsidR="003F4CF4">
        <w:rPr>
          <w:rFonts w:ascii="Times New Roman" w:eastAsia="Times New Roman" w:hAnsi="Times New Roman" w:cs="Times New Roman"/>
          <w:sz w:val="24"/>
          <w:szCs w:val="20"/>
        </w:rPr>
        <w:t>,</w:t>
      </w:r>
      <w:r w:rsidR="00E83A9B">
        <w:rPr>
          <w:rFonts w:ascii="Times New Roman" w:eastAsia="Times New Roman" w:hAnsi="Times New Roman" w:cs="Times New Roman"/>
          <w:sz w:val="24"/>
          <w:szCs w:val="20"/>
        </w:rPr>
        <w:t xml:space="preserve"> instead of the </w:t>
      </w:r>
      <w:r w:rsidR="003715C0">
        <w:rPr>
          <w:rFonts w:ascii="Times New Roman" w:eastAsia="Times New Roman" w:hAnsi="Times New Roman" w:cs="Times New Roman"/>
          <w:sz w:val="24"/>
          <w:szCs w:val="20"/>
        </w:rPr>
        <w:t>proposed 10 days in subsection (h).</w:t>
      </w:r>
      <w:r w:rsidR="00E83A9B">
        <w:rPr>
          <w:rFonts w:ascii="Times New Roman" w:eastAsia="Times New Roman" w:hAnsi="Times New Roman" w:cs="Times New Roman"/>
          <w:sz w:val="24"/>
          <w:szCs w:val="20"/>
        </w:rPr>
        <w:t xml:space="preserve"> </w:t>
      </w:r>
      <w:r w:rsidR="00557A4D">
        <w:rPr>
          <w:rFonts w:ascii="Times New Roman" w:eastAsia="Times New Roman" w:hAnsi="Times New Roman" w:cs="Times New Roman"/>
          <w:sz w:val="24"/>
          <w:szCs w:val="20"/>
        </w:rPr>
        <w:t xml:space="preserve">AMA stated that a longer period to develop responses would reduce the likelihood of any affected carrier requesting a hearing, thus </w:t>
      </w:r>
      <w:r w:rsidR="003715C0">
        <w:rPr>
          <w:rFonts w:ascii="Times New Roman" w:eastAsia="Times New Roman" w:hAnsi="Times New Roman" w:cs="Times New Roman"/>
          <w:sz w:val="24"/>
          <w:szCs w:val="20"/>
        </w:rPr>
        <w:t xml:space="preserve">reducing administrative costs. </w:t>
      </w:r>
      <w:r w:rsidR="00557A4D">
        <w:rPr>
          <w:rFonts w:ascii="Times New Roman" w:eastAsia="Times New Roman" w:hAnsi="Times New Roman" w:cs="Times New Roman"/>
          <w:sz w:val="24"/>
          <w:szCs w:val="20"/>
        </w:rPr>
        <w:t xml:space="preserve">AMA also stated that additional time is needed because </w:t>
      </w:r>
      <w:r w:rsidR="003715C0">
        <w:rPr>
          <w:rFonts w:ascii="Times New Roman" w:eastAsia="Times New Roman" w:hAnsi="Times New Roman" w:cs="Times New Roman"/>
          <w:sz w:val="24"/>
          <w:szCs w:val="20"/>
        </w:rPr>
        <w:t xml:space="preserve">commission </w:t>
      </w:r>
      <w:r w:rsidR="00557A4D">
        <w:rPr>
          <w:rFonts w:ascii="Times New Roman" w:eastAsia="Times New Roman" w:hAnsi="Times New Roman" w:cs="Times New Roman"/>
          <w:sz w:val="24"/>
          <w:szCs w:val="20"/>
        </w:rPr>
        <w:t xml:space="preserve">staff’s application and recommendation would affect all competitive ETPs serving a specific exchange and that these competitors would have no knowledge of the aggregate reduction in the number of access lines until </w:t>
      </w:r>
      <w:r w:rsidR="003715C0">
        <w:rPr>
          <w:rFonts w:ascii="Times New Roman" w:eastAsia="Times New Roman" w:hAnsi="Times New Roman" w:cs="Times New Roman"/>
          <w:sz w:val="24"/>
          <w:szCs w:val="20"/>
        </w:rPr>
        <w:t xml:space="preserve">commission staff </w:t>
      </w:r>
      <w:r w:rsidR="001705B2">
        <w:rPr>
          <w:rFonts w:ascii="Times New Roman" w:eastAsia="Times New Roman" w:hAnsi="Times New Roman" w:cs="Times New Roman"/>
          <w:sz w:val="24"/>
          <w:szCs w:val="20"/>
        </w:rPr>
        <w:t xml:space="preserve">has </w:t>
      </w:r>
      <w:r w:rsidR="003715C0">
        <w:rPr>
          <w:rFonts w:ascii="Times New Roman" w:eastAsia="Times New Roman" w:hAnsi="Times New Roman" w:cs="Times New Roman"/>
          <w:sz w:val="24"/>
          <w:szCs w:val="20"/>
        </w:rPr>
        <w:t xml:space="preserve">filed </w:t>
      </w:r>
      <w:r w:rsidR="001705B2">
        <w:rPr>
          <w:rFonts w:ascii="Times New Roman" w:eastAsia="Times New Roman" w:hAnsi="Times New Roman" w:cs="Times New Roman"/>
          <w:sz w:val="24"/>
          <w:szCs w:val="20"/>
        </w:rPr>
        <w:t xml:space="preserve">its </w:t>
      </w:r>
      <w:r w:rsidR="003715C0">
        <w:rPr>
          <w:rFonts w:ascii="Times New Roman" w:eastAsia="Times New Roman" w:hAnsi="Times New Roman" w:cs="Times New Roman"/>
          <w:sz w:val="24"/>
          <w:szCs w:val="20"/>
        </w:rPr>
        <w:t xml:space="preserve">application. </w:t>
      </w:r>
      <w:r w:rsidR="00557A4D">
        <w:rPr>
          <w:rFonts w:ascii="Times New Roman" w:eastAsia="Times New Roman" w:hAnsi="Times New Roman" w:cs="Times New Roman"/>
          <w:sz w:val="24"/>
          <w:szCs w:val="20"/>
        </w:rPr>
        <w:t>AMA indicated that the rule should allow sufficient time for affected carriers to execute necessary nondisclosure agreements or protective orders, evaluate data, and deliver a thoughtful and useful response.</w:t>
      </w:r>
    </w:p>
    <w:p w14:paraId="30B28C74" w14:textId="77777777" w:rsidR="00382A51" w:rsidRDefault="00382A51" w:rsidP="008D28EE">
      <w:pPr>
        <w:spacing w:line="480" w:lineRule="auto"/>
        <w:jc w:val="both"/>
        <w:rPr>
          <w:rFonts w:ascii="Times New Roman" w:eastAsia="Times New Roman" w:hAnsi="Times New Roman" w:cs="Times New Roman"/>
          <w:b/>
          <w:i/>
          <w:sz w:val="24"/>
          <w:szCs w:val="20"/>
        </w:rPr>
      </w:pPr>
    </w:p>
    <w:p w14:paraId="4CC2FE6E" w14:textId="77777777" w:rsidR="00201D6E" w:rsidRPr="002F1214" w:rsidRDefault="00201D6E" w:rsidP="008D28EE">
      <w:pPr>
        <w:spacing w:line="480" w:lineRule="auto"/>
        <w:jc w:val="both"/>
        <w:rPr>
          <w:rFonts w:ascii="Times New Roman" w:eastAsia="Times New Roman" w:hAnsi="Times New Roman" w:cs="Times New Roman"/>
          <w:b/>
          <w:i/>
          <w:sz w:val="24"/>
          <w:szCs w:val="20"/>
        </w:rPr>
      </w:pPr>
      <w:r w:rsidRPr="002F1214">
        <w:rPr>
          <w:rFonts w:ascii="Times New Roman" w:eastAsia="Times New Roman" w:hAnsi="Times New Roman" w:cs="Times New Roman"/>
          <w:b/>
          <w:i/>
          <w:sz w:val="24"/>
          <w:szCs w:val="20"/>
        </w:rPr>
        <w:t>Commission Response</w:t>
      </w:r>
    </w:p>
    <w:p w14:paraId="06C3F21D" w14:textId="40CB328A" w:rsidR="00B65E38" w:rsidRDefault="00201D6E" w:rsidP="008D28EE">
      <w:pPr>
        <w:spacing w:line="480" w:lineRule="auto"/>
        <w:jc w:val="both"/>
        <w:rPr>
          <w:rFonts w:ascii="Times New Roman" w:eastAsia="Times New Roman" w:hAnsi="Times New Roman" w:cs="Times New Roman"/>
          <w:b/>
          <w:sz w:val="24"/>
          <w:szCs w:val="20"/>
        </w:rPr>
      </w:pPr>
      <w:r w:rsidRPr="002F1214">
        <w:rPr>
          <w:rFonts w:ascii="Times New Roman" w:eastAsia="Times New Roman" w:hAnsi="Times New Roman" w:cs="Times New Roman"/>
          <w:b/>
          <w:sz w:val="24"/>
          <w:szCs w:val="20"/>
        </w:rPr>
        <w:t>The commission</w:t>
      </w:r>
      <w:r w:rsidR="00E83A9B">
        <w:rPr>
          <w:rFonts w:ascii="Times New Roman" w:eastAsia="Times New Roman" w:hAnsi="Times New Roman" w:cs="Times New Roman"/>
          <w:b/>
          <w:sz w:val="24"/>
          <w:szCs w:val="20"/>
        </w:rPr>
        <w:t xml:space="preserve"> agrees to lengthen the response period to not more than 30 days in subsection (f)(1) and not more than 20 days in subsection (h).</w:t>
      </w:r>
      <w:r w:rsidR="008146A5">
        <w:rPr>
          <w:rFonts w:ascii="Times New Roman" w:eastAsia="Times New Roman" w:hAnsi="Times New Roman" w:cs="Times New Roman"/>
          <w:b/>
          <w:sz w:val="24"/>
          <w:szCs w:val="20"/>
        </w:rPr>
        <w:t xml:space="preserve"> </w:t>
      </w:r>
      <w:r w:rsidR="009C7D3D">
        <w:rPr>
          <w:rFonts w:ascii="Times New Roman" w:eastAsia="Times New Roman" w:hAnsi="Times New Roman" w:cs="Times New Roman"/>
          <w:b/>
          <w:sz w:val="24"/>
          <w:szCs w:val="20"/>
        </w:rPr>
        <w:t>T</w:t>
      </w:r>
      <w:r w:rsidR="007B56BF">
        <w:rPr>
          <w:rFonts w:ascii="Times New Roman" w:eastAsia="Times New Roman" w:hAnsi="Times New Roman" w:cs="Times New Roman"/>
          <w:b/>
          <w:sz w:val="24"/>
          <w:szCs w:val="20"/>
        </w:rPr>
        <w:t>o maintain comparable response periods, t</w:t>
      </w:r>
      <w:r w:rsidR="008146A5">
        <w:rPr>
          <w:rFonts w:ascii="Times New Roman" w:eastAsia="Times New Roman" w:hAnsi="Times New Roman" w:cs="Times New Roman"/>
          <w:b/>
          <w:sz w:val="24"/>
          <w:szCs w:val="20"/>
        </w:rPr>
        <w:t xml:space="preserve">he commission also </w:t>
      </w:r>
      <w:r w:rsidR="007B56BF">
        <w:rPr>
          <w:rFonts w:ascii="Times New Roman" w:eastAsia="Times New Roman" w:hAnsi="Times New Roman" w:cs="Times New Roman"/>
          <w:b/>
          <w:sz w:val="24"/>
          <w:szCs w:val="20"/>
        </w:rPr>
        <w:t>increases the time in subsection (g) by which commission staff must file a recommendation to not more than 40 days.</w:t>
      </w:r>
      <w:r w:rsidR="008146A5">
        <w:rPr>
          <w:rFonts w:ascii="Times New Roman" w:eastAsia="Times New Roman" w:hAnsi="Times New Roman" w:cs="Times New Roman"/>
          <w:b/>
          <w:sz w:val="24"/>
          <w:szCs w:val="20"/>
        </w:rPr>
        <w:t xml:space="preserve"> </w:t>
      </w:r>
    </w:p>
    <w:p w14:paraId="4E5EAC80" w14:textId="77777777" w:rsidR="00A63829" w:rsidRDefault="00A63829" w:rsidP="008D28EE">
      <w:pPr>
        <w:spacing w:line="480" w:lineRule="auto"/>
        <w:jc w:val="both"/>
        <w:rPr>
          <w:rFonts w:ascii="Times New Roman" w:eastAsia="Times New Roman" w:hAnsi="Times New Roman" w:cs="Times New Roman"/>
          <w:sz w:val="24"/>
          <w:szCs w:val="20"/>
        </w:rPr>
      </w:pPr>
    </w:p>
    <w:p w14:paraId="6A37D4EA" w14:textId="77777777" w:rsidR="00552996" w:rsidRDefault="00552996" w:rsidP="00552996">
      <w:pPr>
        <w:spacing w:line="48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This amendment is adopted under PURA §14.002, which provides the commission with the authority to make and enforce rules reasonably required in the exercise of its powers and jurisdiction and PURA §56.023(r), which directs the commission to adopt rules to establish the criteria to determine whether the TUSF support for certain competitive ETPs should be eliminated.</w:t>
      </w:r>
    </w:p>
    <w:p w14:paraId="441CF28E" w14:textId="77777777" w:rsidR="00552996" w:rsidRDefault="00552996" w:rsidP="008D28EE">
      <w:pPr>
        <w:spacing w:line="480" w:lineRule="auto"/>
        <w:jc w:val="both"/>
        <w:rPr>
          <w:rFonts w:ascii="Times New Roman" w:eastAsia="Times New Roman" w:hAnsi="Times New Roman" w:cs="Times New Roman"/>
          <w:sz w:val="24"/>
          <w:szCs w:val="20"/>
        </w:rPr>
      </w:pPr>
    </w:p>
    <w:p w14:paraId="7A6A3D7D" w14:textId="77777777" w:rsidR="00F00954" w:rsidRDefault="002F1214" w:rsidP="00F00954">
      <w:pPr>
        <w:spacing w:line="480" w:lineRule="auto"/>
        <w:jc w:val="both"/>
        <w:rPr>
          <w:rFonts w:ascii="Times New Roman" w:eastAsia="Times New Roman" w:hAnsi="Times New Roman" w:cs="Times New Roman"/>
          <w:b/>
          <w:i/>
          <w:sz w:val="24"/>
          <w:szCs w:val="20"/>
        </w:rPr>
      </w:pPr>
      <w:r>
        <w:rPr>
          <w:rFonts w:ascii="Times New Roman" w:eastAsia="Times New Roman" w:hAnsi="Times New Roman" w:cs="Times New Roman"/>
          <w:sz w:val="24"/>
          <w:szCs w:val="20"/>
        </w:rPr>
        <w:lastRenderedPageBreak/>
        <w:t xml:space="preserve">Cross reference to statutes: PURA§§ </w:t>
      </w:r>
      <w:r w:rsidR="002D5835">
        <w:rPr>
          <w:rFonts w:ascii="Times New Roman" w:eastAsia="Times New Roman" w:hAnsi="Times New Roman" w:cs="Times New Roman"/>
          <w:sz w:val="24"/>
          <w:szCs w:val="20"/>
        </w:rPr>
        <w:t>14.002 and 56.0</w:t>
      </w:r>
      <w:r w:rsidR="007E1463">
        <w:rPr>
          <w:rFonts w:ascii="Times New Roman" w:eastAsia="Times New Roman" w:hAnsi="Times New Roman" w:cs="Times New Roman"/>
          <w:sz w:val="24"/>
          <w:szCs w:val="20"/>
        </w:rPr>
        <w:t>2</w:t>
      </w:r>
      <w:r w:rsidR="00E32C5A">
        <w:rPr>
          <w:rFonts w:ascii="Times New Roman" w:eastAsia="Times New Roman" w:hAnsi="Times New Roman" w:cs="Times New Roman"/>
          <w:sz w:val="24"/>
          <w:szCs w:val="20"/>
        </w:rPr>
        <w:t>3</w:t>
      </w:r>
      <w:r w:rsidR="002D5835">
        <w:rPr>
          <w:rFonts w:ascii="Times New Roman" w:eastAsia="Times New Roman" w:hAnsi="Times New Roman" w:cs="Times New Roman"/>
          <w:sz w:val="24"/>
          <w:szCs w:val="20"/>
        </w:rPr>
        <w:t>.</w:t>
      </w:r>
    </w:p>
    <w:p w14:paraId="387068EC" w14:textId="77777777" w:rsidR="00F00954" w:rsidRDefault="00F00954" w:rsidP="00F00954">
      <w:pPr>
        <w:spacing w:line="480" w:lineRule="auto"/>
        <w:jc w:val="both"/>
        <w:rPr>
          <w:rFonts w:ascii="Times New Roman" w:eastAsia="Times New Roman" w:hAnsi="Times New Roman" w:cs="Times New Roman"/>
          <w:b/>
          <w:i/>
          <w:sz w:val="24"/>
          <w:szCs w:val="20"/>
        </w:rPr>
      </w:pPr>
    </w:p>
    <w:p w14:paraId="625BF8A0" w14:textId="77777777" w:rsidR="00F00954" w:rsidRDefault="00F00954" w:rsidP="00F00954">
      <w:pPr>
        <w:spacing w:line="480" w:lineRule="auto"/>
        <w:jc w:val="both"/>
        <w:rPr>
          <w:rFonts w:ascii="Times New Roman" w:eastAsia="Times New Roman" w:hAnsi="Times New Roman" w:cs="Times New Roman"/>
          <w:b/>
          <w:sz w:val="24"/>
          <w:szCs w:val="20"/>
        </w:rPr>
      </w:pPr>
    </w:p>
    <w:p w14:paraId="1820C9AC" w14:textId="77777777" w:rsidR="00F00954" w:rsidRDefault="00F00954" w:rsidP="00F00954">
      <w:pPr>
        <w:spacing w:line="480" w:lineRule="auto"/>
        <w:jc w:val="both"/>
        <w:rPr>
          <w:rFonts w:ascii="Times New Roman" w:eastAsia="Times New Roman" w:hAnsi="Times New Roman" w:cs="Times New Roman"/>
          <w:b/>
          <w:sz w:val="24"/>
          <w:szCs w:val="20"/>
        </w:rPr>
      </w:pPr>
    </w:p>
    <w:p w14:paraId="4BB1B020" w14:textId="77777777" w:rsidR="00F00954" w:rsidRDefault="00F00954" w:rsidP="00F00954">
      <w:pPr>
        <w:spacing w:line="480" w:lineRule="auto"/>
        <w:jc w:val="both"/>
        <w:rPr>
          <w:rFonts w:ascii="Times New Roman" w:eastAsia="Times New Roman" w:hAnsi="Times New Roman" w:cs="Times New Roman"/>
          <w:b/>
          <w:sz w:val="24"/>
          <w:szCs w:val="20"/>
        </w:rPr>
      </w:pPr>
    </w:p>
    <w:p w14:paraId="7BEECE1B" w14:textId="77777777" w:rsidR="00F00954" w:rsidRDefault="00F00954" w:rsidP="00F00954">
      <w:pPr>
        <w:spacing w:line="480" w:lineRule="auto"/>
        <w:jc w:val="both"/>
        <w:rPr>
          <w:rFonts w:ascii="Times New Roman" w:eastAsia="Times New Roman" w:hAnsi="Times New Roman" w:cs="Times New Roman"/>
          <w:b/>
          <w:sz w:val="24"/>
          <w:szCs w:val="20"/>
        </w:rPr>
      </w:pPr>
    </w:p>
    <w:p w14:paraId="4776D502" w14:textId="77777777" w:rsidR="00F00954" w:rsidRDefault="00F00954" w:rsidP="00F00954">
      <w:pPr>
        <w:spacing w:line="480" w:lineRule="auto"/>
        <w:jc w:val="both"/>
        <w:rPr>
          <w:rFonts w:ascii="Times New Roman" w:eastAsia="Times New Roman" w:hAnsi="Times New Roman" w:cs="Times New Roman"/>
          <w:b/>
          <w:sz w:val="24"/>
          <w:szCs w:val="20"/>
        </w:rPr>
      </w:pPr>
    </w:p>
    <w:p w14:paraId="252436F6" w14:textId="77777777" w:rsidR="00F00954" w:rsidRDefault="00F00954" w:rsidP="00F00954">
      <w:pPr>
        <w:spacing w:line="480" w:lineRule="auto"/>
        <w:jc w:val="both"/>
        <w:rPr>
          <w:rFonts w:ascii="Times New Roman" w:eastAsia="Times New Roman" w:hAnsi="Times New Roman" w:cs="Times New Roman"/>
          <w:b/>
          <w:sz w:val="24"/>
          <w:szCs w:val="20"/>
        </w:rPr>
      </w:pPr>
    </w:p>
    <w:p w14:paraId="0AAF1A0B" w14:textId="77777777" w:rsidR="00F00954" w:rsidRDefault="00F00954" w:rsidP="00F00954">
      <w:pPr>
        <w:spacing w:line="480" w:lineRule="auto"/>
        <w:jc w:val="both"/>
        <w:rPr>
          <w:rFonts w:ascii="Times New Roman" w:eastAsia="Times New Roman" w:hAnsi="Times New Roman" w:cs="Times New Roman"/>
          <w:b/>
          <w:sz w:val="24"/>
          <w:szCs w:val="20"/>
        </w:rPr>
      </w:pPr>
    </w:p>
    <w:p w14:paraId="22499AD6" w14:textId="77777777" w:rsidR="00F00954" w:rsidRDefault="00F00954" w:rsidP="00F00954">
      <w:pPr>
        <w:spacing w:line="480" w:lineRule="auto"/>
        <w:jc w:val="both"/>
        <w:rPr>
          <w:rFonts w:ascii="Times New Roman" w:eastAsia="Times New Roman" w:hAnsi="Times New Roman" w:cs="Times New Roman"/>
          <w:b/>
          <w:sz w:val="24"/>
          <w:szCs w:val="20"/>
        </w:rPr>
      </w:pPr>
    </w:p>
    <w:p w14:paraId="49602203" w14:textId="77777777" w:rsidR="00F00954" w:rsidRDefault="00F00954" w:rsidP="00F00954">
      <w:pPr>
        <w:spacing w:line="480" w:lineRule="auto"/>
        <w:jc w:val="both"/>
        <w:rPr>
          <w:rFonts w:ascii="Times New Roman" w:eastAsia="Times New Roman" w:hAnsi="Times New Roman" w:cs="Times New Roman"/>
          <w:b/>
          <w:sz w:val="24"/>
          <w:szCs w:val="20"/>
        </w:rPr>
      </w:pPr>
    </w:p>
    <w:p w14:paraId="5EEFA6F4" w14:textId="77777777" w:rsidR="00F00954" w:rsidRDefault="00F00954" w:rsidP="00F00954">
      <w:pPr>
        <w:spacing w:line="480" w:lineRule="auto"/>
        <w:jc w:val="both"/>
        <w:rPr>
          <w:rFonts w:ascii="Times New Roman" w:eastAsia="Times New Roman" w:hAnsi="Times New Roman" w:cs="Times New Roman"/>
          <w:b/>
          <w:sz w:val="24"/>
          <w:szCs w:val="20"/>
        </w:rPr>
      </w:pPr>
    </w:p>
    <w:p w14:paraId="27F2A567" w14:textId="77777777" w:rsidR="00F00954" w:rsidRDefault="00F00954" w:rsidP="00F00954">
      <w:pPr>
        <w:spacing w:line="480" w:lineRule="auto"/>
        <w:jc w:val="both"/>
        <w:rPr>
          <w:rFonts w:ascii="Times New Roman" w:eastAsia="Times New Roman" w:hAnsi="Times New Roman" w:cs="Times New Roman"/>
          <w:b/>
          <w:sz w:val="24"/>
          <w:szCs w:val="20"/>
        </w:rPr>
      </w:pPr>
    </w:p>
    <w:p w14:paraId="41995DE5" w14:textId="77777777" w:rsidR="00F00954" w:rsidRDefault="00F00954" w:rsidP="00F00954">
      <w:pPr>
        <w:spacing w:line="480" w:lineRule="auto"/>
        <w:jc w:val="both"/>
        <w:rPr>
          <w:rFonts w:ascii="Times New Roman" w:eastAsia="Times New Roman" w:hAnsi="Times New Roman" w:cs="Times New Roman"/>
          <w:b/>
          <w:sz w:val="24"/>
          <w:szCs w:val="20"/>
        </w:rPr>
      </w:pPr>
    </w:p>
    <w:p w14:paraId="16920C04" w14:textId="77777777" w:rsidR="00F00954" w:rsidRDefault="00F00954" w:rsidP="00F00954">
      <w:pPr>
        <w:spacing w:line="480" w:lineRule="auto"/>
        <w:jc w:val="both"/>
        <w:rPr>
          <w:rFonts w:ascii="Times New Roman" w:eastAsia="Times New Roman" w:hAnsi="Times New Roman" w:cs="Times New Roman"/>
          <w:b/>
          <w:sz w:val="24"/>
          <w:szCs w:val="20"/>
        </w:rPr>
      </w:pPr>
    </w:p>
    <w:p w14:paraId="6A416832" w14:textId="77777777" w:rsidR="00F00954" w:rsidRDefault="00F00954" w:rsidP="00F00954">
      <w:pPr>
        <w:spacing w:line="480" w:lineRule="auto"/>
        <w:jc w:val="both"/>
        <w:rPr>
          <w:rFonts w:ascii="Times New Roman" w:eastAsia="Times New Roman" w:hAnsi="Times New Roman" w:cs="Times New Roman"/>
          <w:b/>
          <w:sz w:val="24"/>
          <w:szCs w:val="20"/>
        </w:rPr>
      </w:pPr>
    </w:p>
    <w:p w14:paraId="4A2CE3CA" w14:textId="77777777" w:rsidR="00F00954" w:rsidRDefault="00F00954" w:rsidP="00F00954">
      <w:pPr>
        <w:spacing w:line="480" w:lineRule="auto"/>
        <w:jc w:val="both"/>
        <w:rPr>
          <w:rFonts w:ascii="Times New Roman" w:eastAsia="Times New Roman" w:hAnsi="Times New Roman" w:cs="Times New Roman"/>
          <w:b/>
          <w:sz w:val="24"/>
          <w:szCs w:val="20"/>
        </w:rPr>
      </w:pPr>
    </w:p>
    <w:p w14:paraId="1BD3358A" w14:textId="77777777" w:rsidR="00F00954" w:rsidRDefault="00F00954" w:rsidP="00F00954">
      <w:pPr>
        <w:spacing w:line="480" w:lineRule="auto"/>
        <w:jc w:val="both"/>
        <w:rPr>
          <w:rFonts w:ascii="Times New Roman" w:eastAsia="Times New Roman" w:hAnsi="Times New Roman" w:cs="Times New Roman"/>
          <w:b/>
          <w:sz w:val="24"/>
          <w:szCs w:val="20"/>
        </w:rPr>
      </w:pPr>
    </w:p>
    <w:p w14:paraId="24BEED59" w14:textId="372B867D" w:rsidR="00D659DE" w:rsidRPr="00F00954" w:rsidRDefault="00D659DE" w:rsidP="00F00954">
      <w:pPr>
        <w:spacing w:line="480" w:lineRule="auto"/>
        <w:jc w:val="both"/>
        <w:rPr>
          <w:rFonts w:ascii="Times New Roman" w:eastAsia="Times New Roman" w:hAnsi="Times New Roman" w:cs="Times New Roman"/>
          <w:sz w:val="24"/>
          <w:szCs w:val="20"/>
        </w:rPr>
      </w:pPr>
      <w:r w:rsidRPr="00D659DE">
        <w:rPr>
          <w:rFonts w:ascii="Times New Roman" w:eastAsia="Times New Roman" w:hAnsi="Times New Roman" w:cs="Times New Roman"/>
          <w:b/>
          <w:sz w:val="24"/>
          <w:szCs w:val="20"/>
        </w:rPr>
        <w:lastRenderedPageBreak/>
        <w:t>§26.409.</w:t>
      </w:r>
      <w:r w:rsidRPr="00D659DE">
        <w:rPr>
          <w:rFonts w:ascii="Times New Roman" w:eastAsia="Times New Roman" w:hAnsi="Times New Roman" w:cs="Times New Roman"/>
          <w:b/>
          <w:sz w:val="24"/>
          <w:szCs w:val="20"/>
        </w:rPr>
        <w:tab/>
        <w:t>Review of Texas Universal Service Fund Support Received by Competitive Eligible Telecommunications Providers.</w:t>
      </w:r>
    </w:p>
    <w:p w14:paraId="4BA43864" w14:textId="77777777" w:rsidR="00D659DE" w:rsidRPr="00D659DE" w:rsidRDefault="00D659DE" w:rsidP="00D659DE">
      <w:pPr>
        <w:spacing w:after="0" w:line="480" w:lineRule="auto"/>
        <w:ind w:left="72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(a)</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 xml:space="preserve">Purpose.  </w:t>
      </w:r>
      <w:r w:rsidRPr="00D659DE">
        <w:rPr>
          <w:rFonts w:ascii="Times New Roman" w:eastAsia="Times New Roman" w:hAnsi="Times New Roman" w:cs="Times New Roman"/>
          <w:sz w:val="24"/>
          <w:szCs w:val="20"/>
        </w:rPr>
        <w:t>This section implements PURA §56.023(p) and (r) and establishes the criteria and process for determining whether Texas Universal Service Fund (TUSF) support under 16 TAC §26.403 to a competitive Eligible Telecommunications Provider (ETP) should be eliminated.</w:t>
      </w:r>
    </w:p>
    <w:p w14:paraId="761422A0" w14:textId="77777777" w:rsidR="00D659DE" w:rsidRPr="00D659DE" w:rsidRDefault="00D659DE" w:rsidP="00D659DE">
      <w:pPr>
        <w:spacing w:after="0" w:line="480" w:lineRule="auto"/>
        <w:ind w:left="720"/>
        <w:jc w:val="both"/>
        <w:rPr>
          <w:rFonts w:ascii="Times New Roman" w:eastAsia="Times New Roman" w:hAnsi="Times New Roman" w:cs="Times New Roman"/>
          <w:sz w:val="24"/>
          <w:szCs w:val="20"/>
        </w:rPr>
      </w:pPr>
    </w:p>
    <w:p w14:paraId="7D814D35" w14:textId="77777777" w:rsidR="00D659DE" w:rsidRPr="00D659DE" w:rsidRDefault="00D659DE" w:rsidP="00D659DE">
      <w:pPr>
        <w:spacing w:after="0" w:line="480" w:lineRule="auto"/>
        <w:ind w:left="72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(b)</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 xml:space="preserve">Application.  </w:t>
      </w:r>
      <w:r w:rsidRPr="00D659DE">
        <w:rPr>
          <w:rFonts w:ascii="Times New Roman" w:eastAsia="Times New Roman" w:hAnsi="Times New Roman" w:cs="Times New Roman"/>
          <w:sz w:val="24"/>
          <w:szCs w:val="20"/>
        </w:rPr>
        <w:t xml:space="preserve">This section applies to exchanges in which an incumbent local exchange company or cooperative is ineligible for support under PURA §56.021(1) and a competitive ETP receives TUSF support under 16 TAC §26.403. </w:t>
      </w:r>
    </w:p>
    <w:p w14:paraId="647BD879" w14:textId="77777777" w:rsidR="00D659DE" w:rsidRPr="00D659DE" w:rsidRDefault="00D659DE" w:rsidP="00D659DE">
      <w:pPr>
        <w:spacing w:after="0" w:line="480" w:lineRule="auto"/>
        <w:ind w:left="720" w:hanging="720"/>
        <w:jc w:val="both"/>
        <w:rPr>
          <w:rFonts w:ascii="Times New Roman" w:eastAsia="Times New Roman" w:hAnsi="Times New Roman" w:cs="Times New Roman"/>
          <w:sz w:val="24"/>
          <w:szCs w:val="20"/>
        </w:rPr>
      </w:pPr>
    </w:p>
    <w:p w14:paraId="7E2C7B49" w14:textId="77777777" w:rsidR="00D659DE" w:rsidRPr="00D659DE" w:rsidRDefault="00D659DE" w:rsidP="00D659DE">
      <w:pPr>
        <w:spacing w:after="0" w:line="480" w:lineRule="auto"/>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(c)</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Commission review</w:t>
      </w:r>
      <w:r w:rsidRPr="00D659DE">
        <w:rPr>
          <w:rFonts w:ascii="Times New Roman" w:eastAsia="Times New Roman" w:hAnsi="Times New Roman" w:cs="Times New Roman"/>
          <w:sz w:val="24"/>
          <w:szCs w:val="20"/>
        </w:rPr>
        <w:t>.</w:t>
      </w:r>
    </w:p>
    <w:p w14:paraId="0B829DDA" w14:textId="77777777" w:rsidR="00D659DE" w:rsidRPr="00D659DE" w:rsidRDefault="00D659DE" w:rsidP="00D659DE">
      <w:pPr>
        <w:spacing w:after="0" w:line="480" w:lineRule="auto"/>
        <w:ind w:left="1440" w:hanging="720"/>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(1)</w:t>
      </w:r>
      <w:r w:rsidRPr="00D659DE">
        <w:rPr>
          <w:rFonts w:ascii="Times New Roman" w:eastAsia="Times New Roman" w:hAnsi="Times New Roman" w:cs="Times New Roman"/>
          <w:sz w:val="24"/>
          <w:szCs w:val="20"/>
        </w:rPr>
        <w:tab/>
        <w:t xml:space="preserve">The commission must review the per-line TUSF support amount for each exchange identified by subparagraph (d)(1)(B) of this section to determine whether support should be eliminated. The first review of an exchange must be completed not later than the end of the year following the year in which the exchange was reported under subparagraph (d)(1)(B) of this section. </w:t>
      </w:r>
    </w:p>
    <w:p w14:paraId="2CEE7143" w14:textId="77777777" w:rsidR="00D659DE" w:rsidRPr="00D659DE" w:rsidRDefault="00D659DE" w:rsidP="00D659DE">
      <w:pPr>
        <w:spacing w:after="0" w:line="480" w:lineRule="auto"/>
        <w:ind w:firstLine="720"/>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(2)</w:t>
      </w:r>
      <w:r w:rsidRPr="00D659DE">
        <w:rPr>
          <w:rFonts w:ascii="Times New Roman" w:eastAsia="Times New Roman" w:hAnsi="Times New Roman" w:cs="Times New Roman"/>
          <w:sz w:val="24"/>
          <w:szCs w:val="20"/>
        </w:rPr>
        <w:tab/>
        <w:t>The commission must base its decision on the following criteria:</w:t>
      </w:r>
    </w:p>
    <w:p w14:paraId="527BF29A" w14:textId="77777777" w:rsidR="00D659DE" w:rsidRPr="00D659DE" w:rsidRDefault="00D659DE" w:rsidP="00D659DE">
      <w:pPr>
        <w:spacing w:after="0" w:line="480" w:lineRule="auto"/>
        <w:ind w:left="2160" w:hanging="720"/>
        <w:jc w:val="both"/>
        <w:rPr>
          <w:rFonts w:ascii="Times New Roman" w:eastAsia="Times New Roman" w:hAnsi="Times New Roman" w:cs="Times New Roman"/>
          <w:sz w:val="24"/>
          <w:szCs w:val="24"/>
        </w:rPr>
      </w:pPr>
      <w:r w:rsidRPr="00D659DE">
        <w:rPr>
          <w:rFonts w:ascii="Times New Roman" w:eastAsia="Times New Roman" w:hAnsi="Times New Roman" w:cs="Times New Roman"/>
          <w:sz w:val="24"/>
          <w:szCs w:val="24"/>
        </w:rPr>
        <w:t>(A)</w:t>
      </w:r>
      <w:r w:rsidRPr="00D659DE">
        <w:rPr>
          <w:rFonts w:ascii="Times New Roman" w:eastAsia="Times New Roman" w:hAnsi="Times New Roman" w:cs="Times New Roman"/>
          <w:sz w:val="24"/>
          <w:szCs w:val="24"/>
        </w:rPr>
        <w:tab/>
        <w:t>The total number of access lines in the exchange served by competitive ETPs receiving TUSF support;</w:t>
      </w:r>
    </w:p>
    <w:p w14:paraId="7816E0EC" w14:textId="77777777" w:rsidR="00D659DE" w:rsidRPr="00D659DE" w:rsidRDefault="00D659DE" w:rsidP="00D659DE">
      <w:pPr>
        <w:spacing w:after="0" w:line="480" w:lineRule="auto"/>
        <w:ind w:left="2160" w:hanging="720"/>
        <w:jc w:val="both"/>
        <w:rPr>
          <w:rFonts w:ascii="Times New Roman" w:eastAsia="Times New Roman" w:hAnsi="Times New Roman" w:cs="Times New Roman"/>
          <w:sz w:val="24"/>
          <w:szCs w:val="24"/>
        </w:rPr>
      </w:pPr>
      <w:r w:rsidRPr="00D659DE">
        <w:rPr>
          <w:rFonts w:ascii="Times New Roman" w:eastAsia="Times New Roman" w:hAnsi="Times New Roman" w:cs="Times New Roman"/>
          <w:sz w:val="24"/>
          <w:szCs w:val="24"/>
        </w:rPr>
        <w:t>(B)</w:t>
      </w:r>
      <w:r w:rsidRPr="00D659DE">
        <w:rPr>
          <w:rFonts w:ascii="Times New Roman" w:eastAsia="Times New Roman" w:hAnsi="Times New Roman" w:cs="Times New Roman"/>
          <w:sz w:val="24"/>
          <w:szCs w:val="24"/>
        </w:rPr>
        <w:tab/>
        <w:t>The number of competitors providing comparable service in the exchange; and</w:t>
      </w:r>
    </w:p>
    <w:p w14:paraId="20BFBBEA" w14:textId="77777777" w:rsidR="00D659DE" w:rsidRPr="00D659DE" w:rsidRDefault="00D659DE" w:rsidP="00D659DE">
      <w:pPr>
        <w:spacing w:after="0" w:line="480" w:lineRule="auto"/>
        <w:ind w:left="2160" w:hanging="720"/>
        <w:jc w:val="both"/>
        <w:rPr>
          <w:rFonts w:ascii="Times New Roman" w:eastAsia="Times New Roman" w:hAnsi="Times New Roman" w:cs="Times New Roman"/>
          <w:sz w:val="24"/>
          <w:szCs w:val="24"/>
        </w:rPr>
      </w:pPr>
      <w:r w:rsidRPr="00D659DE">
        <w:rPr>
          <w:rFonts w:ascii="Times New Roman" w:eastAsia="Times New Roman" w:hAnsi="Times New Roman" w:cs="Times New Roman"/>
          <w:sz w:val="24"/>
          <w:szCs w:val="24"/>
        </w:rPr>
        <w:t>(C)</w:t>
      </w:r>
      <w:r w:rsidRPr="00D659DE">
        <w:rPr>
          <w:rFonts w:ascii="Times New Roman" w:eastAsia="Times New Roman" w:hAnsi="Times New Roman" w:cs="Times New Roman"/>
          <w:sz w:val="24"/>
          <w:szCs w:val="24"/>
        </w:rPr>
        <w:tab/>
        <w:t>Whether continuing the TUSF support is in the public interest.</w:t>
      </w:r>
    </w:p>
    <w:p w14:paraId="7698D559" w14:textId="77777777" w:rsidR="00D659DE" w:rsidRPr="00D659DE" w:rsidRDefault="00D659DE" w:rsidP="00D659DE">
      <w:pPr>
        <w:spacing w:after="0" w:line="480" w:lineRule="auto"/>
        <w:jc w:val="both"/>
        <w:rPr>
          <w:rFonts w:ascii="Times New Roman" w:eastAsia="Times New Roman" w:hAnsi="Times New Roman" w:cs="Times New Roman"/>
          <w:sz w:val="24"/>
          <w:szCs w:val="20"/>
        </w:rPr>
      </w:pPr>
    </w:p>
    <w:p w14:paraId="603DB343" w14:textId="77777777" w:rsidR="00D659DE" w:rsidRPr="00D659DE" w:rsidRDefault="00D659DE" w:rsidP="00D659DE">
      <w:pPr>
        <w:spacing w:after="0" w:line="480" w:lineRule="auto"/>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(d)</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Identification of exchanges for review.</w:t>
      </w:r>
    </w:p>
    <w:p w14:paraId="3A12FBF7" w14:textId="2E4F4E40" w:rsidR="00D659DE" w:rsidRPr="00E647EA" w:rsidRDefault="00D659DE" w:rsidP="00D659DE">
      <w:pPr>
        <w:spacing w:after="0" w:line="480" w:lineRule="auto"/>
        <w:ind w:left="144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(1)</w:t>
      </w:r>
      <w:r w:rsidRPr="00D659DE">
        <w:rPr>
          <w:rFonts w:ascii="Times New Roman" w:eastAsia="Times New Roman" w:hAnsi="Times New Roman" w:cs="Times New Roman"/>
          <w:sz w:val="24"/>
          <w:szCs w:val="20"/>
        </w:rPr>
        <w:tab/>
      </w:r>
      <w:r w:rsidRPr="00E647EA">
        <w:rPr>
          <w:rFonts w:ascii="Times New Roman" w:eastAsia="Times New Roman" w:hAnsi="Times New Roman" w:cs="Times New Roman"/>
          <w:sz w:val="24"/>
          <w:szCs w:val="20"/>
        </w:rPr>
        <w:t>No later than April 30 of each year</w:t>
      </w:r>
      <w:r w:rsidR="00EF3970" w:rsidRPr="00E647EA">
        <w:rPr>
          <w:rFonts w:ascii="Times New Roman" w:eastAsia="Times New Roman" w:hAnsi="Times New Roman" w:cs="Times New Roman"/>
          <w:sz w:val="24"/>
          <w:szCs w:val="20"/>
        </w:rPr>
        <w:t xml:space="preserve">, </w:t>
      </w:r>
      <w:r w:rsidRPr="00E647EA">
        <w:rPr>
          <w:rFonts w:ascii="Times New Roman" w:eastAsia="Times New Roman" w:hAnsi="Times New Roman" w:cs="Times New Roman"/>
          <w:sz w:val="24"/>
          <w:szCs w:val="20"/>
        </w:rPr>
        <w:t>commission staff must report:</w:t>
      </w:r>
    </w:p>
    <w:p w14:paraId="0558F86B" w14:textId="7AE8DA14" w:rsidR="00D659DE" w:rsidRPr="00E647EA" w:rsidRDefault="00D659DE" w:rsidP="00D659DE">
      <w:pPr>
        <w:spacing w:after="0" w:line="480" w:lineRule="auto"/>
        <w:ind w:left="2160" w:hanging="720"/>
        <w:jc w:val="both"/>
        <w:rPr>
          <w:rFonts w:ascii="Times New Roman" w:eastAsia="Times New Roman" w:hAnsi="Times New Roman" w:cs="Times New Roman"/>
          <w:sz w:val="24"/>
          <w:szCs w:val="20"/>
        </w:rPr>
      </w:pPr>
      <w:r w:rsidRPr="00E647EA">
        <w:rPr>
          <w:rFonts w:ascii="Times New Roman" w:eastAsia="Times New Roman" w:hAnsi="Times New Roman" w:cs="Times New Roman"/>
          <w:sz w:val="24"/>
          <w:szCs w:val="20"/>
        </w:rPr>
        <w:t>(A)</w:t>
      </w:r>
      <w:r w:rsidRPr="00E647EA">
        <w:rPr>
          <w:rFonts w:ascii="Times New Roman" w:eastAsia="Times New Roman" w:hAnsi="Times New Roman" w:cs="Times New Roman"/>
          <w:sz w:val="24"/>
          <w:szCs w:val="20"/>
        </w:rPr>
        <w:tab/>
      </w:r>
      <w:r w:rsidR="00EF3970" w:rsidRPr="00E647EA">
        <w:rPr>
          <w:rFonts w:ascii="Times New Roman" w:eastAsia="Times New Roman" w:hAnsi="Times New Roman" w:cs="Times New Roman"/>
          <w:sz w:val="24"/>
          <w:szCs w:val="20"/>
        </w:rPr>
        <w:t>The exchanges in which the number of access lines served by competitive ETPs has decreased by at least 50% from the number of access lines that were served in that exchange by competitive ETPs on December 31, 2016; and</w:t>
      </w:r>
    </w:p>
    <w:p w14:paraId="413ED180" w14:textId="7543C681" w:rsidR="00EF3970" w:rsidRPr="00E647EA" w:rsidRDefault="00D659DE" w:rsidP="00EF3970">
      <w:pPr>
        <w:spacing w:after="0" w:line="480" w:lineRule="auto"/>
        <w:ind w:left="2160" w:hanging="720"/>
        <w:jc w:val="both"/>
        <w:rPr>
          <w:rFonts w:ascii="Times New Roman" w:eastAsia="Times New Roman" w:hAnsi="Times New Roman" w:cs="Times New Roman"/>
          <w:sz w:val="24"/>
          <w:szCs w:val="20"/>
        </w:rPr>
      </w:pPr>
      <w:r w:rsidRPr="00E647EA">
        <w:rPr>
          <w:rFonts w:ascii="Times New Roman" w:eastAsia="Times New Roman" w:hAnsi="Times New Roman" w:cs="Times New Roman"/>
          <w:sz w:val="24"/>
          <w:szCs w:val="20"/>
        </w:rPr>
        <w:t>(B)</w:t>
      </w:r>
      <w:r w:rsidRPr="00E647EA">
        <w:rPr>
          <w:rFonts w:ascii="Times New Roman" w:eastAsia="Times New Roman" w:hAnsi="Times New Roman" w:cs="Times New Roman"/>
          <w:sz w:val="24"/>
          <w:szCs w:val="20"/>
        </w:rPr>
        <w:tab/>
      </w:r>
      <w:r w:rsidR="00EF3970" w:rsidRPr="00E647EA">
        <w:rPr>
          <w:rFonts w:ascii="Times New Roman" w:eastAsia="Times New Roman" w:hAnsi="Times New Roman" w:cs="Times New Roman"/>
          <w:sz w:val="24"/>
          <w:szCs w:val="20"/>
        </w:rPr>
        <w:t xml:space="preserve">The number of access lines served by those competitive ETPs identified in </w:t>
      </w:r>
      <w:r w:rsidR="001705B2" w:rsidRPr="00E647EA">
        <w:rPr>
          <w:rFonts w:ascii="Times New Roman" w:eastAsia="Times New Roman" w:hAnsi="Times New Roman" w:cs="Times New Roman"/>
          <w:sz w:val="24"/>
          <w:szCs w:val="20"/>
        </w:rPr>
        <w:t>subparagraph</w:t>
      </w:r>
      <w:r w:rsidR="00EF3970" w:rsidRPr="00E647EA">
        <w:rPr>
          <w:rFonts w:ascii="Times New Roman" w:eastAsia="Times New Roman" w:hAnsi="Times New Roman" w:cs="Times New Roman"/>
          <w:sz w:val="24"/>
          <w:szCs w:val="20"/>
        </w:rPr>
        <w:t xml:space="preserve"> (A) </w:t>
      </w:r>
      <w:r w:rsidR="001705B2" w:rsidRPr="00E647EA">
        <w:rPr>
          <w:rFonts w:ascii="Times New Roman" w:eastAsia="Times New Roman" w:hAnsi="Times New Roman" w:cs="Times New Roman"/>
          <w:sz w:val="24"/>
          <w:szCs w:val="20"/>
        </w:rPr>
        <w:t xml:space="preserve">of this paragraph </w:t>
      </w:r>
      <w:r w:rsidR="00EF3970" w:rsidRPr="00E647EA">
        <w:rPr>
          <w:rFonts w:ascii="Times New Roman" w:eastAsia="Times New Roman" w:hAnsi="Times New Roman" w:cs="Times New Roman"/>
          <w:sz w:val="24"/>
          <w:szCs w:val="20"/>
        </w:rPr>
        <w:t>on December 31 of the previous year</w:t>
      </w:r>
      <w:r w:rsidR="009C7D3D" w:rsidRPr="00E647EA">
        <w:rPr>
          <w:rFonts w:ascii="Times New Roman" w:eastAsia="Times New Roman" w:hAnsi="Times New Roman" w:cs="Times New Roman"/>
          <w:sz w:val="24"/>
          <w:szCs w:val="20"/>
        </w:rPr>
        <w:t>.</w:t>
      </w:r>
    </w:p>
    <w:p w14:paraId="21F7F0EC" w14:textId="77777777"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(2)</w:t>
      </w:r>
      <w:r w:rsidRPr="00D659DE">
        <w:rPr>
          <w:rFonts w:ascii="Times New Roman" w:eastAsia="Times New Roman" w:hAnsi="Times New Roman" w:cs="Times New Roman"/>
          <w:sz w:val="24"/>
          <w:szCs w:val="20"/>
        </w:rPr>
        <w:tab/>
        <w:t>Commission staff must file its report in central records under a control number designated for that purpose.</w:t>
      </w:r>
    </w:p>
    <w:p w14:paraId="3FE243E8" w14:textId="77777777" w:rsidR="00D659DE" w:rsidRPr="00D659DE" w:rsidRDefault="00D659DE" w:rsidP="00D659DE">
      <w:pPr>
        <w:spacing w:after="0" w:line="480" w:lineRule="auto"/>
        <w:contextualSpacing/>
        <w:jc w:val="both"/>
        <w:rPr>
          <w:rFonts w:ascii="Times New Roman" w:eastAsia="Times New Roman" w:hAnsi="Times New Roman" w:cs="Times New Roman"/>
          <w:sz w:val="24"/>
          <w:szCs w:val="20"/>
        </w:rPr>
      </w:pPr>
    </w:p>
    <w:p w14:paraId="665401A2" w14:textId="4230C430" w:rsidR="00D659DE" w:rsidRPr="00D659DE" w:rsidRDefault="00D659DE" w:rsidP="00D659DE">
      <w:pPr>
        <w:spacing w:after="0" w:line="480" w:lineRule="auto"/>
        <w:ind w:left="720" w:hanging="720"/>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(e)</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Initiation of proceeding.</w:t>
      </w:r>
      <w:r w:rsidRPr="00D659DE">
        <w:rPr>
          <w:rFonts w:ascii="Times New Roman" w:eastAsia="Times New Roman" w:hAnsi="Times New Roman" w:cs="Times New Roman"/>
          <w:sz w:val="24"/>
          <w:szCs w:val="20"/>
        </w:rPr>
        <w:t xml:space="preserve">  For each exchange identified under subparagraph (d)(1)(B) of this section, commission staff will file an application to initiate a proceeding to review the per-line TUSF support amount for that exchange.</w:t>
      </w:r>
    </w:p>
    <w:p w14:paraId="3FCF8256" w14:textId="2F6C99B1" w:rsidR="00D659DE" w:rsidRPr="00E647EA" w:rsidRDefault="00D659DE" w:rsidP="00D659DE">
      <w:pPr>
        <w:spacing w:after="0" w:line="480" w:lineRule="auto"/>
        <w:ind w:left="144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(1)</w:t>
      </w:r>
      <w:r w:rsidRPr="00D659DE">
        <w:rPr>
          <w:rFonts w:ascii="Times New Roman" w:eastAsia="Times New Roman" w:hAnsi="Times New Roman" w:cs="Times New Roman"/>
          <w:sz w:val="24"/>
          <w:szCs w:val="20"/>
        </w:rPr>
        <w:tab/>
        <w:t xml:space="preserve">The </w:t>
      </w:r>
      <w:r w:rsidRPr="00E647EA">
        <w:rPr>
          <w:rFonts w:ascii="Times New Roman" w:eastAsia="Times New Roman" w:hAnsi="Times New Roman" w:cs="Times New Roman"/>
          <w:sz w:val="24"/>
          <w:szCs w:val="20"/>
        </w:rPr>
        <w:t xml:space="preserve">application must </w:t>
      </w:r>
      <w:r w:rsidR="00EF3970" w:rsidRPr="00E647EA">
        <w:rPr>
          <w:rFonts w:ascii="Times New Roman" w:eastAsia="Times New Roman" w:hAnsi="Times New Roman" w:cs="Times New Roman"/>
          <w:sz w:val="24"/>
          <w:szCs w:val="20"/>
        </w:rPr>
        <w:t>be</w:t>
      </w:r>
      <w:r w:rsidRPr="00E647EA">
        <w:rPr>
          <w:rFonts w:ascii="Times New Roman" w:eastAsia="Times New Roman" w:hAnsi="Times New Roman" w:cs="Times New Roman"/>
          <w:sz w:val="24"/>
          <w:szCs w:val="20"/>
        </w:rPr>
        <w:t xml:space="preserve"> supported by an affidavit</w:t>
      </w:r>
      <w:r w:rsidR="00EF3970" w:rsidRPr="00E647EA">
        <w:rPr>
          <w:rFonts w:ascii="Times New Roman" w:eastAsia="Times New Roman" w:hAnsi="Times New Roman" w:cs="Times New Roman"/>
          <w:sz w:val="24"/>
          <w:szCs w:val="20"/>
        </w:rPr>
        <w:t xml:space="preserve"> and </w:t>
      </w:r>
      <w:r w:rsidRPr="00E647EA">
        <w:rPr>
          <w:rFonts w:ascii="Times New Roman" w:eastAsia="Times New Roman" w:hAnsi="Times New Roman" w:cs="Times New Roman"/>
          <w:sz w:val="24"/>
          <w:szCs w:val="20"/>
        </w:rPr>
        <w:t>describ</w:t>
      </w:r>
      <w:r w:rsidR="00EF3970" w:rsidRPr="00E647EA">
        <w:rPr>
          <w:rFonts w:ascii="Times New Roman" w:eastAsia="Times New Roman" w:hAnsi="Times New Roman" w:cs="Times New Roman"/>
          <w:sz w:val="24"/>
          <w:szCs w:val="20"/>
        </w:rPr>
        <w:t>e</w:t>
      </w:r>
      <w:r w:rsidRPr="00E647EA">
        <w:rPr>
          <w:rFonts w:ascii="Times New Roman" w:eastAsia="Times New Roman" w:hAnsi="Times New Roman" w:cs="Times New Roman"/>
          <w:sz w:val="24"/>
          <w:szCs w:val="20"/>
        </w:rPr>
        <w:t xml:space="preserve"> commission staff’s determination that the number of access lines served by competitive ETPs in the exchange decreased by at least 50% compared to the number of access lines served by competitive ETPs in that exchange on December 31, 2016.</w:t>
      </w:r>
    </w:p>
    <w:p w14:paraId="16C7F8F5" w14:textId="49C17A26"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r w:rsidRPr="00E647EA">
        <w:rPr>
          <w:rFonts w:ascii="Times New Roman" w:eastAsia="Times New Roman" w:hAnsi="Times New Roman" w:cs="Times New Roman"/>
          <w:sz w:val="24"/>
          <w:szCs w:val="20"/>
        </w:rPr>
        <w:t>(2)</w:t>
      </w:r>
      <w:r w:rsidRPr="00E647EA">
        <w:rPr>
          <w:rFonts w:ascii="Times New Roman" w:eastAsia="Times New Roman" w:hAnsi="Times New Roman" w:cs="Times New Roman"/>
          <w:sz w:val="24"/>
          <w:szCs w:val="20"/>
        </w:rPr>
        <w:tab/>
        <w:t>Commission staff must serve a copy of the application</w:t>
      </w:r>
      <w:r w:rsidR="009C7D3D" w:rsidRPr="00E647EA">
        <w:rPr>
          <w:rFonts w:ascii="Times New Roman" w:eastAsia="Times New Roman" w:hAnsi="Times New Roman" w:cs="Times New Roman"/>
          <w:sz w:val="24"/>
          <w:szCs w:val="20"/>
        </w:rPr>
        <w:t>, at the time of filing,</w:t>
      </w:r>
      <w:r w:rsidRPr="00E647EA">
        <w:rPr>
          <w:rFonts w:ascii="Times New Roman" w:eastAsia="Times New Roman" w:hAnsi="Times New Roman" w:cs="Times New Roman"/>
          <w:sz w:val="24"/>
          <w:szCs w:val="20"/>
        </w:rPr>
        <w:t xml:space="preserve"> to the</w:t>
      </w:r>
      <w:r w:rsidRPr="00D659DE">
        <w:rPr>
          <w:rFonts w:ascii="Times New Roman" w:eastAsia="Times New Roman" w:hAnsi="Times New Roman" w:cs="Times New Roman"/>
          <w:sz w:val="24"/>
          <w:szCs w:val="20"/>
        </w:rPr>
        <w:t xml:space="preserve"> competitive ETPs receiving TUSF support in the exchange by email, regular mail, and certified mail.</w:t>
      </w:r>
    </w:p>
    <w:p w14:paraId="10A68F12" w14:textId="77777777"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p>
    <w:p w14:paraId="60CB64A1" w14:textId="77777777" w:rsidR="00D659DE" w:rsidRPr="00D659DE" w:rsidRDefault="00D659DE" w:rsidP="00D659DE">
      <w:pPr>
        <w:spacing w:after="0" w:line="480" w:lineRule="auto"/>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lastRenderedPageBreak/>
        <w:t>(f)</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Competitive ETP’s response to commission staff’s application.</w:t>
      </w:r>
      <w:r w:rsidRPr="00D659DE">
        <w:rPr>
          <w:rFonts w:ascii="Times New Roman" w:eastAsia="Times New Roman" w:hAnsi="Times New Roman" w:cs="Times New Roman"/>
          <w:sz w:val="24"/>
          <w:szCs w:val="20"/>
        </w:rPr>
        <w:t xml:space="preserve">  </w:t>
      </w:r>
    </w:p>
    <w:p w14:paraId="75E04C14" w14:textId="77777777"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(1)</w:t>
      </w:r>
      <w:r w:rsidRPr="00D659DE">
        <w:rPr>
          <w:rFonts w:ascii="Times New Roman" w:eastAsia="Times New Roman" w:hAnsi="Times New Roman" w:cs="Times New Roman"/>
          <w:sz w:val="24"/>
          <w:szCs w:val="20"/>
        </w:rPr>
        <w:tab/>
        <w:t>A competitive ETP serving access lines in an exchange identified under subparagraph (d)(1)(B) may respond to commission staff’s application</w:t>
      </w:r>
      <w:r w:rsidRPr="00D659DE" w:rsidDel="00FB5C2A">
        <w:rPr>
          <w:rFonts w:ascii="Times New Roman" w:eastAsia="Times New Roman" w:hAnsi="Times New Roman" w:cs="Times New Roman"/>
          <w:sz w:val="24"/>
          <w:szCs w:val="20"/>
        </w:rPr>
        <w:t xml:space="preserve"> </w:t>
      </w:r>
      <w:r w:rsidR="00C45307">
        <w:rPr>
          <w:rFonts w:ascii="Times New Roman" w:eastAsia="Times New Roman" w:hAnsi="Times New Roman" w:cs="Times New Roman"/>
          <w:sz w:val="24"/>
          <w:szCs w:val="20"/>
        </w:rPr>
        <w:t xml:space="preserve">no later than </w:t>
      </w:r>
      <w:r w:rsidR="00C45307" w:rsidRPr="00E647EA">
        <w:rPr>
          <w:rFonts w:ascii="Times New Roman" w:eastAsia="Times New Roman" w:hAnsi="Times New Roman" w:cs="Times New Roman"/>
          <w:sz w:val="24"/>
          <w:szCs w:val="20"/>
        </w:rPr>
        <w:t>30</w:t>
      </w:r>
      <w:r w:rsidRPr="00E647EA">
        <w:rPr>
          <w:rFonts w:ascii="Times New Roman" w:eastAsia="Times New Roman" w:hAnsi="Times New Roman" w:cs="Times New Roman"/>
          <w:sz w:val="24"/>
          <w:szCs w:val="20"/>
        </w:rPr>
        <w:t xml:space="preserve"> days</w:t>
      </w:r>
      <w:r w:rsidRPr="00D659DE">
        <w:rPr>
          <w:rFonts w:ascii="Times New Roman" w:eastAsia="Times New Roman" w:hAnsi="Times New Roman" w:cs="Times New Roman"/>
          <w:sz w:val="24"/>
          <w:szCs w:val="20"/>
        </w:rPr>
        <w:t xml:space="preserve"> after the application is filed. </w:t>
      </w:r>
    </w:p>
    <w:p w14:paraId="38D38211" w14:textId="77777777"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(2)</w:t>
      </w:r>
      <w:r w:rsidRPr="00D659DE">
        <w:rPr>
          <w:rFonts w:ascii="Times New Roman" w:eastAsia="Times New Roman" w:hAnsi="Times New Roman" w:cs="Times New Roman"/>
          <w:sz w:val="24"/>
          <w:szCs w:val="20"/>
        </w:rPr>
        <w:tab/>
        <w:t xml:space="preserve">A competitive ETP’s response must address the criteria listed in subsection (c) of this section. </w:t>
      </w:r>
    </w:p>
    <w:p w14:paraId="2531A81C" w14:textId="77777777"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(3)</w:t>
      </w:r>
      <w:r w:rsidRPr="00D659DE">
        <w:rPr>
          <w:rFonts w:ascii="Times New Roman" w:eastAsia="Times New Roman" w:hAnsi="Times New Roman" w:cs="Times New Roman"/>
          <w:sz w:val="24"/>
          <w:szCs w:val="20"/>
        </w:rPr>
        <w:tab/>
        <w:t>The response must be in writing, supported by affidavit, and filed with the commission as prescribed by 16 TAC §22.71.</w:t>
      </w:r>
    </w:p>
    <w:p w14:paraId="7D0AFD28" w14:textId="77777777" w:rsidR="00D659DE" w:rsidRPr="00D659DE" w:rsidRDefault="00D659DE" w:rsidP="00D659DE">
      <w:pPr>
        <w:spacing w:after="0" w:line="480" w:lineRule="auto"/>
        <w:ind w:left="1440" w:hanging="720"/>
        <w:jc w:val="both"/>
        <w:rPr>
          <w:rFonts w:ascii="Times New Roman" w:eastAsia="Times New Roman" w:hAnsi="Times New Roman" w:cs="Times New Roman"/>
          <w:sz w:val="24"/>
          <w:szCs w:val="20"/>
        </w:rPr>
      </w:pPr>
    </w:p>
    <w:p w14:paraId="299ED035" w14:textId="4CCA13CF" w:rsidR="00D659DE" w:rsidRPr="00D659DE" w:rsidRDefault="00D659DE" w:rsidP="00D659DE">
      <w:pPr>
        <w:spacing w:after="0" w:line="480" w:lineRule="auto"/>
        <w:ind w:left="72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(g)</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Commission staff’s recommendation.</w:t>
      </w:r>
      <w:r w:rsidRPr="00D659DE">
        <w:rPr>
          <w:rFonts w:ascii="Times New Roman" w:eastAsia="Times New Roman" w:hAnsi="Times New Roman" w:cs="Times New Roman"/>
          <w:sz w:val="24"/>
          <w:szCs w:val="20"/>
        </w:rPr>
        <w:t xml:space="preserve">  In accordance with the schedule established by the presiding officer, but no </w:t>
      </w:r>
      <w:r w:rsidRPr="00E647EA">
        <w:rPr>
          <w:rFonts w:ascii="Times New Roman" w:eastAsia="Times New Roman" w:hAnsi="Times New Roman" w:cs="Times New Roman"/>
          <w:sz w:val="24"/>
          <w:szCs w:val="20"/>
        </w:rPr>
        <w:t xml:space="preserve">earlier than </w:t>
      </w:r>
      <w:r w:rsidR="00EF3970" w:rsidRPr="00E647EA">
        <w:rPr>
          <w:rFonts w:ascii="Times New Roman" w:eastAsia="Times New Roman" w:hAnsi="Times New Roman" w:cs="Times New Roman"/>
          <w:sz w:val="24"/>
          <w:szCs w:val="20"/>
        </w:rPr>
        <w:t xml:space="preserve">40 </w:t>
      </w:r>
      <w:r w:rsidRPr="00E647EA">
        <w:rPr>
          <w:rFonts w:ascii="Times New Roman" w:eastAsia="Times New Roman" w:hAnsi="Times New Roman" w:cs="Times New Roman"/>
          <w:sz w:val="24"/>
          <w:szCs w:val="20"/>
        </w:rPr>
        <w:t>days after</w:t>
      </w:r>
      <w:r w:rsidRPr="00D659DE">
        <w:rPr>
          <w:rFonts w:ascii="Times New Roman" w:eastAsia="Times New Roman" w:hAnsi="Times New Roman" w:cs="Times New Roman"/>
          <w:sz w:val="24"/>
          <w:szCs w:val="20"/>
        </w:rPr>
        <w:t xml:space="preserve"> filing the application described in subsection (e), commission staff will file a recommendation, supported by affidavit, on whether the commission should eliminate TUSF support in the identified exchange. In its recommendation, commission staff must address the criteria listed in subsection (c).</w:t>
      </w:r>
    </w:p>
    <w:p w14:paraId="4CA651A7" w14:textId="77777777" w:rsidR="00D659DE" w:rsidRPr="00D659DE" w:rsidRDefault="00D659DE" w:rsidP="00D659DE">
      <w:pPr>
        <w:spacing w:after="0" w:line="480" w:lineRule="auto"/>
        <w:ind w:left="1526" w:hanging="720"/>
        <w:contextualSpacing/>
        <w:jc w:val="both"/>
        <w:rPr>
          <w:rFonts w:ascii="Times New Roman" w:hAnsi="Times New Roman" w:cs="Times New Roman"/>
          <w:sz w:val="24"/>
          <w:szCs w:val="24"/>
        </w:rPr>
      </w:pPr>
      <w:r w:rsidRPr="00D659DE" w:rsidDel="006337CF">
        <w:rPr>
          <w:rFonts w:ascii="Times New Roman" w:eastAsia="Times New Roman" w:hAnsi="Times New Roman" w:cs="Times New Roman"/>
          <w:sz w:val="24"/>
          <w:szCs w:val="24"/>
        </w:rPr>
        <w:t xml:space="preserve"> </w:t>
      </w:r>
    </w:p>
    <w:p w14:paraId="239749B0" w14:textId="77777777" w:rsidR="00D659DE" w:rsidRPr="00D659DE" w:rsidRDefault="00D659DE" w:rsidP="00D659DE">
      <w:pPr>
        <w:spacing w:after="0" w:line="480" w:lineRule="auto"/>
        <w:ind w:left="720" w:hanging="720"/>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(h)</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Competitive ETP’s response to commission staff’s recommendation.</w:t>
      </w:r>
      <w:r w:rsidRPr="00D659DE">
        <w:rPr>
          <w:rFonts w:ascii="Times New Roman" w:eastAsia="Times New Roman" w:hAnsi="Times New Roman" w:cs="Times New Roman"/>
          <w:sz w:val="24"/>
          <w:szCs w:val="20"/>
        </w:rPr>
        <w:t xml:space="preserve">  No later </w:t>
      </w:r>
      <w:r w:rsidRPr="00E647EA">
        <w:rPr>
          <w:rFonts w:ascii="Times New Roman" w:eastAsia="Times New Roman" w:hAnsi="Times New Roman" w:cs="Times New Roman"/>
          <w:sz w:val="24"/>
          <w:szCs w:val="20"/>
        </w:rPr>
        <w:t xml:space="preserve">than </w:t>
      </w:r>
      <w:r w:rsidR="00C45307" w:rsidRPr="00E647EA">
        <w:rPr>
          <w:rFonts w:ascii="Times New Roman" w:eastAsia="Times New Roman" w:hAnsi="Times New Roman" w:cs="Times New Roman"/>
          <w:sz w:val="24"/>
          <w:szCs w:val="20"/>
        </w:rPr>
        <w:t>20</w:t>
      </w:r>
      <w:r w:rsidR="00C45307">
        <w:rPr>
          <w:rFonts w:ascii="Times New Roman" w:eastAsia="Times New Roman" w:hAnsi="Times New Roman" w:cs="Times New Roman"/>
          <w:sz w:val="24"/>
          <w:szCs w:val="20"/>
        </w:rPr>
        <w:t xml:space="preserve"> </w:t>
      </w:r>
      <w:r w:rsidRPr="00D659DE">
        <w:rPr>
          <w:rFonts w:ascii="Times New Roman" w:eastAsia="Times New Roman" w:hAnsi="Times New Roman" w:cs="Times New Roman"/>
          <w:sz w:val="24"/>
          <w:szCs w:val="20"/>
        </w:rPr>
        <w:t xml:space="preserve">days after commission staff files its recommendation, a competitive ETP may file a response to commission staff’s recommendation. The response must state whether the competitive ETP agrees or disagrees with commission staff’s recommendation and may include a request for a hearing. </w:t>
      </w:r>
    </w:p>
    <w:p w14:paraId="7DF2AC7E" w14:textId="77777777" w:rsidR="00D659DE" w:rsidRPr="00D659DE" w:rsidRDefault="00D659DE" w:rsidP="00D659DE">
      <w:pPr>
        <w:spacing w:after="0" w:line="480" w:lineRule="auto"/>
        <w:ind w:left="810"/>
        <w:contextualSpacing/>
        <w:jc w:val="both"/>
        <w:rPr>
          <w:rFonts w:ascii="Times New Roman" w:eastAsia="Times New Roman" w:hAnsi="Times New Roman" w:cs="Times New Roman"/>
          <w:sz w:val="24"/>
          <w:szCs w:val="20"/>
        </w:rPr>
      </w:pPr>
    </w:p>
    <w:p w14:paraId="61D04985" w14:textId="77777777" w:rsidR="00D659DE" w:rsidRPr="00D659DE" w:rsidRDefault="00D659DE" w:rsidP="00D659DE">
      <w:pPr>
        <w:spacing w:after="0" w:line="480" w:lineRule="auto"/>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w:t>
      </w:r>
      <w:proofErr w:type="spellStart"/>
      <w:r w:rsidRPr="00D659DE">
        <w:rPr>
          <w:rFonts w:ascii="Times New Roman" w:eastAsia="Times New Roman" w:hAnsi="Times New Roman" w:cs="Times New Roman"/>
          <w:sz w:val="24"/>
          <w:szCs w:val="20"/>
        </w:rPr>
        <w:t>i</w:t>
      </w:r>
      <w:proofErr w:type="spellEnd"/>
      <w:r w:rsidRPr="00D659DE">
        <w:rPr>
          <w:rFonts w:ascii="Times New Roman" w:eastAsia="Times New Roman" w:hAnsi="Times New Roman" w:cs="Times New Roman"/>
          <w:sz w:val="24"/>
          <w:szCs w:val="20"/>
        </w:rPr>
        <w:t>)</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Commission determination</w:t>
      </w:r>
      <w:r w:rsidRPr="00D659DE">
        <w:rPr>
          <w:rFonts w:ascii="Times New Roman" w:eastAsia="Times New Roman" w:hAnsi="Times New Roman" w:cs="Times New Roman"/>
          <w:sz w:val="24"/>
          <w:szCs w:val="20"/>
        </w:rPr>
        <w:t xml:space="preserve">. </w:t>
      </w:r>
    </w:p>
    <w:p w14:paraId="0EA154F4" w14:textId="77777777" w:rsidR="00D659DE" w:rsidRPr="00D659DE" w:rsidRDefault="00D659DE" w:rsidP="00D659DE">
      <w:pPr>
        <w:spacing w:after="0" w:line="480" w:lineRule="auto"/>
        <w:ind w:left="1440" w:hanging="720"/>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lastRenderedPageBreak/>
        <w:t>(1)</w:t>
      </w:r>
      <w:r w:rsidRPr="00D659DE">
        <w:rPr>
          <w:rFonts w:ascii="Times New Roman" w:eastAsia="Times New Roman" w:hAnsi="Times New Roman" w:cs="Times New Roman"/>
          <w:sz w:val="24"/>
          <w:szCs w:val="20"/>
        </w:rPr>
        <w:tab/>
        <w:t>If a competitive ETP does not request a hearing within the time prescribed by subsection (h), the commission will determine whether to eliminate TUSF support for the exchange based on the filings submitted by commission staff and the competitive ETPs.</w:t>
      </w:r>
    </w:p>
    <w:p w14:paraId="5E44BBC0" w14:textId="77777777" w:rsidR="00D659DE" w:rsidRPr="00D659DE" w:rsidRDefault="00D659DE" w:rsidP="00D659DE">
      <w:pPr>
        <w:spacing w:after="0" w:line="480" w:lineRule="auto"/>
        <w:ind w:left="1440" w:hanging="720"/>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(2)</w:t>
      </w:r>
      <w:r w:rsidRPr="00D659DE">
        <w:rPr>
          <w:rFonts w:ascii="Times New Roman" w:eastAsia="Times New Roman" w:hAnsi="Times New Roman" w:cs="Times New Roman"/>
          <w:sz w:val="24"/>
          <w:szCs w:val="20"/>
        </w:rPr>
        <w:tab/>
        <w:t>If a competitive ETP requests a hearing, the proceeding will be conducted as a contested case.</w:t>
      </w:r>
    </w:p>
    <w:p w14:paraId="0DE3ADEA" w14:textId="77777777" w:rsidR="00D659DE" w:rsidRPr="00D659DE" w:rsidRDefault="00D659DE" w:rsidP="00D659DE">
      <w:pPr>
        <w:spacing w:after="0" w:line="480" w:lineRule="auto"/>
        <w:ind w:left="1440" w:hanging="720"/>
        <w:contextualSpacing/>
        <w:jc w:val="both"/>
        <w:rPr>
          <w:rFonts w:ascii="Times New Roman" w:eastAsia="Times New Roman" w:hAnsi="Times New Roman" w:cs="Times New Roman"/>
          <w:sz w:val="24"/>
          <w:szCs w:val="20"/>
        </w:rPr>
      </w:pPr>
    </w:p>
    <w:p w14:paraId="72939277" w14:textId="3E62DDF0" w:rsidR="00D659DE" w:rsidRPr="00D659DE" w:rsidRDefault="00D659DE" w:rsidP="00D659DE">
      <w:pPr>
        <w:spacing w:after="0" w:line="480" w:lineRule="auto"/>
        <w:ind w:left="720" w:hanging="720"/>
        <w:contextualSpacing/>
        <w:jc w:val="both"/>
        <w:rPr>
          <w:rFonts w:ascii="Times New Roman" w:eastAsia="Times New Roman" w:hAnsi="Times New Roman" w:cs="Times New Roman"/>
          <w:sz w:val="24"/>
          <w:szCs w:val="20"/>
        </w:rPr>
      </w:pPr>
      <w:r w:rsidRPr="00D659DE">
        <w:rPr>
          <w:rFonts w:ascii="Times New Roman" w:eastAsia="Times New Roman" w:hAnsi="Times New Roman" w:cs="Times New Roman"/>
          <w:sz w:val="24"/>
          <w:szCs w:val="20"/>
        </w:rPr>
        <w:t>(j)</w:t>
      </w:r>
      <w:r w:rsidRPr="00D659DE">
        <w:rPr>
          <w:rFonts w:ascii="Times New Roman" w:eastAsia="Times New Roman" w:hAnsi="Times New Roman" w:cs="Times New Roman"/>
          <w:sz w:val="24"/>
          <w:szCs w:val="20"/>
        </w:rPr>
        <w:tab/>
      </w:r>
      <w:r w:rsidRPr="00D659DE">
        <w:rPr>
          <w:rFonts w:ascii="Times New Roman" w:eastAsia="Times New Roman" w:hAnsi="Times New Roman" w:cs="Times New Roman"/>
          <w:b/>
          <w:sz w:val="24"/>
          <w:szCs w:val="20"/>
        </w:rPr>
        <w:t>Further review.</w:t>
      </w:r>
      <w:r w:rsidRPr="00D659DE">
        <w:rPr>
          <w:rFonts w:ascii="Times New Roman" w:eastAsia="Times New Roman" w:hAnsi="Times New Roman" w:cs="Times New Roman"/>
          <w:sz w:val="24"/>
          <w:szCs w:val="20"/>
        </w:rPr>
        <w:t xml:space="preserve">  If the commission does not eliminate TUSF support for an exchange after a review conducted under subsections (c) – (</w:t>
      </w:r>
      <w:proofErr w:type="spellStart"/>
      <w:r w:rsidRPr="00D659DE">
        <w:rPr>
          <w:rFonts w:ascii="Times New Roman" w:eastAsia="Times New Roman" w:hAnsi="Times New Roman" w:cs="Times New Roman"/>
          <w:sz w:val="24"/>
          <w:szCs w:val="20"/>
        </w:rPr>
        <w:t>i</w:t>
      </w:r>
      <w:proofErr w:type="spellEnd"/>
      <w:r w:rsidRPr="00D659DE">
        <w:rPr>
          <w:rFonts w:ascii="Times New Roman" w:eastAsia="Times New Roman" w:hAnsi="Times New Roman" w:cs="Times New Roman"/>
          <w:sz w:val="24"/>
          <w:szCs w:val="20"/>
        </w:rPr>
        <w:t xml:space="preserve">) of this section, the commission </w:t>
      </w:r>
      <w:r w:rsidRPr="00E647EA">
        <w:rPr>
          <w:rFonts w:ascii="Times New Roman" w:eastAsia="Times New Roman" w:hAnsi="Times New Roman" w:cs="Times New Roman"/>
          <w:sz w:val="24"/>
          <w:szCs w:val="20"/>
        </w:rPr>
        <w:t xml:space="preserve">must </w:t>
      </w:r>
      <w:r w:rsidR="00EF3970" w:rsidRPr="00E647EA">
        <w:rPr>
          <w:rFonts w:ascii="Times New Roman" w:eastAsia="Times New Roman" w:hAnsi="Times New Roman" w:cs="Times New Roman"/>
          <w:sz w:val="24"/>
          <w:szCs w:val="20"/>
        </w:rPr>
        <w:t xml:space="preserve">repeat the </w:t>
      </w:r>
      <w:r w:rsidRPr="00E647EA">
        <w:rPr>
          <w:rFonts w:ascii="Times New Roman" w:eastAsia="Times New Roman" w:hAnsi="Times New Roman" w:cs="Times New Roman"/>
          <w:sz w:val="24"/>
          <w:szCs w:val="20"/>
        </w:rPr>
        <w:t xml:space="preserve">review </w:t>
      </w:r>
      <w:r w:rsidR="00AB737E" w:rsidRPr="00E647EA">
        <w:rPr>
          <w:rFonts w:ascii="Times New Roman" w:eastAsia="Times New Roman" w:hAnsi="Times New Roman" w:cs="Times New Roman"/>
          <w:sz w:val="24"/>
          <w:szCs w:val="20"/>
        </w:rPr>
        <w:t xml:space="preserve">of </w:t>
      </w:r>
      <w:r w:rsidRPr="00E647EA">
        <w:rPr>
          <w:rFonts w:ascii="Times New Roman" w:eastAsia="Times New Roman" w:hAnsi="Times New Roman" w:cs="Times New Roman"/>
          <w:sz w:val="24"/>
          <w:szCs w:val="20"/>
        </w:rPr>
        <w:t>the T</w:t>
      </w:r>
      <w:r w:rsidRPr="00D659DE">
        <w:rPr>
          <w:rFonts w:ascii="Times New Roman" w:eastAsia="Times New Roman" w:hAnsi="Times New Roman" w:cs="Times New Roman"/>
          <w:sz w:val="24"/>
          <w:szCs w:val="20"/>
        </w:rPr>
        <w:t>USF per-line support amount for that exchange at least every three years</w:t>
      </w:r>
      <w:r w:rsidR="00EF3970">
        <w:rPr>
          <w:rFonts w:ascii="Times New Roman" w:eastAsia="Times New Roman" w:hAnsi="Times New Roman" w:cs="Times New Roman"/>
          <w:sz w:val="24"/>
          <w:szCs w:val="20"/>
        </w:rPr>
        <w:t>.</w:t>
      </w:r>
    </w:p>
    <w:p w14:paraId="2266E2BB" w14:textId="77777777" w:rsidR="00D659DE" w:rsidRPr="00D659DE" w:rsidRDefault="00D659DE" w:rsidP="00D659DE">
      <w:pPr>
        <w:spacing w:after="0" w:line="480" w:lineRule="auto"/>
        <w:jc w:val="both"/>
        <w:rPr>
          <w:rFonts w:ascii="Times New Roman" w:eastAsia="Times New Roman" w:hAnsi="Times New Roman" w:cs="Times New Roman"/>
          <w:sz w:val="24"/>
          <w:szCs w:val="20"/>
          <w:u w:val="single"/>
        </w:rPr>
      </w:pPr>
    </w:p>
    <w:p w14:paraId="199DF04F" w14:textId="77777777" w:rsidR="00B55920" w:rsidRDefault="00B55920">
      <w:pPr>
        <w:rPr>
          <w:rFonts w:ascii="Times New Roman" w:eastAsia="Times New Roman" w:hAnsi="Times New Roman" w:cs="Times New Roman"/>
          <w:sz w:val="24"/>
          <w:szCs w:val="20"/>
        </w:rPr>
      </w:pPr>
      <w:r>
        <w:br w:type="page"/>
      </w:r>
    </w:p>
    <w:p w14:paraId="6428AA5E" w14:textId="58FDBF3A" w:rsidR="002C162C" w:rsidRDefault="002C162C" w:rsidP="00B55920">
      <w:pPr>
        <w:pStyle w:val="preamble"/>
      </w:pPr>
      <w:r>
        <w:lastRenderedPageBreak/>
        <w:t>This agency certifies that the adoption has been reviewed by legal counsel and found to be a valid exercise of the agency’s legal authority. It is therefore ordered by the Public Utility Commission of Texas that §26.409 relating to Review of Texas Universal Service Fund Support Received by Competitive Eligible Telecommunications Providers is hereby adopted with changes to the text as proposed.</w:t>
      </w:r>
    </w:p>
    <w:p w14:paraId="74D93214" w14:textId="1A2DE446" w:rsidR="002C162C" w:rsidRDefault="002C162C" w:rsidP="002C162C">
      <w:pPr>
        <w:spacing w:after="0" w:line="240" w:lineRule="auto"/>
        <w:ind w:firstLine="720"/>
        <w:rPr>
          <w:rFonts w:ascii="Times New Roman" w:eastAsia="Times New Roman" w:hAnsi="Times New Roman" w:cs="Times New Roman"/>
          <w:b/>
          <w:sz w:val="24"/>
          <w:szCs w:val="20"/>
        </w:rPr>
      </w:pPr>
    </w:p>
    <w:p w14:paraId="6D9B17C9" w14:textId="77777777" w:rsidR="002C162C" w:rsidRDefault="002C162C" w:rsidP="002C162C">
      <w:pPr>
        <w:spacing w:after="0" w:line="240" w:lineRule="auto"/>
        <w:ind w:firstLine="720"/>
        <w:rPr>
          <w:b/>
          <w:szCs w:val="24"/>
        </w:rPr>
      </w:pPr>
    </w:p>
    <w:p w14:paraId="7CD0DA2A" w14:textId="139C1EFB" w:rsidR="00F00954" w:rsidRDefault="00F00954" w:rsidP="00F00954">
      <w:pPr>
        <w:pStyle w:val="Dateline"/>
      </w:pPr>
      <w:r>
        <w:t>Signed at Austin, Texas the ______ day of September 2019.</w:t>
      </w:r>
    </w:p>
    <w:p w14:paraId="734E8566" w14:textId="77777777" w:rsidR="00F00954" w:rsidRDefault="00F00954" w:rsidP="00F00954">
      <w:pPr>
        <w:pStyle w:val="Dateline"/>
      </w:pPr>
    </w:p>
    <w:p w14:paraId="26609BE8" w14:textId="77777777" w:rsidR="00F00954" w:rsidRDefault="00F00954" w:rsidP="00F00954">
      <w:pPr>
        <w:pStyle w:val="Dateline"/>
      </w:pPr>
    </w:p>
    <w:p w14:paraId="6349E4E0" w14:textId="77777777" w:rsidR="00F00954" w:rsidRDefault="00F00954" w:rsidP="00F00954">
      <w:pPr>
        <w:pStyle w:val="Signatures"/>
      </w:pPr>
      <w:r>
        <w:t>PUBLIC UTILITY COMMISSION OF TEXAS</w:t>
      </w:r>
    </w:p>
    <w:p w14:paraId="24DE5E29" w14:textId="77777777" w:rsidR="00F00954" w:rsidRDefault="00F00954" w:rsidP="00F00954">
      <w:pPr>
        <w:pStyle w:val="Signatures"/>
      </w:pPr>
    </w:p>
    <w:p w14:paraId="01CF1D3F" w14:textId="77777777" w:rsidR="00F00954" w:rsidRDefault="00F00954" w:rsidP="00F00954">
      <w:pPr>
        <w:pStyle w:val="Signatures"/>
      </w:pPr>
    </w:p>
    <w:p w14:paraId="01A19EE8" w14:textId="77777777" w:rsidR="00F00954" w:rsidRDefault="00F00954" w:rsidP="00F00954">
      <w:pPr>
        <w:pStyle w:val="Signatures"/>
      </w:pPr>
    </w:p>
    <w:p w14:paraId="3059D36C" w14:textId="77777777" w:rsidR="00F00954" w:rsidRDefault="00F00954" w:rsidP="00F00954">
      <w:pPr>
        <w:pStyle w:val="Signatures"/>
      </w:pPr>
      <w:r w:rsidRPr="00160DCD">
        <w:t>______________________________________________</w:t>
      </w:r>
    </w:p>
    <w:p w14:paraId="011095FF" w14:textId="77777777" w:rsidR="00F00954" w:rsidRDefault="00F00954" w:rsidP="00F00954">
      <w:pPr>
        <w:pStyle w:val="Signatures"/>
      </w:pPr>
      <w:r>
        <w:t>DEANN T. WALKER, CHAIRMAN</w:t>
      </w:r>
    </w:p>
    <w:p w14:paraId="74570E12" w14:textId="77777777" w:rsidR="00F00954" w:rsidRDefault="00F00954" w:rsidP="00F00954">
      <w:pPr>
        <w:pStyle w:val="Signatures"/>
      </w:pPr>
    </w:p>
    <w:p w14:paraId="4AC3B419" w14:textId="77777777" w:rsidR="00F00954" w:rsidRDefault="00F00954" w:rsidP="00F00954">
      <w:pPr>
        <w:pStyle w:val="Signatures"/>
      </w:pPr>
    </w:p>
    <w:p w14:paraId="50E111E6" w14:textId="77777777" w:rsidR="00F00954" w:rsidRDefault="00F00954" w:rsidP="00F00954">
      <w:pPr>
        <w:pStyle w:val="Signatures"/>
      </w:pPr>
    </w:p>
    <w:p w14:paraId="65789731" w14:textId="77777777" w:rsidR="00F00954" w:rsidRDefault="00F00954" w:rsidP="00F00954">
      <w:pPr>
        <w:pStyle w:val="Signatures"/>
      </w:pPr>
      <w:r w:rsidRPr="00160DCD">
        <w:t>______________________________________________</w:t>
      </w:r>
    </w:p>
    <w:p w14:paraId="5E4D2F8E" w14:textId="7C1D8701" w:rsidR="00F00954" w:rsidRDefault="00F00954" w:rsidP="00F00954">
      <w:pPr>
        <w:pStyle w:val="Signatures"/>
      </w:pPr>
      <w:r>
        <w:t>ARTHUR C. D’ANDREA, COMMISSIONER</w:t>
      </w:r>
    </w:p>
    <w:p w14:paraId="522644FC" w14:textId="77777777" w:rsidR="00F00954" w:rsidRDefault="00F00954" w:rsidP="00F00954">
      <w:pPr>
        <w:pStyle w:val="Signatures"/>
      </w:pPr>
    </w:p>
    <w:p w14:paraId="21314EB1" w14:textId="77777777" w:rsidR="00F00954" w:rsidRDefault="00F00954" w:rsidP="00F00954">
      <w:pPr>
        <w:pStyle w:val="Signatures"/>
      </w:pPr>
    </w:p>
    <w:p w14:paraId="7BA4994A" w14:textId="77777777" w:rsidR="00F00954" w:rsidRDefault="00F00954" w:rsidP="00F00954">
      <w:pPr>
        <w:pStyle w:val="Signatures"/>
      </w:pPr>
    </w:p>
    <w:p w14:paraId="7499A68A" w14:textId="77777777" w:rsidR="00F00954" w:rsidRDefault="00F00954" w:rsidP="00F00954">
      <w:pPr>
        <w:pStyle w:val="Signatures"/>
      </w:pPr>
      <w:r w:rsidRPr="00160DCD">
        <w:t>______________________________________________</w:t>
      </w:r>
    </w:p>
    <w:p w14:paraId="4596E34F" w14:textId="6B9E125A" w:rsidR="00F00954" w:rsidRDefault="00F00954" w:rsidP="00F00954">
      <w:pPr>
        <w:pStyle w:val="Signatures"/>
      </w:pPr>
      <w:r>
        <w:t>SHELLY BOTKIN, COMMISSIONER</w:t>
      </w:r>
    </w:p>
    <w:p w14:paraId="46A6E071" w14:textId="52EA2D18" w:rsidR="002C162C" w:rsidRPr="002C162C" w:rsidRDefault="002C162C" w:rsidP="002C162C">
      <w:pPr>
        <w:keepNext/>
        <w:tabs>
          <w:tab w:val="left" w:pos="3690"/>
          <w:tab w:val="left" w:pos="8640"/>
        </w:tabs>
        <w:spacing w:after="0" w:line="240" w:lineRule="auto"/>
        <w:rPr>
          <w:rFonts w:ascii="Times New Roman" w:hAnsi="Times New Roman" w:cs="Times New Roman"/>
          <w:b/>
          <w:szCs w:val="24"/>
        </w:rPr>
      </w:pPr>
    </w:p>
    <w:p w14:paraId="092C06C5" w14:textId="77777777" w:rsidR="002B4396" w:rsidRDefault="002B4396" w:rsidP="00F00954">
      <w:pPr>
        <w:pStyle w:val="EndMatter"/>
        <w:rPr>
          <w:noProof/>
          <w:sz w:val="16"/>
        </w:rPr>
      </w:pPr>
    </w:p>
    <w:p w14:paraId="7BB6B2AF" w14:textId="2246976D" w:rsidR="00F00954" w:rsidRPr="002B4396" w:rsidRDefault="00F00954" w:rsidP="00F00954">
      <w:pPr>
        <w:pStyle w:val="EndMatter"/>
        <w:rPr>
          <w:sz w:val="18"/>
        </w:rPr>
      </w:pPr>
      <w:r w:rsidRPr="002B4396">
        <w:rPr>
          <w:noProof/>
          <w:sz w:val="18"/>
        </w:rPr>
        <w:fldChar w:fldCharType="begin"/>
      </w:r>
      <w:r w:rsidRPr="002B4396">
        <w:rPr>
          <w:noProof/>
          <w:sz w:val="18"/>
        </w:rPr>
        <w:instrText xml:space="preserve"> FILENAME  \* Lower \p  \* MERGEFORMAT </w:instrText>
      </w:r>
      <w:r w:rsidRPr="002B4396">
        <w:rPr>
          <w:noProof/>
          <w:sz w:val="18"/>
        </w:rPr>
        <w:fldChar w:fldCharType="separate"/>
      </w:r>
      <w:r w:rsidR="000A22E2" w:rsidRPr="002B4396">
        <w:rPr>
          <w:noProof/>
          <w:sz w:val="18"/>
        </w:rPr>
        <w:t>q:\cadm\txr-rules management\rules\rulemaking projects\ch 26 telecom\47xxx\47668\47668adt.docx</w:t>
      </w:r>
      <w:r w:rsidRPr="002B4396">
        <w:rPr>
          <w:noProof/>
          <w:sz w:val="18"/>
        </w:rPr>
        <w:fldChar w:fldCharType="end"/>
      </w:r>
    </w:p>
    <w:p w14:paraId="4B9A3B48" w14:textId="77777777" w:rsidR="00201D6E" w:rsidRDefault="00201D6E" w:rsidP="002D2802">
      <w:pPr>
        <w:spacing w:line="480" w:lineRule="auto"/>
      </w:pPr>
    </w:p>
    <w:sectPr w:rsidR="00201D6E" w:rsidSect="00F00954">
      <w:headerReference w:type="default" r:id="rId7"/>
      <w:pgSz w:w="12240" w:h="15840"/>
      <w:pgMar w:top="1440" w:right="1440" w:bottom="1440" w:left="1440" w:header="72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26AED" w14:textId="77777777" w:rsidR="00930943" w:rsidRDefault="00930943" w:rsidP="00382A51">
      <w:pPr>
        <w:spacing w:after="0" w:line="240" w:lineRule="auto"/>
      </w:pPr>
      <w:r>
        <w:separator/>
      </w:r>
    </w:p>
  </w:endnote>
  <w:endnote w:type="continuationSeparator" w:id="0">
    <w:p w14:paraId="1D526D8B" w14:textId="77777777" w:rsidR="00930943" w:rsidRDefault="00930943" w:rsidP="0038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6DE61" w14:textId="77777777" w:rsidR="00930943" w:rsidRDefault="00930943" w:rsidP="00382A51">
      <w:pPr>
        <w:spacing w:after="0" w:line="240" w:lineRule="auto"/>
      </w:pPr>
      <w:r>
        <w:separator/>
      </w:r>
    </w:p>
  </w:footnote>
  <w:footnote w:type="continuationSeparator" w:id="0">
    <w:p w14:paraId="6FAC67BA" w14:textId="77777777" w:rsidR="00930943" w:rsidRDefault="00930943" w:rsidP="0038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b/>
        <w:sz w:val="24"/>
        <w:szCs w:val="24"/>
      </w:rPr>
      <w:id w:val="98381352"/>
      <w:docPartObj>
        <w:docPartGallery w:val="Page Numbers (Top of Page)"/>
        <w:docPartUnique/>
      </w:docPartObj>
    </w:sdtPr>
    <w:sdtEndPr/>
    <w:sdtContent>
      <w:p w14:paraId="08A15584" w14:textId="4050D34D" w:rsidR="0013062B" w:rsidRPr="0013062B" w:rsidRDefault="0013062B" w:rsidP="0013062B">
        <w:pPr>
          <w:pStyle w:val="Header"/>
          <w:jc w:val="right"/>
          <w:rPr>
            <w:rFonts w:ascii="Times New Roman" w:hAnsi="Times New Roman" w:cs="Times New Roman"/>
            <w:b/>
            <w:sz w:val="24"/>
            <w:szCs w:val="24"/>
          </w:rPr>
        </w:pPr>
        <w:r>
          <w:rPr>
            <w:rFonts w:ascii="Times New Roman" w:hAnsi="Times New Roman" w:cs="Times New Roman"/>
            <w:b/>
            <w:sz w:val="24"/>
            <w:szCs w:val="24"/>
          </w:rPr>
          <w:t>Project No. 47668</w:t>
        </w:r>
        <w:r>
          <w:rPr>
            <w:rFonts w:ascii="Times New Roman" w:hAnsi="Times New Roman" w:cs="Times New Roman"/>
            <w:b/>
            <w:sz w:val="24"/>
            <w:szCs w:val="24"/>
          </w:rPr>
          <w:tab/>
        </w:r>
        <w:r w:rsidR="00AD0FCC">
          <w:rPr>
            <w:rFonts w:ascii="Times New Roman" w:hAnsi="Times New Roman" w:cs="Times New Roman"/>
            <w:b/>
            <w:sz w:val="24"/>
            <w:szCs w:val="24"/>
          </w:rPr>
          <w:t>Order</w:t>
        </w:r>
        <w:r>
          <w:rPr>
            <w:rFonts w:ascii="Times New Roman" w:hAnsi="Times New Roman" w:cs="Times New Roman"/>
            <w:b/>
            <w:sz w:val="24"/>
            <w:szCs w:val="24"/>
          </w:rPr>
          <w:tab/>
        </w:r>
        <w:r w:rsidRPr="0013062B">
          <w:rPr>
            <w:rFonts w:ascii="Times New Roman" w:hAnsi="Times New Roman" w:cs="Times New Roman"/>
            <w:b/>
            <w:sz w:val="24"/>
            <w:szCs w:val="24"/>
          </w:rPr>
          <w:t xml:space="preserve">Page </w:t>
        </w:r>
        <w:r w:rsidRPr="0013062B">
          <w:rPr>
            <w:rFonts w:ascii="Times New Roman" w:hAnsi="Times New Roman" w:cs="Times New Roman"/>
            <w:b/>
            <w:bCs/>
            <w:sz w:val="24"/>
            <w:szCs w:val="24"/>
          </w:rPr>
          <w:fldChar w:fldCharType="begin"/>
        </w:r>
        <w:r w:rsidRPr="0013062B">
          <w:rPr>
            <w:rFonts w:ascii="Times New Roman" w:hAnsi="Times New Roman" w:cs="Times New Roman"/>
            <w:b/>
            <w:bCs/>
            <w:sz w:val="24"/>
            <w:szCs w:val="24"/>
          </w:rPr>
          <w:instrText xml:space="preserve"> PAGE </w:instrText>
        </w:r>
        <w:r w:rsidRPr="0013062B">
          <w:rPr>
            <w:rFonts w:ascii="Times New Roman" w:hAnsi="Times New Roman" w:cs="Times New Roman"/>
            <w:b/>
            <w:bCs/>
            <w:sz w:val="24"/>
            <w:szCs w:val="24"/>
          </w:rPr>
          <w:fldChar w:fldCharType="separate"/>
        </w:r>
        <w:r w:rsidR="00FC134C">
          <w:rPr>
            <w:rFonts w:ascii="Times New Roman" w:hAnsi="Times New Roman" w:cs="Times New Roman"/>
            <w:b/>
            <w:bCs/>
            <w:noProof/>
            <w:sz w:val="24"/>
            <w:szCs w:val="24"/>
          </w:rPr>
          <w:t>6</w:t>
        </w:r>
        <w:r w:rsidRPr="0013062B">
          <w:rPr>
            <w:rFonts w:ascii="Times New Roman" w:hAnsi="Times New Roman" w:cs="Times New Roman"/>
            <w:b/>
            <w:bCs/>
            <w:sz w:val="24"/>
            <w:szCs w:val="24"/>
          </w:rPr>
          <w:fldChar w:fldCharType="end"/>
        </w:r>
        <w:r w:rsidRPr="0013062B">
          <w:rPr>
            <w:rFonts w:ascii="Times New Roman" w:hAnsi="Times New Roman" w:cs="Times New Roman"/>
            <w:b/>
            <w:sz w:val="24"/>
            <w:szCs w:val="24"/>
          </w:rPr>
          <w:t xml:space="preserve"> of </w:t>
        </w:r>
        <w:r w:rsidRPr="0013062B">
          <w:rPr>
            <w:rFonts w:ascii="Times New Roman" w:hAnsi="Times New Roman" w:cs="Times New Roman"/>
            <w:b/>
            <w:bCs/>
            <w:sz w:val="24"/>
            <w:szCs w:val="24"/>
          </w:rPr>
          <w:fldChar w:fldCharType="begin"/>
        </w:r>
        <w:r w:rsidRPr="0013062B">
          <w:rPr>
            <w:rFonts w:ascii="Times New Roman" w:hAnsi="Times New Roman" w:cs="Times New Roman"/>
            <w:b/>
            <w:bCs/>
            <w:sz w:val="24"/>
            <w:szCs w:val="24"/>
          </w:rPr>
          <w:instrText xml:space="preserve"> NUMPAGES  </w:instrText>
        </w:r>
        <w:r w:rsidRPr="0013062B">
          <w:rPr>
            <w:rFonts w:ascii="Times New Roman" w:hAnsi="Times New Roman" w:cs="Times New Roman"/>
            <w:b/>
            <w:bCs/>
            <w:sz w:val="24"/>
            <w:szCs w:val="24"/>
          </w:rPr>
          <w:fldChar w:fldCharType="separate"/>
        </w:r>
        <w:r w:rsidR="00FC134C">
          <w:rPr>
            <w:rFonts w:ascii="Times New Roman" w:hAnsi="Times New Roman" w:cs="Times New Roman"/>
            <w:b/>
            <w:bCs/>
            <w:noProof/>
            <w:sz w:val="24"/>
            <w:szCs w:val="24"/>
          </w:rPr>
          <w:t>8</w:t>
        </w:r>
        <w:r w:rsidRPr="0013062B">
          <w:rPr>
            <w:rFonts w:ascii="Times New Roman" w:hAnsi="Times New Roman" w:cs="Times New Roman"/>
            <w:b/>
            <w:bCs/>
            <w:sz w:val="24"/>
            <w:szCs w:val="24"/>
          </w:rPr>
          <w:fldChar w:fldCharType="end"/>
        </w:r>
      </w:p>
    </w:sdtContent>
  </w:sdt>
  <w:p w14:paraId="305A6605" w14:textId="77777777" w:rsidR="00382A51" w:rsidRDefault="00382A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802"/>
    <w:rsid w:val="00003196"/>
    <w:rsid w:val="00090CAE"/>
    <w:rsid w:val="000A22E2"/>
    <w:rsid w:val="000C1F1E"/>
    <w:rsid w:val="0011755F"/>
    <w:rsid w:val="0013062B"/>
    <w:rsid w:val="001705B2"/>
    <w:rsid w:val="00172102"/>
    <w:rsid w:val="001E59DC"/>
    <w:rsid w:val="00201D6E"/>
    <w:rsid w:val="002059BB"/>
    <w:rsid w:val="00282D29"/>
    <w:rsid w:val="002B4396"/>
    <w:rsid w:val="002C162C"/>
    <w:rsid w:val="002D2802"/>
    <w:rsid w:val="002D5835"/>
    <w:rsid w:val="002D7D59"/>
    <w:rsid w:val="002F1214"/>
    <w:rsid w:val="003038EF"/>
    <w:rsid w:val="00366CB5"/>
    <w:rsid w:val="003715C0"/>
    <w:rsid w:val="0038298F"/>
    <w:rsid w:val="00382A51"/>
    <w:rsid w:val="00390C86"/>
    <w:rsid w:val="003A028F"/>
    <w:rsid w:val="003D0EE8"/>
    <w:rsid w:val="003D23D8"/>
    <w:rsid w:val="003E6A6C"/>
    <w:rsid w:val="003F4CF4"/>
    <w:rsid w:val="004071A6"/>
    <w:rsid w:val="00413112"/>
    <w:rsid w:val="00437178"/>
    <w:rsid w:val="00493BEE"/>
    <w:rsid w:val="004953C3"/>
    <w:rsid w:val="004A38FC"/>
    <w:rsid w:val="0051768B"/>
    <w:rsid w:val="00552996"/>
    <w:rsid w:val="00557A4D"/>
    <w:rsid w:val="005913BA"/>
    <w:rsid w:val="005A6E8D"/>
    <w:rsid w:val="005D33F1"/>
    <w:rsid w:val="00633A4B"/>
    <w:rsid w:val="00651213"/>
    <w:rsid w:val="006718F4"/>
    <w:rsid w:val="0069169B"/>
    <w:rsid w:val="006B334F"/>
    <w:rsid w:val="006C7BA5"/>
    <w:rsid w:val="00740E37"/>
    <w:rsid w:val="007B56BF"/>
    <w:rsid w:val="007E1463"/>
    <w:rsid w:val="007E4D1D"/>
    <w:rsid w:val="008146A5"/>
    <w:rsid w:val="008517B8"/>
    <w:rsid w:val="0087659B"/>
    <w:rsid w:val="008C2E2F"/>
    <w:rsid w:val="008D28EE"/>
    <w:rsid w:val="008D6AF6"/>
    <w:rsid w:val="00930943"/>
    <w:rsid w:val="009977DF"/>
    <w:rsid w:val="009C7D3D"/>
    <w:rsid w:val="009D681A"/>
    <w:rsid w:val="009E4C8F"/>
    <w:rsid w:val="00A30BA8"/>
    <w:rsid w:val="00A63829"/>
    <w:rsid w:val="00A72DFF"/>
    <w:rsid w:val="00A81B53"/>
    <w:rsid w:val="00AB737E"/>
    <w:rsid w:val="00AC30E4"/>
    <w:rsid w:val="00AD0FCC"/>
    <w:rsid w:val="00AE331A"/>
    <w:rsid w:val="00AE4586"/>
    <w:rsid w:val="00B55920"/>
    <w:rsid w:val="00B65E38"/>
    <w:rsid w:val="00B858D2"/>
    <w:rsid w:val="00BB4B88"/>
    <w:rsid w:val="00BD0D9F"/>
    <w:rsid w:val="00BD39B4"/>
    <w:rsid w:val="00BD745E"/>
    <w:rsid w:val="00BE255C"/>
    <w:rsid w:val="00C33B47"/>
    <w:rsid w:val="00C45307"/>
    <w:rsid w:val="00C54447"/>
    <w:rsid w:val="00C76F08"/>
    <w:rsid w:val="00C77F68"/>
    <w:rsid w:val="00C90B97"/>
    <w:rsid w:val="00CA1E63"/>
    <w:rsid w:val="00CB63D2"/>
    <w:rsid w:val="00CC751A"/>
    <w:rsid w:val="00D0189C"/>
    <w:rsid w:val="00D659DE"/>
    <w:rsid w:val="00D81074"/>
    <w:rsid w:val="00D81603"/>
    <w:rsid w:val="00DB1894"/>
    <w:rsid w:val="00E022E7"/>
    <w:rsid w:val="00E32C5A"/>
    <w:rsid w:val="00E34FC4"/>
    <w:rsid w:val="00E647EA"/>
    <w:rsid w:val="00E648B0"/>
    <w:rsid w:val="00E83A9B"/>
    <w:rsid w:val="00EA6D12"/>
    <w:rsid w:val="00EF2F29"/>
    <w:rsid w:val="00EF3970"/>
    <w:rsid w:val="00F00954"/>
    <w:rsid w:val="00F41538"/>
    <w:rsid w:val="00FC134C"/>
    <w:rsid w:val="00FC2E22"/>
    <w:rsid w:val="00FE04F9"/>
    <w:rsid w:val="00FE6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74582C3"/>
  <w15:chartTrackingRefBased/>
  <w15:docId w15:val="{3042A443-A765-4A10-8B4A-800983AD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0E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EE8"/>
    <w:rPr>
      <w:rFonts w:ascii="Segoe UI" w:hAnsi="Segoe UI" w:cs="Segoe UI"/>
      <w:sz w:val="18"/>
      <w:szCs w:val="18"/>
    </w:rPr>
  </w:style>
  <w:style w:type="character" w:styleId="CommentReference">
    <w:name w:val="annotation reference"/>
    <w:basedOn w:val="DefaultParagraphFont"/>
    <w:uiPriority w:val="99"/>
    <w:semiHidden/>
    <w:unhideWhenUsed/>
    <w:rsid w:val="00A81B53"/>
    <w:rPr>
      <w:sz w:val="16"/>
      <w:szCs w:val="16"/>
    </w:rPr>
  </w:style>
  <w:style w:type="paragraph" w:styleId="CommentText">
    <w:name w:val="annotation text"/>
    <w:basedOn w:val="Normal"/>
    <w:link w:val="CommentTextChar"/>
    <w:uiPriority w:val="99"/>
    <w:semiHidden/>
    <w:unhideWhenUsed/>
    <w:rsid w:val="00A81B53"/>
    <w:pPr>
      <w:spacing w:line="240" w:lineRule="auto"/>
    </w:pPr>
    <w:rPr>
      <w:sz w:val="20"/>
      <w:szCs w:val="20"/>
    </w:rPr>
  </w:style>
  <w:style w:type="character" w:customStyle="1" w:styleId="CommentTextChar">
    <w:name w:val="Comment Text Char"/>
    <w:basedOn w:val="DefaultParagraphFont"/>
    <w:link w:val="CommentText"/>
    <w:uiPriority w:val="99"/>
    <w:semiHidden/>
    <w:rsid w:val="00A81B53"/>
    <w:rPr>
      <w:sz w:val="20"/>
      <w:szCs w:val="20"/>
    </w:rPr>
  </w:style>
  <w:style w:type="paragraph" w:styleId="CommentSubject">
    <w:name w:val="annotation subject"/>
    <w:basedOn w:val="CommentText"/>
    <w:next w:val="CommentText"/>
    <w:link w:val="CommentSubjectChar"/>
    <w:uiPriority w:val="99"/>
    <w:semiHidden/>
    <w:unhideWhenUsed/>
    <w:rsid w:val="00A81B53"/>
    <w:rPr>
      <w:b/>
      <w:bCs/>
    </w:rPr>
  </w:style>
  <w:style w:type="character" w:customStyle="1" w:styleId="CommentSubjectChar">
    <w:name w:val="Comment Subject Char"/>
    <w:basedOn w:val="CommentTextChar"/>
    <w:link w:val="CommentSubject"/>
    <w:uiPriority w:val="99"/>
    <w:semiHidden/>
    <w:rsid w:val="00A81B53"/>
    <w:rPr>
      <w:b/>
      <w:bCs/>
      <w:sz w:val="20"/>
      <w:szCs w:val="20"/>
    </w:rPr>
  </w:style>
  <w:style w:type="character" w:styleId="LineNumber">
    <w:name w:val="line number"/>
    <w:basedOn w:val="DefaultParagraphFont"/>
    <w:uiPriority w:val="99"/>
    <w:semiHidden/>
    <w:unhideWhenUsed/>
    <w:rsid w:val="00382A51"/>
  </w:style>
  <w:style w:type="paragraph" w:styleId="Header">
    <w:name w:val="header"/>
    <w:basedOn w:val="Normal"/>
    <w:link w:val="HeaderChar"/>
    <w:uiPriority w:val="99"/>
    <w:unhideWhenUsed/>
    <w:rsid w:val="00382A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A51"/>
  </w:style>
  <w:style w:type="paragraph" w:styleId="Footer">
    <w:name w:val="footer"/>
    <w:basedOn w:val="Normal"/>
    <w:link w:val="FooterChar"/>
    <w:uiPriority w:val="99"/>
    <w:unhideWhenUsed/>
    <w:rsid w:val="00382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A51"/>
  </w:style>
  <w:style w:type="paragraph" w:styleId="Revision">
    <w:name w:val="Revision"/>
    <w:hidden/>
    <w:uiPriority w:val="99"/>
    <w:semiHidden/>
    <w:rsid w:val="008517B8"/>
    <w:pPr>
      <w:spacing w:after="0" w:line="240" w:lineRule="auto"/>
    </w:pPr>
  </w:style>
  <w:style w:type="paragraph" w:customStyle="1" w:styleId="preamble">
    <w:name w:val="preamble"/>
    <w:basedOn w:val="Normal"/>
    <w:rsid w:val="002C162C"/>
    <w:pPr>
      <w:spacing w:after="0" w:line="480" w:lineRule="auto"/>
      <w:jc w:val="both"/>
    </w:pPr>
    <w:rPr>
      <w:rFonts w:ascii="Times New Roman" w:eastAsia="Times New Roman" w:hAnsi="Times New Roman" w:cs="Times New Roman"/>
      <w:sz w:val="24"/>
      <w:szCs w:val="20"/>
    </w:rPr>
  </w:style>
  <w:style w:type="paragraph" w:customStyle="1" w:styleId="Signatures">
    <w:name w:val="Signatures"/>
    <w:basedOn w:val="Normal"/>
    <w:link w:val="SignaturesChar"/>
    <w:uiPriority w:val="4"/>
    <w:rsid w:val="00F00954"/>
    <w:pPr>
      <w:keepLines/>
      <w:spacing w:after="0" w:line="240" w:lineRule="auto"/>
      <w:ind w:left="3744"/>
    </w:pPr>
    <w:rPr>
      <w:rFonts w:ascii="Times New Roman" w:hAnsi="Times New Roman" w:cs="Times New Roman"/>
      <w:b/>
      <w:sz w:val="24"/>
      <w:szCs w:val="24"/>
    </w:rPr>
  </w:style>
  <w:style w:type="paragraph" w:customStyle="1" w:styleId="Dateline">
    <w:name w:val="Dateline"/>
    <w:basedOn w:val="Normal"/>
    <w:link w:val="DatelineChar"/>
    <w:uiPriority w:val="3"/>
    <w:rsid w:val="00F00954"/>
    <w:pPr>
      <w:keepNext/>
      <w:spacing w:after="0" w:line="240" w:lineRule="auto"/>
      <w:ind w:left="720"/>
    </w:pPr>
    <w:rPr>
      <w:rFonts w:ascii="Times New Roman" w:hAnsi="Times New Roman" w:cs="Times New Roman"/>
      <w:b/>
      <w:sz w:val="24"/>
      <w:szCs w:val="24"/>
    </w:rPr>
  </w:style>
  <w:style w:type="character" w:customStyle="1" w:styleId="SignaturesChar">
    <w:name w:val="Signatures Char"/>
    <w:basedOn w:val="DefaultParagraphFont"/>
    <w:link w:val="Signatures"/>
    <w:uiPriority w:val="4"/>
    <w:rsid w:val="00F00954"/>
    <w:rPr>
      <w:rFonts w:ascii="Times New Roman" w:hAnsi="Times New Roman" w:cs="Times New Roman"/>
      <w:b/>
      <w:sz w:val="24"/>
      <w:szCs w:val="24"/>
    </w:rPr>
  </w:style>
  <w:style w:type="character" w:customStyle="1" w:styleId="DatelineChar">
    <w:name w:val="Dateline Char"/>
    <w:basedOn w:val="DefaultParagraphFont"/>
    <w:link w:val="Dateline"/>
    <w:uiPriority w:val="3"/>
    <w:rsid w:val="00F00954"/>
    <w:rPr>
      <w:rFonts w:ascii="Times New Roman" w:hAnsi="Times New Roman" w:cs="Times New Roman"/>
      <w:b/>
      <w:sz w:val="24"/>
      <w:szCs w:val="24"/>
    </w:rPr>
  </w:style>
  <w:style w:type="paragraph" w:customStyle="1" w:styleId="EndMatter">
    <w:name w:val="End Matter"/>
    <w:basedOn w:val="Normal"/>
    <w:link w:val="EndMatterChar"/>
    <w:uiPriority w:val="3"/>
    <w:rsid w:val="00F00954"/>
    <w:pPr>
      <w:spacing w:after="0" w:line="240" w:lineRule="auto"/>
    </w:pPr>
    <w:rPr>
      <w:rFonts w:ascii="Times New Roman" w:hAnsi="Times New Roman" w:cs="Times New Roman"/>
      <w:sz w:val="20"/>
      <w:szCs w:val="20"/>
    </w:rPr>
  </w:style>
  <w:style w:type="character" w:customStyle="1" w:styleId="EndMatterChar">
    <w:name w:val="End Matter Char"/>
    <w:basedOn w:val="DefaultParagraphFont"/>
    <w:link w:val="EndMatter"/>
    <w:uiPriority w:val="3"/>
    <w:rsid w:val="00F00954"/>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8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AAEC6-5C71-49E1-9479-562B6E2A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Benson, Mariah</dc:creator>
  <cp:keywords/>
  <dc:description/>
  <cp:lastModifiedBy>Hicks, Ruby</cp:lastModifiedBy>
  <cp:revision>5</cp:revision>
  <cp:lastPrinted>2019-08-20T19:16:00Z</cp:lastPrinted>
  <dcterms:created xsi:type="dcterms:W3CDTF">2019-09-12T13:45:00Z</dcterms:created>
  <dcterms:modified xsi:type="dcterms:W3CDTF">2019-09-12T14:35:00Z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