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Pr="007A0A55" w:rsidRDefault="0003423D" w:rsidP="007A0A55">
      <w:pPr>
        <w:pStyle w:val="Docketnumber"/>
        <w:spacing w:after="360"/>
      </w:pPr>
      <w:bookmarkStart w:id="0" w:name="_GoBack"/>
      <w:bookmarkEnd w:id="0"/>
      <w:r w:rsidRPr="007A0A55">
        <w:t>PUC DOCKET NO. 46069</w:t>
      </w:r>
      <w:r w:rsidRPr="007A0A55">
        <w:br/>
        <w:t xml:space="preserve">SOAH DOCKET NO. </w:t>
      </w:r>
      <w:r w:rsidR="007572FC" w:rsidRPr="007A0A55">
        <w:t>473-</w:t>
      </w:r>
      <w:r w:rsidRPr="007A0A55">
        <w:t>17</w:t>
      </w:r>
      <w:r w:rsidR="007572FC" w:rsidRPr="007A0A55">
        <w:t>-</w:t>
      </w:r>
      <w:r w:rsidRPr="007A0A55">
        <w:t>1434.WS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RPr="007A0A55" w:rsidTr="009C1919">
        <w:tc>
          <w:tcPr>
            <w:tcW w:w="4608" w:type="dxa"/>
          </w:tcPr>
          <w:p w:rsidR="007572FC" w:rsidRPr="007A0A55" w:rsidRDefault="0003423D" w:rsidP="007A0A55">
            <w:pPr>
              <w:pStyle w:val="Docketstyle"/>
            </w:pPr>
            <w:r w:rsidRPr="007A0A55">
              <w:t>APPLICATION OF NITSCH &amp; SON UTILITY COMPANY, INC. FOR A RATE/TARIFF CHANGE</w:t>
            </w:r>
          </w:p>
        </w:tc>
        <w:tc>
          <w:tcPr>
            <w:tcW w:w="360" w:type="dxa"/>
          </w:tcPr>
          <w:p w:rsidR="007572FC" w:rsidRPr="007A0A55" w:rsidRDefault="001E360C" w:rsidP="007A0A55">
            <w:pPr>
              <w:pStyle w:val="Docketstyle"/>
            </w:pPr>
            <w:r w:rsidRPr="007A0A55">
              <w:t>§</w:t>
            </w:r>
          </w:p>
          <w:p w:rsidR="001E360C" w:rsidRPr="007A0A55" w:rsidRDefault="001E360C" w:rsidP="007A0A55">
            <w:pPr>
              <w:pStyle w:val="Docketstyle"/>
            </w:pPr>
            <w:r w:rsidRPr="007A0A55">
              <w:t>§</w:t>
            </w:r>
          </w:p>
          <w:p w:rsidR="001E360C" w:rsidRPr="007A0A55" w:rsidRDefault="001E360C" w:rsidP="007A0A55">
            <w:pPr>
              <w:pStyle w:val="Docketstyle"/>
            </w:pPr>
            <w:r w:rsidRPr="007A0A55">
              <w:t>§</w:t>
            </w:r>
          </w:p>
        </w:tc>
        <w:tc>
          <w:tcPr>
            <w:tcW w:w="4392" w:type="dxa"/>
          </w:tcPr>
          <w:p w:rsidR="007572FC" w:rsidRPr="007A0A55" w:rsidRDefault="001E360C" w:rsidP="007A0A55">
            <w:pPr>
              <w:pStyle w:val="DocketstylePUC"/>
            </w:pPr>
            <w:r w:rsidRPr="007A0A55">
              <w:t>PUBLIC UTILITY COMMISSION</w:t>
            </w:r>
          </w:p>
          <w:p w:rsidR="001E360C" w:rsidRPr="007A0A55" w:rsidRDefault="001E360C" w:rsidP="007A0A55">
            <w:pPr>
              <w:pStyle w:val="DocketstylePUC"/>
            </w:pPr>
          </w:p>
          <w:p w:rsidR="001E360C" w:rsidRPr="007A0A55" w:rsidRDefault="001E360C" w:rsidP="007A0A55">
            <w:pPr>
              <w:pStyle w:val="DocketstylePUC"/>
            </w:pPr>
            <w:r w:rsidRPr="007A0A55">
              <w:t>OF TEXAS</w:t>
            </w:r>
          </w:p>
        </w:tc>
      </w:tr>
    </w:tbl>
    <w:p w:rsidR="007572FC" w:rsidRPr="007A0A55" w:rsidRDefault="00C54659" w:rsidP="00A3793B">
      <w:pPr>
        <w:pStyle w:val="Titleoforder"/>
        <w:spacing w:before="360"/>
      </w:pPr>
      <w:r w:rsidRPr="007A0A55">
        <w:t>ORDER</w:t>
      </w:r>
    </w:p>
    <w:p w:rsidR="0003423D" w:rsidRPr="00813D7E" w:rsidRDefault="0003423D" w:rsidP="00813D7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 New Roman"/>
          <w:color w:val="000000"/>
        </w:rPr>
      </w:pPr>
      <w:r w:rsidRPr="00813D7E">
        <w:rPr>
          <w:rFonts w:eastAsia="Times New Roman"/>
          <w:color w:val="000000"/>
        </w:rPr>
        <w:t>This Order addresses the application of Nitsch &amp; Son Utility Company, Inc.</w:t>
      </w:r>
      <w:r w:rsidR="0096320F" w:rsidRPr="00813D7E">
        <w:rPr>
          <w:rFonts w:eastAsia="Times New Roman"/>
          <w:color w:val="000000"/>
        </w:rPr>
        <w:t xml:space="preserve"> </w:t>
      </w:r>
      <w:r w:rsidRPr="00813D7E">
        <w:rPr>
          <w:rFonts w:eastAsia="Times New Roman"/>
          <w:color w:val="000000"/>
        </w:rPr>
        <w:t>(Nitsch</w:t>
      </w:r>
      <w:r w:rsidR="004F667F">
        <w:rPr>
          <w:rFonts w:eastAsia="Times New Roman"/>
          <w:color w:val="000000"/>
        </w:rPr>
        <w:t>)</w:t>
      </w:r>
      <w:r w:rsidRPr="00813D7E">
        <w:rPr>
          <w:rFonts w:eastAsia="Times New Roman"/>
          <w:color w:val="000000"/>
        </w:rPr>
        <w:t xml:space="preserve"> </w:t>
      </w:r>
      <w:r w:rsidR="00D873C4" w:rsidRPr="00813D7E">
        <w:t>for a rate/tariff change for</w:t>
      </w:r>
      <w:r w:rsidR="00813D7E">
        <w:t xml:space="preserve"> </w:t>
      </w:r>
      <w:r w:rsidR="00D873C4" w:rsidRPr="00813D7E">
        <w:t>water and sewer</w:t>
      </w:r>
      <w:r w:rsidR="00813D7E">
        <w:t xml:space="preserve"> </w:t>
      </w:r>
      <w:r w:rsidR="00D873C4" w:rsidRPr="00813D7E">
        <w:t>service</w:t>
      </w:r>
      <w:r w:rsidR="004F667F">
        <w:t>.</w:t>
      </w:r>
      <w:r w:rsidR="000C2354">
        <w:t xml:space="preserve">  </w:t>
      </w:r>
      <w:r w:rsidR="0096320F" w:rsidRPr="00813D7E">
        <w:rPr>
          <w:rFonts w:eastAsia="Times New Roman"/>
          <w:color w:val="000000"/>
        </w:rPr>
        <w:t>A</w:t>
      </w:r>
      <w:r w:rsidRPr="00813D7E">
        <w:rPr>
          <w:rFonts w:eastAsia="Times New Roman"/>
          <w:color w:val="000000"/>
        </w:rPr>
        <w:t xml:space="preserve"> </w:t>
      </w:r>
      <w:r w:rsidR="00813D7E">
        <w:rPr>
          <w:rFonts w:eastAsia="Times New Roman"/>
          <w:color w:val="000000"/>
        </w:rPr>
        <w:t>U</w:t>
      </w:r>
      <w:r w:rsidR="0096320F" w:rsidRPr="00813D7E">
        <w:rPr>
          <w:rFonts w:eastAsia="Times New Roman"/>
          <w:color w:val="000000"/>
        </w:rPr>
        <w:t xml:space="preserve">nanimous Stipulation and Settlement </w:t>
      </w:r>
      <w:r w:rsidR="004F667F">
        <w:rPr>
          <w:rFonts w:eastAsia="Times New Roman"/>
          <w:color w:val="000000"/>
        </w:rPr>
        <w:t>A</w:t>
      </w:r>
      <w:r w:rsidR="0096320F" w:rsidRPr="00813D7E">
        <w:rPr>
          <w:rFonts w:eastAsia="Times New Roman"/>
          <w:color w:val="000000"/>
        </w:rPr>
        <w:t xml:space="preserve">greement </w:t>
      </w:r>
      <w:r w:rsidRPr="00813D7E">
        <w:rPr>
          <w:rFonts w:eastAsia="Times New Roman"/>
          <w:color w:val="000000"/>
        </w:rPr>
        <w:t>(</w:t>
      </w:r>
      <w:r w:rsidR="0096320F" w:rsidRPr="00813D7E">
        <w:rPr>
          <w:rFonts w:eastAsia="Times New Roman"/>
          <w:color w:val="000000"/>
        </w:rPr>
        <w:t>agreement</w:t>
      </w:r>
      <w:r w:rsidRPr="00813D7E">
        <w:rPr>
          <w:rFonts w:eastAsia="Times New Roman"/>
          <w:color w:val="000000"/>
        </w:rPr>
        <w:t xml:space="preserve">) </w:t>
      </w:r>
      <w:r w:rsidR="00813D7E">
        <w:rPr>
          <w:rFonts w:eastAsia="Times New Roman"/>
          <w:color w:val="000000"/>
        </w:rPr>
        <w:t xml:space="preserve">was executed </w:t>
      </w:r>
      <w:r w:rsidR="004F667F">
        <w:rPr>
          <w:rFonts w:eastAsia="Times New Roman"/>
          <w:color w:val="000000"/>
        </w:rPr>
        <w:t xml:space="preserve">between the parties </w:t>
      </w:r>
      <w:r w:rsidRPr="00813D7E">
        <w:rPr>
          <w:rFonts w:eastAsia="Times New Roman"/>
          <w:color w:val="000000"/>
        </w:rPr>
        <w:t xml:space="preserve">that resolves all issues in this proceeding. </w:t>
      </w:r>
      <w:r w:rsidR="0096320F" w:rsidRPr="00813D7E">
        <w:rPr>
          <w:rFonts w:eastAsia="Times New Roman"/>
          <w:color w:val="000000"/>
        </w:rPr>
        <w:t xml:space="preserve"> Consistent with the agreement, the application is approved.</w:t>
      </w:r>
    </w:p>
    <w:p w:rsidR="008D1724" w:rsidRPr="007A0A55" w:rsidRDefault="008D1724" w:rsidP="007A0A55">
      <w:pPr>
        <w:pStyle w:val="BodyText"/>
      </w:pPr>
      <w:r w:rsidRPr="007A0A55">
        <w:t>The Commission adopts the following findings of fact and conclusions of law</w:t>
      </w:r>
      <w:r w:rsidR="0003423D" w:rsidRPr="007A0A55">
        <w:t>:</w:t>
      </w:r>
    </w:p>
    <w:p w:rsidR="008D1724" w:rsidRPr="007A0A55" w:rsidRDefault="00EE5DDA" w:rsidP="007A0A55">
      <w:pPr>
        <w:pStyle w:val="Heading1"/>
      </w:pPr>
      <w:r w:rsidRPr="007A0A55">
        <w:t>Findings of Fact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>Procedural History</w:t>
      </w:r>
    </w:p>
    <w:p w:rsidR="0003423D" w:rsidRPr="007A0A55" w:rsidRDefault="0003423D" w:rsidP="007A0A55">
      <w:pPr>
        <w:pStyle w:val="FOFNumbered"/>
      </w:pPr>
      <w:r w:rsidRPr="007A0A55">
        <w:t xml:space="preserve">On June 16, 2016, Nitsch, a Class B utility, filed an </w:t>
      </w:r>
      <w:r w:rsidR="00813D7E" w:rsidRPr="007A0A55">
        <w:t xml:space="preserve">application </w:t>
      </w:r>
      <w:r w:rsidRPr="007A0A55">
        <w:t xml:space="preserve">for a </w:t>
      </w:r>
      <w:r w:rsidR="00813D7E">
        <w:t xml:space="preserve">rate/tariff change </w:t>
      </w:r>
      <w:r w:rsidRPr="007A0A55">
        <w:t>for water</w:t>
      </w:r>
      <w:r w:rsidR="00813D7E">
        <w:t xml:space="preserve"> and sewer service under Texas Water Code </w:t>
      </w:r>
      <w:r w:rsidRPr="007A0A55">
        <w:t>§ 13.187</w:t>
      </w:r>
      <w:r w:rsidR="00231A33">
        <w:t>1</w:t>
      </w:r>
      <w:r w:rsidRPr="007A0A55">
        <w:t>.</w:t>
      </w:r>
      <w:r w:rsidR="00813D7E" w:rsidRPr="00813D7E">
        <w:rPr>
          <w:rStyle w:val="FootnoteReference"/>
          <w:szCs w:val="24"/>
        </w:rPr>
        <w:footnoteReference w:id="1"/>
      </w:r>
      <w:r w:rsidR="004F667F">
        <w:t xml:space="preserve"> </w:t>
      </w:r>
      <w:r w:rsidRPr="007A0A55">
        <w:t xml:space="preserve"> Nitsch requested </w:t>
      </w:r>
      <w:r w:rsidR="00305539">
        <w:t xml:space="preserve">a revenue requirement of $356,401 for water, an </w:t>
      </w:r>
      <w:r w:rsidR="00813D7E">
        <w:t>increase of $66,</w:t>
      </w:r>
      <w:r w:rsidRPr="007A0A55">
        <w:t>85</w:t>
      </w:r>
      <w:r w:rsidR="00D716CC">
        <w:t>5</w:t>
      </w:r>
      <w:r w:rsidRPr="007A0A55">
        <w:t xml:space="preserve"> and </w:t>
      </w:r>
      <w:r w:rsidR="00305539">
        <w:t xml:space="preserve">a revenue requirement of $444,022 for sewer, an increase of </w:t>
      </w:r>
      <w:r w:rsidRPr="007A0A55">
        <w:t>$64,04</w:t>
      </w:r>
      <w:r w:rsidR="00D716CC">
        <w:t>2</w:t>
      </w:r>
      <w:r w:rsidRPr="007A0A55">
        <w:t>.</w:t>
      </w:r>
      <w:r w:rsidR="000C2354">
        <w:rPr>
          <w:rStyle w:val="FootnoteReference"/>
        </w:rPr>
        <w:footnoteReference w:id="2"/>
      </w:r>
      <w:r w:rsidR="00435BE7">
        <w:t xml:space="preserve">  </w:t>
      </w:r>
    </w:p>
    <w:p w:rsidR="000C2354" w:rsidRPr="000C2354" w:rsidRDefault="000C2354" w:rsidP="00DD0385">
      <w:pPr>
        <w:pStyle w:val="FOFNumbered"/>
        <w:rPr>
          <w:spacing w:val="-4"/>
        </w:rPr>
      </w:pPr>
      <w:r>
        <w:rPr>
          <w:spacing w:val="-4"/>
        </w:rPr>
        <w:t xml:space="preserve">Nitsch holds certificates of convenience and necessity 11124 and 29446 and serves the following </w:t>
      </w:r>
      <w:r w:rsidR="00A66045">
        <w:rPr>
          <w:spacing w:val="-4"/>
        </w:rPr>
        <w:t xml:space="preserve">Houston area </w:t>
      </w:r>
      <w:r>
        <w:rPr>
          <w:spacing w:val="-4"/>
        </w:rPr>
        <w:t xml:space="preserve">subdivisions:  </w:t>
      </w:r>
      <w:r>
        <w:t>Bellmar, Bellmar Estates, Bellmar Terrace, Durkee Manor, Assumption Heights, Airline Village, and Meadowland.</w:t>
      </w:r>
    </w:p>
    <w:p w:rsidR="000C2354" w:rsidRPr="000C2354" w:rsidRDefault="007613AB" w:rsidP="00DD0385">
      <w:pPr>
        <w:pStyle w:val="FOFNumbered"/>
        <w:rPr>
          <w:spacing w:val="-4"/>
        </w:rPr>
      </w:pPr>
      <w:r>
        <w:t xml:space="preserve">On </w:t>
      </w:r>
      <w:r w:rsidR="00995CA1">
        <w:t xml:space="preserve">or about </w:t>
      </w:r>
      <w:r>
        <w:t xml:space="preserve">June 17, 2016, Nitsch </w:t>
      </w:r>
      <w:r w:rsidR="00995CA1">
        <w:t>mailed notice</w:t>
      </w:r>
      <w:r>
        <w:t xml:space="preserve"> of the prop</w:t>
      </w:r>
      <w:r w:rsidR="000C2354">
        <w:t>osed rate change to customers.  The prior and proposed rates presented in the notice to customers are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1283"/>
        <w:gridCol w:w="1376"/>
        <w:gridCol w:w="1413"/>
        <w:gridCol w:w="1530"/>
      </w:tblGrid>
      <w:tr w:rsidR="00F85D53" w:rsidTr="00A66045">
        <w:trPr>
          <w:jc w:val="center"/>
        </w:trPr>
        <w:tc>
          <w:tcPr>
            <w:tcW w:w="2313" w:type="dxa"/>
          </w:tcPr>
          <w:p w:rsidR="00F85D53" w:rsidRDefault="007613AB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rPr>
                <w:bCs/>
              </w:rPr>
              <w:t xml:space="preserve"> </w:t>
            </w:r>
            <w:r w:rsidRPr="007613AB">
              <w:rPr>
                <w:b/>
                <w:bCs/>
              </w:rPr>
              <w:t xml:space="preserve"> </w:t>
            </w:r>
          </w:p>
        </w:tc>
        <w:tc>
          <w:tcPr>
            <w:tcW w:w="2659" w:type="dxa"/>
            <w:gridSpan w:val="2"/>
          </w:tcPr>
          <w:p w:rsidR="00F85D53" w:rsidRDefault="00F85D53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6674E6">
              <w:rPr>
                <w:b/>
              </w:rPr>
              <w:t>Water</w:t>
            </w:r>
          </w:p>
        </w:tc>
        <w:tc>
          <w:tcPr>
            <w:tcW w:w="2943" w:type="dxa"/>
            <w:gridSpan w:val="2"/>
          </w:tcPr>
          <w:p w:rsidR="00F85D53" w:rsidRPr="006674E6" w:rsidRDefault="00F85D53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Sewer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Pr="00B90117" w:rsidRDefault="00883AD9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 w:rsidRPr="00B90117">
              <w:rPr>
                <w:b/>
              </w:rPr>
              <w:t>Base Rate (incl</w:t>
            </w:r>
            <w:r w:rsidR="00F85D53">
              <w:rPr>
                <w:b/>
              </w:rPr>
              <w:t>.</w:t>
            </w:r>
            <w:r w:rsidRPr="00B90117">
              <w:rPr>
                <w:b/>
              </w:rPr>
              <w:t xml:space="preserve"> 0 gallons)</w:t>
            </w:r>
          </w:p>
        </w:tc>
        <w:tc>
          <w:tcPr>
            <w:tcW w:w="1283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Prior</w:t>
            </w:r>
          </w:p>
        </w:tc>
        <w:tc>
          <w:tcPr>
            <w:tcW w:w="1376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 w:rsidRPr="00B90117">
              <w:rPr>
                <w:b/>
              </w:rPr>
              <w:t>Proposed</w:t>
            </w:r>
          </w:p>
        </w:tc>
        <w:tc>
          <w:tcPr>
            <w:tcW w:w="1413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Prior </w:t>
            </w:r>
          </w:p>
        </w:tc>
        <w:tc>
          <w:tcPr>
            <w:tcW w:w="1530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Proposed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Pr="006674E6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5/8”</w:t>
            </w:r>
            <w:r w:rsidR="00A34BDB">
              <w:t xml:space="preserve"> x 3/4”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$ 18.35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$ 22.78</w:t>
            </w:r>
          </w:p>
        </w:tc>
        <w:tc>
          <w:tcPr>
            <w:tcW w:w="14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10481F">
              <w:t>$</w:t>
            </w:r>
            <w:r>
              <w:t>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231A33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ind w:hanging="113"/>
              <w:jc w:val="center"/>
            </w:pPr>
            <w:r>
              <w:t xml:space="preserve"> </w:t>
            </w:r>
            <w:r w:rsidR="00A34BDB">
              <w:t>3/4”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$ 27.52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$ 34.17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1”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$ 45.87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$ 56.96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lastRenderedPageBreak/>
              <w:t>1 ½”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$ 91.74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$113.91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2”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$146.78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$182.26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3”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275.22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341.73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4”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458.70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569.56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6”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458.70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683.47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4972" w:type="dxa"/>
            <w:gridSpan w:val="3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B90117">
              <w:rPr>
                <w:b/>
              </w:rPr>
              <w:t>Volumetric Rate</w:t>
            </w:r>
          </w:p>
        </w:tc>
        <w:tc>
          <w:tcPr>
            <w:tcW w:w="2943" w:type="dxa"/>
            <w:gridSpan w:val="2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B90117">
              <w:rPr>
                <w:b/>
              </w:rPr>
              <w:t>Volumetric Rate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Per 1,000 gallons</w:t>
            </w:r>
          </w:p>
        </w:tc>
        <w:tc>
          <w:tcPr>
            <w:tcW w:w="1283" w:type="dxa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$2.00</w:t>
            </w:r>
          </w:p>
        </w:tc>
        <w:tc>
          <w:tcPr>
            <w:tcW w:w="1376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$2.00</w:t>
            </w:r>
          </w:p>
        </w:tc>
        <w:tc>
          <w:tcPr>
            <w:tcW w:w="1413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$3.40</w:t>
            </w:r>
          </w:p>
        </w:tc>
        <w:tc>
          <w:tcPr>
            <w:tcW w:w="1530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$3.40</w:t>
            </w:r>
          </w:p>
        </w:tc>
      </w:tr>
      <w:tr w:rsidR="009C2FCD" w:rsidRPr="00F85D53" w:rsidTr="00A66045">
        <w:trPr>
          <w:jc w:val="center"/>
        </w:trPr>
        <w:tc>
          <w:tcPr>
            <w:tcW w:w="4972" w:type="dxa"/>
            <w:gridSpan w:val="3"/>
          </w:tcPr>
          <w:p w:rsidR="009C2FCD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F85D53">
              <w:rPr>
                <w:b/>
                <w:sz w:val="22"/>
                <w:szCs w:val="22"/>
              </w:rPr>
              <w:t>City of Houston GRP fee</w:t>
            </w:r>
          </w:p>
        </w:tc>
        <w:tc>
          <w:tcPr>
            <w:tcW w:w="2943" w:type="dxa"/>
            <w:gridSpan w:val="2"/>
            <w:vMerge w:val="restart"/>
            <w:shd w:val="clear" w:color="auto" w:fill="F2F2F2" w:themeFill="background1" w:themeFillShade="F2"/>
          </w:tcPr>
          <w:p w:rsidR="009C2FCD" w:rsidRPr="00F85D53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</w:tr>
      <w:tr w:rsidR="009C2FCD" w:rsidRPr="00F85D53" w:rsidTr="009C2FCD">
        <w:trPr>
          <w:jc w:val="center"/>
        </w:trPr>
        <w:tc>
          <w:tcPr>
            <w:tcW w:w="2313" w:type="dxa"/>
          </w:tcPr>
          <w:p w:rsidR="009C2FCD" w:rsidRDefault="009C2FCD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>
              <w:t>Per 1,000 gal.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9C2FCD" w:rsidRDefault="009C2FCD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  <w:tc>
          <w:tcPr>
            <w:tcW w:w="1376" w:type="dxa"/>
          </w:tcPr>
          <w:p w:rsidR="009C2FCD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$1.04</w:t>
            </w:r>
          </w:p>
        </w:tc>
        <w:tc>
          <w:tcPr>
            <w:tcW w:w="2943" w:type="dxa"/>
            <w:gridSpan w:val="2"/>
            <w:vMerge/>
            <w:shd w:val="clear" w:color="auto" w:fill="F2F2F2" w:themeFill="background1" w:themeFillShade="F2"/>
          </w:tcPr>
          <w:p w:rsidR="009C2FCD" w:rsidRPr="00F85D53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</w:tr>
      <w:tr w:rsidR="00F85D53" w:rsidTr="00A66045">
        <w:trPr>
          <w:jc w:val="center"/>
        </w:trPr>
        <w:tc>
          <w:tcPr>
            <w:tcW w:w="2313" w:type="dxa"/>
          </w:tcPr>
          <w:p w:rsidR="00F85D53" w:rsidRDefault="00F85D53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  <w:tc>
          <w:tcPr>
            <w:tcW w:w="2659" w:type="dxa"/>
            <w:gridSpan w:val="2"/>
          </w:tcPr>
          <w:p w:rsidR="00F85D53" w:rsidRDefault="00F85D53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906D1E">
              <w:rPr>
                <w:b/>
              </w:rPr>
              <w:t>Rate Case Expense Surcharge</w:t>
            </w:r>
          </w:p>
        </w:tc>
        <w:tc>
          <w:tcPr>
            <w:tcW w:w="2943" w:type="dxa"/>
            <w:gridSpan w:val="2"/>
          </w:tcPr>
          <w:p w:rsidR="00F85D53" w:rsidRDefault="00F85D53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906D1E">
              <w:rPr>
                <w:b/>
              </w:rPr>
              <w:t>Rate Case Expense Surcharge</w:t>
            </w:r>
          </w:p>
        </w:tc>
      </w:tr>
      <w:tr w:rsidR="00F85D53" w:rsidTr="00A66045">
        <w:trPr>
          <w:jc w:val="center"/>
        </w:trPr>
        <w:tc>
          <w:tcPr>
            <w:tcW w:w="2313" w:type="dxa"/>
          </w:tcPr>
          <w:p w:rsidR="00F85D53" w:rsidRDefault="00F85D53" w:rsidP="009C2FC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883AD9">
              <w:rPr>
                <w:sz w:val="22"/>
                <w:szCs w:val="22"/>
              </w:rPr>
              <w:t>Per customer per month for 36 months</w:t>
            </w:r>
          </w:p>
        </w:tc>
        <w:tc>
          <w:tcPr>
            <w:tcW w:w="2659" w:type="dxa"/>
            <w:gridSpan w:val="2"/>
          </w:tcPr>
          <w:p w:rsidR="00F85D53" w:rsidRDefault="00F85D53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$0.65</w:t>
            </w:r>
          </w:p>
        </w:tc>
        <w:tc>
          <w:tcPr>
            <w:tcW w:w="2943" w:type="dxa"/>
            <w:gridSpan w:val="2"/>
          </w:tcPr>
          <w:p w:rsidR="00F85D53" w:rsidRDefault="00F85D53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$0.65</w:t>
            </w:r>
          </w:p>
        </w:tc>
      </w:tr>
    </w:tbl>
    <w:p w:rsidR="0003423D" w:rsidRDefault="0003423D" w:rsidP="00F85D53">
      <w:pPr>
        <w:pStyle w:val="FOFNumbered"/>
        <w:numPr>
          <w:ilvl w:val="0"/>
          <w:numId w:val="0"/>
        </w:numPr>
        <w:spacing w:before="0" w:line="240" w:lineRule="auto"/>
        <w:ind w:left="720"/>
        <w:rPr>
          <w:spacing w:val="-4"/>
        </w:rPr>
      </w:pPr>
    </w:p>
    <w:p w:rsidR="00883AD9" w:rsidRPr="007613AB" w:rsidRDefault="00883AD9" w:rsidP="000C2354">
      <w:pPr>
        <w:pStyle w:val="FOFNumbered"/>
        <w:numPr>
          <w:ilvl w:val="0"/>
          <w:numId w:val="0"/>
        </w:numPr>
        <w:ind w:left="720"/>
        <w:rPr>
          <w:spacing w:val="-4"/>
        </w:rPr>
      </w:pPr>
      <w:r>
        <w:rPr>
          <w:spacing w:val="-4"/>
        </w:rPr>
        <w:t>No changes were proposed to water or sewer service Miscellaneous Fees.</w:t>
      </w:r>
    </w:p>
    <w:p w:rsidR="0003423D" w:rsidRPr="007A0A55" w:rsidRDefault="0003423D" w:rsidP="007A0A55">
      <w:pPr>
        <w:pStyle w:val="FOFNumbered"/>
      </w:pPr>
      <w:r w:rsidRPr="007A0A55">
        <w:t>On June 21, 2016, the Commission issued Order No. 1</w:t>
      </w:r>
      <w:r w:rsidR="007613AB">
        <w:t>,</w:t>
      </w:r>
      <w:r w:rsidRPr="007A0A55">
        <w:t xml:space="preserve"> requiring comments on administrative completeness </w:t>
      </w:r>
      <w:r w:rsidR="00BC1591">
        <w:t xml:space="preserve">of the application </w:t>
      </w:r>
      <w:r w:rsidRPr="007A0A55">
        <w:t>and addressing other procedural matters.</w:t>
      </w:r>
    </w:p>
    <w:p w:rsidR="0003423D" w:rsidRPr="007A0A55" w:rsidRDefault="0003423D" w:rsidP="007A0A55">
      <w:pPr>
        <w:pStyle w:val="FOFNumbered"/>
      </w:pPr>
      <w:r w:rsidRPr="007A0A55">
        <w:t>On July 1</w:t>
      </w:r>
      <w:r w:rsidR="007E2395">
        <w:t xml:space="preserve">5, 2016, Commission Staff responded to </w:t>
      </w:r>
      <w:r w:rsidRPr="007A0A55">
        <w:t>Order No. 1</w:t>
      </w:r>
      <w:r w:rsidR="007E2395">
        <w:t xml:space="preserve">, recommending that the application </w:t>
      </w:r>
      <w:r w:rsidRPr="007A0A55">
        <w:t>be found administratively complete and accepted for filing</w:t>
      </w:r>
      <w:r w:rsidR="00F76AB3">
        <w:t>,</w:t>
      </w:r>
      <w:r w:rsidRPr="007A0A55">
        <w:t xml:space="preserve"> with </w:t>
      </w:r>
      <w:r w:rsidR="007E2395">
        <w:t>an</w:t>
      </w:r>
      <w:r w:rsidRPr="007A0A55">
        <w:t xml:space="preserve"> effective </w:t>
      </w:r>
      <w:r w:rsidR="007E2395">
        <w:t>date</w:t>
      </w:r>
      <w:r w:rsidRPr="007A0A55">
        <w:t xml:space="preserve"> of </w:t>
      </w:r>
      <w:r w:rsidR="00F76AB3">
        <w:t xml:space="preserve">the </w:t>
      </w:r>
      <w:r w:rsidRPr="007A0A55">
        <w:t>proposed surcharge suspended until the earlier of April 18, 2017, the issuance of an order setting an interim surcharge, or the issuance of a final order.</w:t>
      </w:r>
    </w:p>
    <w:p w:rsidR="0003423D" w:rsidRPr="007A0A55" w:rsidRDefault="0003423D" w:rsidP="007A0A55">
      <w:pPr>
        <w:pStyle w:val="FOFNumbered"/>
      </w:pPr>
      <w:r w:rsidRPr="007A0A55">
        <w:t>On July 19, 2016, the Commission issued Order No. 2</w:t>
      </w:r>
      <w:r w:rsidR="006875C6">
        <w:t>,</w:t>
      </w:r>
      <w:r w:rsidRPr="007A0A55">
        <w:t xml:space="preserve"> finding the </w:t>
      </w:r>
      <w:r w:rsidR="006875C6" w:rsidRPr="006875C6">
        <w:rPr>
          <w:szCs w:val="24"/>
        </w:rPr>
        <w:t>application</w:t>
      </w:r>
      <w:r w:rsidR="006875C6" w:rsidRPr="006875C6">
        <w:rPr>
          <w:sz w:val="22"/>
        </w:rPr>
        <w:t xml:space="preserve"> </w:t>
      </w:r>
      <w:r w:rsidRPr="007A0A55">
        <w:t xml:space="preserve">administratively complete, setting </w:t>
      </w:r>
      <w:r w:rsidR="00906351">
        <w:t>a</w:t>
      </w:r>
      <w:r w:rsidRPr="007A0A55">
        <w:t xml:space="preserve"> deadline for ratepayers and any affected municipality to protest the proposed rates, setting a deadline for Commission Staff to request a hearing</w:t>
      </w:r>
      <w:r w:rsidR="006875C6">
        <w:t xml:space="preserve">, and suspending </w:t>
      </w:r>
      <w:r w:rsidRPr="007A0A55">
        <w:t>the surcharge for rate case expenses until April 18, 2017 or the issuance of a final order, whichever occur</w:t>
      </w:r>
      <w:r w:rsidR="006875C6">
        <w:t>red</w:t>
      </w:r>
      <w:r w:rsidRPr="007A0A55">
        <w:t xml:space="preserve"> first.</w:t>
      </w:r>
    </w:p>
    <w:p w:rsidR="0003423D" w:rsidRPr="007A0A55" w:rsidRDefault="0003423D" w:rsidP="007A0A55">
      <w:pPr>
        <w:pStyle w:val="FOFNumbered"/>
      </w:pPr>
      <w:r w:rsidRPr="007A0A55">
        <w:t xml:space="preserve">On July 26, 2016, Commission Staff filed </w:t>
      </w:r>
      <w:r w:rsidR="00906351">
        <w:t xml:space="preserve">its </w:t>
      </w:r>
      <w:r w:rsidR="005C1152">
        <w:t>first</w:t>
      </w:r>
      <w:r w:rsidRPr="007A0A55">
        <w:t xml:space="preserve"> </w:t>
      </w:r>
      <w:r w:rsidR="00906351" w:rsidRPr="007A0A55">
        <w:t>request</w:t>
      </w:r>
      <w:r w:rsidR="00906351">
        <w:t>s</w:t>
      </w:r>
      <w:r w:rsidR="00906351" w:rsidRPr="007A0A55">
        <w:t xml:space="preserve"> for information </w:t>
      </w:r>
      <w:r w:rsidR="006875C6">
        <w:t xml:space="preserve">(RFIs) </w:t>
      </w:r>
      <w:r w:rsidRPr="007A0A55">
        <w:t>to Nitsch</w:t>
      </w:r>
      <w:r w:rsidR="006875C6">
        <w:t>.</w:t>
      </w:r>
      <w:r w:rsidRPr="007A0A55">
        <w:t xml:space="preserve"> </w:t>
      </w:r>
    </w:p>
    <w:p w:rsidR="0003423D" w:rsidRPr="007A0A55" w:rsidRDefault="0003423D" w:rsidP="007A0A55">
      <w:pPr>
        <w:pStyle w:val="FOFNumbered"/>
      </w:pPr>
      <w:r w:rsidRPr="007A0A55">
        <w:t xml:space="preserve">On August 15, 2016, Nitsch filed </w:t>
      </w:r>
      <w:r w:rsidR="006875C6" w:rsidRPr="007A0A55">
        <w:t xml:space="preserve">objections and responses </w:t>
      </w:r>
      <w:r w:rsidR="006875C6">
        <w:t>to Commission Staff’</w:t>
      </w:r>
      <w:r w:rsidRPr="007A0A55">
        <w:t xml:space="preserve">s </w:t>
      </w:r>
      <w:r w:rsidR="00906351" w:rsidRPr="007A0A55">
        <w:t xml:space="preserve">first </w:t>
      </w:r>
      <w:r w:rsidR="006875C6">
        <w:t>RFIs.</w:t>
      </w:r>
    </w:p>
    <w:p w:rsidR="006875C6" w:rsidRDefault="0003423D" w:rsidP="00DD0385">
      <w:pPr>
        <w:pStyle w:val="FOFNumbered"/>
      </w:pPr>
      <w:r w:rsidRPr="007A0A55">
        <w:t xml:space="preserve">On September 16, 2016, Commission Staff filed </w:t>
      </w:r>
      <w:r w:rsidR="00906351">
        <w:t xml:space="preserve">its </w:t>
      </w:r>
      <w:r w:rsidR="00906351" w:rsidRPr="007A0A55">
        <w:t>second</w:t>
      </w:r>
      <w:r w:rsidRPr="007A0A55">
        <w:t xml:space="preserve"> </w:t>
      </w:r>
      <w:r w:rsidR="006875C6">
        <w:t>RFIs</w:t>
      </w:r>
      <w:r w:rsidRPr="007A0A55">
        <w:t xml:space="preserve"> to Nitsch</w:t>
      </w:r>
      <w:r w:rsidR="006875C6">
        <w:t>.</w:t>
      </w:r>
      <w:r w:rsidRPr="007A0A55">
        <w:t xml:space="preserve"> </w:t>
      </w:r>
    </w:p>
    <w:p w:rsidR="0003423D" w:rsidRPr="007A0A55" w:rsidRDefault="0003423D" w:rsidP="00DD0385">
      <w:pPr>
        <w:pStyle w:val="FOFNumbered"/>
      </w:pPr>
      <w:r w:rsidRPr="007A0A55">
        <w:t xml:space="preserve">On September 29, 2016, Commission Staff filed </w:t>
      </w:r>
      <w:r w:rsidR="00906351">
        <w:t xml:space="preserve">its </w:t>
      </w:r>
      <w:r w:rsidR="00906351" w:rsidRPr="007A0A55">
        <w:t xml:space="preserve">third </w:t>
      </w:r>
      <w:r w:rsidR="00E566AA">
        <w:t>RFIs</w:t>
      </w:r>
      <w:r w:rsidRPr="007A0A55">
        <w:t xml:space="preserve"> to Nitsch.</w:t>
      </w:r>
    </w:p>
    <w:p w:rsidR="0003423D" w:rsidRPr="007A0A55" w:rsidRDefault="0003423D" w:rsidP="007A0A55">
      <w:pPr>
        <w:pStyle w:val="FOFNumbered"/>
      </w:pPr>
      <w:r w:rsidRPr="007A0A55">
        <w:lastRenderedPageBreak/>
        <w:t xml:space="preserve">On October 6, 2016, Nitsch filed </w:t>
      </w:r>
      <w:r w:rsidR="00E566AA" w:rsidRPr="007A0A55">
        <w:t xml:space="preserve">responses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second </w:t>
      </w:r>
      <w:r w:rsidR="00E566AA">
        <w:t>RFIs</w:t>
      </w:r>
      <w:r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On October 19, 2016, Nitsch filed </w:t>
      </w:r>
      <w:r w:rsidR="00E566AA" w:rsidRPr="007A0A55">
        <w:t xml:space="preserve">responses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third </w:t>
      </w:r>
      <w:r w:rsidR="00E566AA">
        <w:t xml:space="preserve">RFIs.  </w:t>
      </w:r>
    </w:p>
    <w:p w:rsidR="0003423D" w:rsidRPr="007A0A55" w:rsidRDefault="0003423D" w:rsidP="007A0A55">
      <w:pPr>
        <w:pStyle w:val="FOFNumbered"/>
      </w:pPr>
      <w:r w:rsidRPr="007A0A55">
        <w:t xml:space="preserve">On October 19, 2016, Nitsch filed </w:t>
      </w:r>
      <w:r w:rsidR="00906351">
        <w:t>a first supplemental response</w:t>
      </w:r>
      <w:r w:rsidR="00E566AA" w:rsidRPr="007A0A55">
        <w:t xml:space="preserve">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first </w:t>
      </w:r>
      <w:r w:rsidR="00E566AA">
        <w:t xml:space="preserve">RFIs, providing </w:t>
      </w:r>
      <w:r w:rsidRPr="007A0A55">
        <w:t xml:space="preserve">additional supporting documentation for the rate case </w:t>
      </w:r>
      <w:r w:rsidR="00906351">
        <w:t xml:space="preserve">expense </w:t>
      </w:r>
      <w:r w:rsidRPr="007A0A55">
        <w:t>surcharge.</w:t>
      </w:r>
    </w:p>
    <w:p w:rsidR="0003423D" w:rsidRPr="007A0A55" w:rsidRDefault="0003423D" w:rsidP="007A0A55">
      <w:pPr>
        <w:pStyle w:val="FOFNumbered"/>
      </w:pPr>
      <w:r w:rsidRPr="007A0A55">
        <w:t>The Commission did not receive protest</w:t>
      </w:r>
      <w:r w:rsidR="00080434">
        <w:t>s or requests for hearing</w:t>
      </w:r>
      <w:r w:rsidRPr="007A0A55">
        <w:t xml:space="preserve"> from </w:t>
      </w:r>
      <w:r w:rsidR="00080434">
        <w:t>10%</w:t>
      </w:r>
      <w:r w:rsidRPr="007A0A55">
        <w:t xml:space="preserve"> of </w:t>
      </w:r>
      <w:r w:rsidR="00080434">
        <w:t xml:space="preserve">the affected </w:t>
      </w:r>
      <w:r w:rsidRPr="007A0A55">
        <w:t>ratepayers.</w:t>
      </w:r>
    </w:p>
    <w:p w:rsidR="0003423D" w:rsidRPr="007A0A55" w:rsidRDefault="0003423D" w:rsidP="007A0A55">
      <w:pPr>
        <w:pStyle w:val="FOFNumbered"/>
      </w:pPr>
      <w:r w:rsidRPr="007A0A55">
        <w:t xml:space="preserve">On October 27, 2016, Commission Staff filed </w:t>
      </w:r>
      <w:r w:rsidR="00080434">
        <w:t xml:space="preserve">its </w:t>
      </w:r>
      <w:r w:rsidR="00A13AF3" w:rsidRPr="007A0A55">
        <w:t xml:space="preserve">fourth </w:t>
      </w:r>
      <w:r w:rsidR="00080434">
        <w:t>RFIs to Nitsch</w:t>
      </w:r>
      <w:r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On November 15, 2016, Nitsch filed </w:t>
      </w:r>
      <w:r w:rsidR="00080434" w:rsidRPr="007A0A55">
        <w:t xml:space="preserve">responses </w:t>
      </w:r>
      <w:r w:rsidRPr="007A0A55">
        <w:t>to Commission Staff</w:t>
      </w:r>
      <w:r w:rsidR="00080434">
        <w:t>’</w:t>
      </w:r>
      <w:r w:rsidRPr="007A0A55">
        <w:t xml:space="preserve">s </w:t>
      </w:r>
      <w:r w:rsidR="00A13AF3" w:rsidRPr="007A0A55">
        <w:t xml:space="preserve">fourth </w:t>
      </w:r>
      <w:r w:rsidR="00080434">
        <w:t xml:space="preserve">RFIs, including </w:t>
      </w:r>
      <w:r w:rsidRPr="007A0A55">
        <w:t xml:space="preserve">confidential </w:t>
      </w:r>
      <w:r w:rsidR="00080434">
        <w:t>information.</w:t>
      </w:r>
    </w:p>
    <w:p w:rsidR="0003423D" w:rsidRPr="007A0A55" w:rsidRDefault="0003423D" w:rsidP="007A0A55">
      <w:pPr>
        <w:pStyle w:val="FOFNumbered"/>
      </w:pPr>
      <w:r w:rsidRPr="007A0A55">
        <w:t xml:space="preserve">On November 23, 2016, Commission Staff filed </w:t>
      </w:r>
      <w:r w:rsidR="00080434">
        <w:t>a request for hearing.</w:t>
      </w:r>
    </w:p>
    <w:p w:rsidR="0003423D" w:rsidRPr="007A0A55" w:rsidRDefault="0003423D" w:rsidP="007A0A55">
      <w:pPr>
        <w:pStyle w:val="FOFNumbered"/>
      </w:pPr>
      <w:r w:rsidRPr="007A0A55">
        <w:rPr>
          <w:spacing w:val="-1"/>
        </w:rPr>
        <w:t xml:space="preserve">On November 30, 2016, the Commission </w:t>
      </w:r>
      <w:r w:rsidR="00080434">
        <w:rPr>
          <w:spacing w:val="-1"/>
        </w:rPr>
        <w:t>referred this docket to the State Office of Administrative Hearings (SOAH)</w:t>
      </w:r>
      <w:r w:rsidRPr="007A0A55">
        <w:t>.</w:t>
      </w:r>
    </w:p>
    <w:p w:rsidR="0003423D" w:rsidRPr="007A0A55" w:rsidRDefault="00080434" w:rsidP="00DD0385">
      <w:pPr>
        <w:pStyle w:val="FOFNumbered"/>
      </w:pPr>
      <w:r>
        <w:t xml:space="preserve">On December 6, 2016, </w:t>
      </w:r>
      <w:r w:rsidRPr="007A0A55">
        <w:t xml:space="preserve">SOAH issued </w:t>
      </w:r>
      <w:r>
        <w:t>Order No</w:t>
      </w:r>
      <w:r w:rsidRPr="007A0A55">
        <w:t>. 1</w:t>
      </w:r>
      <w:r>
        <w:t>,</w:t>
      </w:r>
      <w:r w:rsidRPr="007A0A55">
        <w:t xml:space="preserve"> </w:t>
      </w:r>
      <w:r>
        <w:t>describing the case, noticing a prehearing conference, and establishing general procedural requirements</w:t>
      </w:r>
      <w:r w:rsidRPr="007A0A55">
        <w:t>.</w:t>
      </w:r>
    </w:p>
    <w:p w:rsidR="00FA66F1" w:rsidRDefault="00FA66F1" w:rsidP="007A0A55">
      <w:pPr>
        <w:pStyle w:val="FOFNumbered"/>
      </w:pPr>
      <w:r>
        <w:t xml:space="preserve">On December 16, 2016, SOAH conducted a prehearing conference in which Nitsch and Commission Staff stated that </w:t>
      </w:r>
      <w:r w:rsidR="0003423D" w:rsidRPr="007A0A55">
        <w:t xml:space="preserve">they had begun settlement discussions and requested </w:t>
      </w:r>
      <w:r>
        <w:t>an abatement of three weeks.</w:t>
      </w:r>
    </w:p>
    <w:p w:rsidR="0003423D" w:rsidRPr="007A0A55" w:rsidRDefault="00FA66F1" w:rsidP="007A0A55">
      <w:pPr>
        <w:pStyle w:val="FOFNumbered"/>
      </w:pPr>
      <w:r>
        <w:t xml:space="preserve">On December 20, 2016, SOAH issued Order No. 2, memorializing the prehearing conference, including </w:t>
      </w:r>
      <w:r w:rsidR="00A13AF3">
        <w:t>abatement of this docket</w:t>
      </w:r>
      <w:r>
        <w:t xml:space="preserve"> for three weeks, suspending the effective date of the proposed rate change to May 9, 2017, and establishing a deadline for </w:t>
      </w:r>
      <w:r w:rsidR="0003423D" w:rsidRPr="007A0A55">
        <w:t xml:space="preserve">Commission Staff to file </w:t>
      </w:r>
      <w:r w:rsidR="00A13AF3">
        <w:t xml:space="preserve">either </w:t>
      </w:r>
      <w:r w:rsidR="0003423D" w:rsidRPr="007A0A55">
        <w:t>a status report, a stipulation and proposed order, or a proposed procedural schedule with a hearing date.</w:t>
      </w:r>
    </w:p>
    <w:p w:rsidR="0003423D" w:rsidRPr="007A0A55" w:rsidRDefault="0003423D" w:rsidP="007A0A55">
      <w:pPr>
        <w:pStyle w:val="FOFNumbered"/>
      </w:pPr>
      <w:r w:rsidRPr="007A0A55">
        <w:t xml:space="preserve">On December 20, 2016, Nitsch filed </w:t>
      </w:r>
      <w:r w:rsidR="005F1B99" w:rsidRPr="007A0A55">
        <w:t xml:space="preserve">second supplemental responses </w:t>
      </w:r>
      <w:r w:rsidR="005F1B99">
        <w:t>to Commission Staff’</w:t>
      </w:r>
      <w:r w:rsidRPr="007A0A55">
        <w:t xml:space="preserve">s </w:t>
      </w:r>
      <w:r w:rsidR="00A13AF3" w:rsidRPr="007A0A55">
        <w:t xml:space="preserve">first </w:t>
      </w:r>
      <w:r w:rsidR="005F1B99">
        <w:t xml:space="preserve">RFIs, providing </w:t>
      </w:r>
      <w:r w:rsidRPr="007A0A55">
        <w:t xml:space="preserve">additional supporting documentation for the rate case </w:t>
      </w:r>
      <w:r w:rsidR="00A13AF3">
        <w:t xml:space="preserve">expense </w:t>
      </w:r>
      <w:r w:rsidRPr="007A0A55">
        <w:t>surcharge.</w:t>
      </w:r>
    </w:p>
    <w:p w:rsidR="0003423D" w:rsidRPr="007A0A55" w:rsidRDefault="0003423D" w:rsidP="007A0A55">
      <w:pPr>
        <w:pStyle w:val="FOFNumbered"/>
      </w:pPr>
      <w:r w:rsidRPr="007A0A55">
        <w:t xml:space="preserve">On January 12, 2017, Nitsch filed </w:t>
      </w:r>
      <w:r w:rsidR="0090172A">
        <w:t xml:space="preserve">third supplemental responses to Commission Staff’s First RFIs, including additional documentation in support of the rate case </w:t>
      </w:r>
      <w:r w:rsidR="00A13AF3">
        <w:t xml:space="preserve">expense </w:t>
      </w:r>
      <w:r w:rsidR="0090172A">
        <w:t xml:space="preserve">surcharge. </w:t>
      </w:r>
      <w:r w:rsidRPr="007A0A55">
        <w:t xml:space="preserve"> </w:t>
      </w:r>
    </w:p>
    <w:p w:rsidR="0003423D" w:rsidRDefault="00380F30" w:rsidP="00A40E05">
      <w:pPr>
        <w:pStyle w:val="FOFNumbered"/>
        <w:spacing w:before="0"/>
      </w:pPr>
      <w:r>
        <w:lastRenderedPageBreak/>
        <w:t xml:space="preserve">On January 12, 2017, </w:t>
      </w:r>
      <w:r w:rsidR="009C2FCD">
        <w:t xml:space="preserve">the </w:t>
      </w:r>
      <w:r>
        <w:t xml:space="preserve">Commission </w:t>
      </w:r>
      <w:r w:rsidR="009C2FCD">
        <w:t>issued</w:t>
      </w:r>
      <w:r>
        <w:t xml:space="preserve"> a preliminary order in this docket.</w:t>
      </w:r>
    </w:p>
    <w:p w:rsidR="00B41420" w:rsidRPr="007A0A55" w:rsidRDefault="00B41420" w:rsidP="007A0A55">
      <w:pPr>
        <w:pStyle w:val="FOFNumbered"/>
      </w:pPr>
      <w:r>
        <w:t>On January 18, 2017, SOAH issued Order No. 3, continuing the abatement.</w:t>
      </w:r>
    </w:p>
    <w:p w:rsidR="00B41420" w:rsidRDefault="00B41420" w:rsidP="007A0A55">
      <w:pPr>
        <w:pStyle w:val="FOFNumbered"/>
        <w:rPr>
          <w:spacing w:val="-1"/>
        </w:rPr>
      </w:pPr>
      <w:r>
        <w:rPr>
          <w:spacing w:val="-1"/>
        </w:rPr>
        <w:t xml:space="preserve">This docket remained abated until April </w:t>
      </w:r>
      <w:r w:rsidR="009312A8">
        <w:rPr>
          <w:spacing w:val="-1"/>
        </w:rPr>
        <w:t>26</w:t>
      </w:r>
      <w:r>
        <w:rPr>
          <w:spacing w:val="-1"/>
        </w:rPr>
        <w:t>, 2017.</w:t>
      </w:r>
    </w:p>
    <w:p w:rsidR="0003423D" w:rsidRPr="007A0A55" w:rsidRDefault="0003423D" w:rsidP="007A0A55">
      <w:pPr>
        <w:pStyle w:val="FOFNumbered"/>
      </w:pPr>
      <w:r w:rsidRPr="007A0A55">
        <w:t>On April</w:t>
      </w:r>
      <w:r w:rsidR="00B41420">
        <w:t xml:space="preserve"> 26, </w:t>
      </w:r>
      <w:r w:rsidRPr="007A0A55">
        <w:t xml:space="preserve">2017, Nitsch and Commission Staff </w:t>
      </w:r>
      <w:r w:rsidR="00625CAC">
        <w:t xml:space="preserve">(collectively, signatories) </w:t>
      </w:r>
      <w:r w:rsidRPr="007A0A55">
        <w:t>filed a joint motion to admit evidence and remand</w:t>
      </w:r>
      <w:r w:rsidR="009C2FCD">
        <w:t xml:space="preserve"> which included a Unanimous Stipulation and Settlement Agreement, </w:t>
      </w:r>
      <w:r w:rsidR="009312A8">
        <w:t>agreed water and sewer tariffs, and proposed order.</w:t>
      </w:r>
    </w:p>
    <w:p w:rsidR="0003423D" w:rsidRDefault="007A0A55" w:rsidP="007A0A55">
      <w:pPr>
        <w:pStyle w:val="FOFNumbered"/>
      </w:pPr>
      <w:r>
        <w:t>On May 2, 2017,</w:t>
      </w:r>
      <w:r w:rsidR="0003423D" w:rsidRPr="007A0A55">
        <w:t xml:space="preserve"> SOAH issued Order No.</w:t>
      </w:r>
      <w:r w:rsidR="005C1152">
        <w:t xml:space="preserve"> </w:t>
      </w:r>
      <w:r>
        <w:t>6, admitting evidence, remanding the case to the Commission, and dismissing the SOAH docket.</w:t>
      </w:r>
    </w:p>
    <w:p w:rsidR="00A34BDB" w:rsidRPr="007A0A55" w:rsidRDefault="00A34BDB" w:rsidP="00732660">
      <w:pPr>
        <w:pStyle w:val="FOFNumbered"/>
      </w:pPr>
      <w:r>
        <w:t>On May 9, 2017, Commission Staff filed a memo in support of the agreement.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 xml:space="preserve">Description of the Stipulation </w:t>
      </w:r>
    </w:p>
    <w:p w:rsidR="00732660" w:rsidRDefault="00732660" w:rsidP="00A3793B">
      <w:pPr>
        <w:pStyle w:val="FOFNumbered"/>
        <w:spacing w:after="120"/>
      </w:pPr>
      <w:r>
        <w:t>In the May 9</w:t>
      </w:r>
      <w:r w:rsidR="00510964">
        <w:t xml:space="preserve"> </w:t>
      </w:r>
      <w:r>
        <w:t>memo, Commission Staff stated the signatories agreed that after reasonable adjustments to the cost of service, a revenue requirement of $326,268 for water and $424,524 for sewer are appropriate.</w:t>
      </w:r>
    </w:p>
    <w:p w:rsidR="0074519C" w:rsidRDefault="0003423D" w:rsidP="00A3793B">
      <w:pPr>
        <w:pStyle w:val="FOFNumbered"/>
        <w:spacing w:after="120"/>
      </w:pPr>
      <w:r w:rsidRPr="007A0A55">
        <w:t xml:space="preserve">The signatories </w:t>
      </w:r>
      <w:r w:rsidR="00625CAC">
        <w:t>agreed</w:t>
      </w:r>
      <w:r w:rsidRPr="007A0A55">
        <w:t xml:space="preserve"> that Nitsch should be allowed to implement </w:t>
      </w:r>
      <w:r w:rsidR="003A6131">
        <w:t xml:space="preserve">the </w:t>
      </w:r>
      <w:r w:rsidR="001A3B23">
        <w:t xml:space="preserve">following </w:t>
      </w:r>
      <w:r w:rsidR="003A6131">
        <w:t>retail water and sewer utility rates</w:t>
      </w:r>
      <w:r w:rsidR="00625CAC">
        <w:t xml:space="preserve"> </w:t>
      </w:r>
      <w:r w:rsidR="001A3B23">
        <w:t xml:space="preserve">as </w:t>
      </w:r>
      <w:r w:rsidR="00B16917">
        <w:t>contained in Section 1.0 of the tariffs</w:t>
      </w:r>
      <w:r w:rsidR="009324A7">
        <w:t xml:space="preserve"> included as Attachment A to the agreement and provided with this Order</w:t>
      </w:r>
      <w:r w:rsidR="000E17C7">
        <w:t>,</w:t>
      </w:r>
      <w:r w:rsidR="00B16917">
        <w:t xml:space="preserve"> </w:t>
      </w:r>
      <w:r w:rsidR="001A3B23">
        <w:t xml:space="preserve">effective with usage </w:t>
      </w:r>
      <w:r w:rsidR="00B16917">
        <w:t xml:space="preserve">beginning </w:t>
      </w:r>
      <w:r w:rsidR="000E17C7">
        <w:t xml:space="preserve">in </w:t>
      </w:r>
      <w:r w:rsidR="001A3B23">
        <w:t>February 2017:</w:t>
      </w:r>
    </w:p>
    <w:tbl>
      <w:tblPr>
        <w:tblStyle w:val="LightList"/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004"/>
        <w:gridCol w:w="1440"/>
        <w:gridCol w:w="1956"/>
        <w:gridCol w:w="1620"/>
      </w:tblGrid>
      <w:tr w:rsidR="000E17C7" w:rsidRPr="003E1E22" w:rsidTr="00110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44" w:type="dxa"/>
            <w:gridSpan w:val="2"/>
            <w:shd w:val="clear" w:color="auto" w:fill="auto"/>
          </w:tcPr>
          <w:p w:rsidR="001A3B23" w:rsidRPr="00122958" w:rsidRDefault="001A3B23" w:rsidP="001106B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Water</w:t>
            </w:r>
          </w:p>
        </w:tc>
        <w:tc>
          <w:tcPr>
            <w:tcW w:w="3576" w:type="dxa"/>
            <w:gridSpan w:val="2"/>
            <w:shd w:val="clear" w:color="auto" w:fill="auto"/>
          </w:tcPr>
          <w:p w:rsidR="001A3B23" w:rsidRPr="00122958" w:rsidRDefault="001A3B23" w:rsidP="001106B9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Sewer</w:t>
            </w:r>
          </w:p>
        </w:tc>
      </w:tr>
      <w:tr w:rsidR="00122958" w:rsidRPr="003E1E22" w:rsidTr="001106B9">
        <w:tc>
          <w:tcPr>
            <w:tcW w:w="2004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Meter</w:t>
            </w:r>
          </w:p>
        </w:tc>
        <w:tc>
          <w:tcPr>
            <w:tcW w:w="144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Base Rate</w:t>
            </w:r>
          </w:p>
        </w:tc>
        <w:tc>
          <w:tcPr>
            <w:tcW w:w="1956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Meter</w:t>
            </w:r>
          </w:p>
        </w:tc>
        <w:tc>
          <w:tcPr>
            <w:tcW w:w="162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Base Rate</w:t>
            </w:r>
          </w:p>
        </w:tc>
      </w:tr>
      <w:tr w:rsidR="00122958" w:rsidRPr="003E1E22" w:rsidTr="001106B9">
        <w:tc>
          <w:tcPr>
            <w:tcW w:w="2004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0 gal incl.</w:t>
            </w:r>
          </w:p>
        </w:tc>
        <w:tc>
          <w:tcPr>
            <w:tcW w:w="1956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0 gal incl.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427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5/8”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 or      </w:t>
            </w:r>
            <w:r w:rsidR="001106B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5/8” x </w:t>
            </w:r>
            <w:r w:rsidR="00A34BDB"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5/8”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 or       </w:t>
            </w:r>
            <w:r w:rsidR="001106B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27DD4">
              <w:rPr>
                <w:rFonts w:ascii="Times New Roman" w:hAnsi="Times New Roman" w:cs="Times New Roman"/>
                <w:sz w:val="24"/>
                <w:szCs w:val="24"/>
              </w:rPr>
              <w:t>5/8” x ¾”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$ 27.50 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 30.00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 xml:space="preserve">$  50.00 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1½”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$100.00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1½”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$160.00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$300.00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0E17C7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$500.00</w:t>
            </w:r>
          </w:p>
        </w:tc>
        <w:tc>
          <w:tcPr>
            <w:tcW w:w="1956" w:type="dxa"/>
          </w:tcPr>
          <w:p w:rsidR="00122958" w:rsidRPr="00122958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0E17C7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6”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$600.00</w:t>
            </w:r>
          </w:p>
        </w:tc>
        <w:tc>
          <w:tcPr>
            <w:tcW w:w="1956" w:type="dxa"/>
          </w:tcPr>
          <w:p w:rsidR="00122958" w:rsidRPr="00122958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</w:tbl>
    <w:p w:rsidR="00A3793B" w:rsidRDefault="00A3793B">
      <w:r>
        <w:br w:type="page"/>
      </w:r>
    </w:p>
    <w:tbl>
      <w:tblPr>
        <w:tblStyle w:val="LightList"/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004"/>
        <w:gridCol w:w="1440"/>
        <w:gridCol w:w="1956"/>
        <w:gridCol w:w="1620"/>
      </w:tblGrid>
      <w:tr w:rsidR="00A3793B" w:rsidRPr="00A3793B" w:rsidTr="00A379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shd w:val="clear" w:color="auto" w:fill="auto"/>
          </w:tcPr>
          <w:p w:rsidR="00122958" w:rsidRPr="00A3793B" w:rsidRDefault="00122958" w:rsidP="001106B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Volumetric Rate</w:t>
            </w:r>
          </w:p>
        </w:tc>
      </w:tr>
      <w:tr w:rsidR="00A3793B" w:rsidRPr="00A3793B" w:rsidTr="00A3793B">
        <w:trPr>
          <w:trHeight w:val="604"/>
        </w:trPr>
        <w:tc>
          <w:tcPr>
            <w:tcW w:w="2004" w:type="dxa"/>
            <w:shd w:val="clear" w:color="auto" w:fill="auto"/>
          </w:tcPr>
          <w:p w:rsidR="00122958" w:rsidRPr="00A3793B" w:rsidRDefault="00122958" w:rsidP="000E1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 for all size meters</w:t>
            </w:r>
          </w:p>
        </w:tc>
        <w:tc>
          <w:tcPr>
            <w:tcW w:w="1440" w:type="dxa"/>
            <w:shd w:val="clear" w:color="auto" w:fill="auto"/>
          </w:tcPr>
          <w:p w:rsidR="00122958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  <w:tc>
          <w:tcPr>
            <w:tcW w:w="1956" w:type="dxa"/>
            <w:shd w:val="clear" w:color="auto" w:fill="auto"/>
          </w:tcPr>
          <w:p w:rsidR="00122958" w:rsidRPr="00A3793B" w:rsidRDefault="00122958" w:rsidP="00122958">
            <w:pPr>
              <w:rPr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 for all size meters</w:t>
            </w:r>
          </w:p>
        </w:tc>
        <w:tc>
          <w:tcPr>
            <w:tcW w:w="1620" w:type="dxa"/>
            <w:shd w:val="clear" w:color="auto" w:fill="auto"/>
          </w:tcPr>
          <w:p w:rsidR="00122958" w:rsidRPr="00A3793B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$3.95</w:t>
            </w:r>
          </w:p>
        </w:tc>
      </w:tr>
      <w:tr w:rsidR="00A3793B" w:rsidRPr="00A3793B" w:rsidTr="00A3793B">
        <w:trPr>
          <w:trHeight w:val="368"/>
        </w:trPr>
        <w:tc>
          <w:tcPr>
            <w:tcW w:w="7020" w:type="dxa"/>
            <w:gridSpan w:val="4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b/>
                <w:sz w:val="24"/>
                <w:szCs w:val="24"/>
              </w:rPr>
              <w:t>City of Houston GRP fee</w:t>
            </w:r>
          </w:p>
        </w:tc>
      </w:tr>
      <w:tr w:rsidR="00A3793B" w:rsidRPr="00A3793B" w:rsidTr="00A3793B">
        <w:trPr>
          <w:trHeight w:val="359"/>
        </w:trPr>
        <w:tc>
          <w:tcPr>
            <w:tcW w:w="2004" w:type="dxa"/>
            <w:shd w:val="clear" w:color="auto" w:fill="auto"/>
          </w:tcPr>
          <w:p w:rsidR="000E17C7" w:rsidRPr="00A3793B" w:rsidRDefault="000E17C7" w:rsidP="000E1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</w:t>
            </w:r>
          </w:p>
        </w:tc>
        <w:tc>
          <w:tcPr>
            <w:tcW w:w="1440" w:type="dxa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$1.04</w:t>
            </w:r>
          </w:p>
        </w:tc>
        <w:tc>
          <w:tcPr>
            <w:tcW w:w="1956" w:type="dxa"/>
            <w:shd w:val="clear" w:color="auto" w:fill="auto"/>
          </w:tcPr>
          <w:p w:rsidR="000E17C7" w:rsidRPr="00A3793B" w:rsidRDefault="000E17C7" w:rsidP="0012295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20" w:type="dxa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A3793B" w:rsidRPr="00A3793B" w:rsidTr="00A3793B">
        <w:trPr>
          <w:trHeight w:val="341"/>
        </w:trPr>
        <w:tc>
          <w:tcPr>
            <w:tcW w:w="7020" w:type="dxa"/>
            <w:gridSpan w:val="4"/>
            <w:shd w:val="clear" w:color="auto" w:fill="auto"/>
          </w:tcPr>
          <w:p w:rsidR="009324A7" w:rsidRPr="00A3793B" w:rsidRDefault="009324A7" w:rsidP="00122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b/>
                <w:sz w:val="24"/>
                <w:szCs w:val="24"/>
              </w:rPr>
              <w:t>Rate Case Expenses</w:t>
            </w:r>
          </w:p>
        </w:tc>
      </w:tr>
      <w:tr w:rsidR="00A3793B" w:rsidRPr="00A3793B" w:rsidTr="00A3793B">
        <w:trPr>
          <w:trHeight w:val="341"/>
        </w:trPr>
        <w:tc>
          <w:tcPr>
            <w:tcW w:w="7020" w:type="dxa"/>
            <w:gridSpan w:val="4"/>
            <w:shd w:val="clear" w:color="auto" w:fill="auto"/>
          </w:tcPr>
          <w:p w:rsidR="001106B9" w:rsidRPr="00A3793B" w:rsidRDefault="001106B9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$1.00 per connection per month for 36 months</w:t>
            </w:r>
          </w:p>
        </w:tc>
      </w:tr>
    </w:tbl>
    <w:p w:rsidR="0003423D" w:rsidRPr="007A0A55" w:rsidRDefault="0003423D" w:rsidP="00E1360F">
      <w:pPr>
        <w:pStyle w:val="FOFNumbered"/>
        <w:spacing w:before="360"/>
      </w:pPr>
      <w:r w:rsidRPr="007A0A55">
        <w:t xml:space="preserve">The signatories </w:t>
      </w:r>
      <w:r w:rsidR="00A13AF3">
        <w:t>agreed</w:t>
      </w:r>
      <w:r w:rsidR="00A13AF3" w:rsidRPr="007A0A55">
        <w:t xml:space="preserve"> </w:t>
      </w:r>
      <w:r w:rsidRPr="007A0A55">
        <w:t xml:space="preserve">that Nitsch should be allowed to implement the other </w:t>
      </w:r>
      <w:r w:rsidR="001106B9">
        <w:t>p</w:t>
      </w:r>
      <w:r w:rsidR="006E31F7">
        <w:t>rovisions</w:t>
      </w:r>
      <w:r w:rsidRPr="007A0A55">
        <w:t xml:space="preserve"> </w:t>
      </w:r>
      <w:r w:rsidR="009C2FCD">
        <w:t xml:space="preserve">in the tariffs </w:t>
      </w:r>
      <w:r w:rsidRPr="007A0A55">
        <w:t xml:space="preserve">included in Attachment </w:t>
      </w:r>
      <w:proofErr w:type="gramStart"/>
      <w:r w:rsidRPr="007A0A55">
        <w:t>A</w:t>
      </w:r>
      <w:proofErr w:type="gramEnd"/>
      <w:r w:rsidR="00A13AF3">
        <w:t xml:space="preserve"> effective with </w:t>
      </w:r>
      <w:r w:rsidR="009C2FCD">
        <w:t xml:space="preserve">usage beginning in </w:t>
      </w:r>
      <w:r w:rsidRPr="007A0A55">
        <w:t>February 2017.</w:t>
      </w:r>
    </w:p>
    <w:p w:rsidR="0003423D" w:rsidRPr="007A0A55" w:rsidRDefault="0003423D" w:rsidP="007A0A55">
      <w:pPr>
        <w:pStyle w:val="FOFNumbered"/>
        <w:rPr>
          <w:spacing w:val="-3"/>
        </w:rPr>
      </w:pPr>
      <w:r w:rsidRPr="007A0A55">
        <w:rPr>
          <w:spacing w:val="-3"/>
        </w:rPr>
        <w:t xml:space="preserve">The signatories </w:t>
      </w:r>
      <w:r w:rsidR="00A13AF3">
        <w:rPr>
          <w:spacing w:val="-3"/>
        </w:rPr>
        <w:t>agreed</w:t>
      </w:r>
      <w:r w:rsidRPr="007A0A55">
        <w:rPr>
          <w:spacing w:val="-3"/>
        </w:rPr>
        <w:t xml:space="preserve"> that the proposed tariffs included with </w:t>
      </w:r>
      <w:r w:rsidR="00A13AF3">
        <w:rPr>
          <w:spacing w:val="-3"/>
        </w:rPr>
        <w:t>this Order</w:t>
      </w:r>
      <w:r w:rsidRPr="007A0A55">
        <w:rPr>
          <w:spacing w:val="-3"/>
        </w:rPr>
        <w:t xml:space="preserve"> should be the governing water and sewer utility rates, terms, treatments, and conditions for Nitsch ratepayers of the public water systems and service areas specified in the tariffs.</w:t>
      </w:r>
    </w:p>
    <w:p w:rsidR="0003423D" w:rsidRPr="007A0A55" w:rsidRDefault="0003423D" w:rsidP="007A0A55">
      <w:pPr>
        <w:pStyle w:val="FOFNumbered"/>
      </w:pPr>
      <w:r w:rsidRPr="007A0A55">
        <w:t xml:space="preserve">The signatories </w:t>
      </w:r>
      <w:r w:rsidR="00A13AF3">
        <w:rPr>
          <w:spacing w:val="-3"/>
        </w:rPr>
        <w:t>agreed</w:t>
      </w:r>
      <w:r w:rsidR="00A13AF3" w:rsidRPr="007A0A55">
        <w:rPr>
          <w:spacing w:val="-3"/>
        </w:rPr>
        <w:t xml:space="preserve"> </w:t>
      </w:r>
      <w:r w:rsidRPr="007A0A55">
        <w:t xml:space="preserve">that Nitsch </w:t>
      </w:r>
      <w:r w:rsidR="009C2FCD">
        <w:t>should</w:t>
      </w:r>
      <w:r w:rsidRPr="007A0A55">
        <w:t xml:space="preserve"> recover and rate case expenses incurred or that will </w:t>
      </w:r>
      <w:r w:rsidR="00A13AF3">
        <w:t xml:space="preserve">be incurred </w:t>
      </w:r>
      <w:r w:rsidRPr="007A0A55">
        <w:t>in relation to th</w:t>
      </w:r>
      <w:r w:rsidR="009C2FCD">
        <w:t>e</w:t>
      </w:r>
      <w:r w:rsidRPr="007A0A55">
        <w:t xml:space="preserve"> </w:t>
      </w:r>
      <w:r w:rsidR="00A13AF3" w:rsidRPr="007A0A55">
        <w:t xml:space="preserve">application </w:t>
      </w:r>
      <w:r w:rsidRPr="007A0A55">
        <w:t>at the surcharge rate of $1.00 per month for 36 months for water ratepayers and $1.00 per month for 36 months for sewer ratepayers beginning with the invoice including February 2017 usage.</w:t>
      </w:r>
    </w:p>
    <w:p w:rsidR="0003423D" w:rsidRPr="007A0A55" w:rsidRDefault="0003423D" w:rsidP="00DD0385">
      <w:pPr>
        <w:pStyle w:val="FOFNumbered"/>
      </w:pPr>
      <w:r w:rsidRPr="007A0A55">
        <w:t xml:space="preserve">The signatories </w:t>
      </w:r>
      <w:r w:rsidR="00AC4369">
        <w:t>agreed</w:t>
      </w:r>
      <w:r w:rsidRPr="007A0A55">
        <w:t xml:space="preserve"> that Nitsch not be required to issue refunds or credits for rates</w:t>
      </w:r>
      <w:r w:rsidR="00AC4369">
        <w:t xml:space="preserve"> </w:t>
      </w:r>
      <w:r w:rsidRPr="007A0A55">
        <w:t>collected between the effective date</w:t>
      </w:r>
      <w:r w:rsidR="00085B3C">
        <w:t xml:space="preserve"> and</w:t>
      </w:r>
      <w:r w:rsidRPr="007A0A55">
        <w:t xml:space="preserve"> </w:t>
      </w:r>
      <w:r w:rsidR="00231A33">
        <w:t>the</w:t>
      </w:r>
      <w:r w:rsidR="004850AF">
        <w:t xml:space="preserve"> date this Order is </w:t>
      </w:r>
      <w:r w:rsidR="009C2FCD">
        <w:t>issu</w:t>
      </w:r>
      <w:r w:rsidR="004850AF">
        <w:t>ed</w:t>
      </w:r>
      <w:r w:rsidRPr="007A0A55">
        <w:t>.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 xml:space="preserve">Consistency of the </w:t>
      </w:r>
      <w:r w:rsidR="00AC4369">
        <w:rPr>
          <w:rFonts w:eastAsia="Times New Roman"/>
        </w:rPr>
        <w:t>Agreement</w:t>
      </w:r>
      <w:r w:rsidRPr="007A0A55">
        <w:rPr>
          <w:rFonts w:eastAsia="Times New Roman"/>
        </w:rPr>
        <w:t xml:space="preserve"> with the </w:t>
      </w:r>
      <w:r w:rsidR="00AC4369">
        <w:rPr>
          <w:rFonts w:eastAsia="Times New Roman"/>
        </w:rPr>
        <w:t>Texas</w:t>
      </w:r>
      <w:r w:rsidRPr="007A0A55">
        <w:rPr>
          <w:rFonts w:eastAsia="Times New Roman"/>
        </w:rPr>
        <w:t xml:space="preserve"> Water Code and Commission Requirements</w:t>
      </w:r>
    </w:p>
    <w:p w:rsidR="0003423D" w:rsidRPr="007A0A55" w:rsidRDefault="00AC4369" w:rsidP="007A0A55">
      <w:pPr>
        <w:pStyle w:val="FOFNumbered"/>
      </w:pPr>
      <w:r>
        <w:t>Considered in light of Nitsch’s</w:t>
      </w:r>
      <w:r w:rsidR="0003423D" w:rsidRPr="007A0A55">
        <w:t xml:space="preserve"> </w:t>
      </w:r>
      <w:r w:rsidRPr="007A0A55">
        <w:t>application</w:t>
      </w:r>
      <w:r w:rsidR="0003423D" w:rsidRPr="007A0A55">
        <w:t>, responses to discovery requests, and information exchanged through confidential</w:t>
      </w:r>
      <w:r w:rsidR="009C2FCD">
        <w:t>,</w:t>
      </w:r>
      <w:r w:rsidR="0003423D" w:rsidRPr="007A0A55">
        <w:t xml:space="preserve"> privileged settlement negotiations, the </w:t>
      </w:r>
      <w:r w:rsidR="00D576C1">
        <w:t>agreement</w:t>
      </w:r>
      <w:r w:rsidR="0003423D" w:rsidRPr="007A0A55">
        <w:t xml:space="preserve"> is the result of compromise from each party, and these efforts, as well as the overall result of the </w:t>
      </w:r>
      <w:r w:rsidR="00D576C1">
        <w:t>agreement</w:t>
      </w:r>
      <w:r w:rsidR="0003423D" w:rsidRPr="007A0A55">
        <w:t xml:space="preserve">, support the reasonableness and benefits of the terms of the </w:t>
      </w:r>
      <w:r w:rsidR="00D576C1">
        <w:t>agreement</w:t>
      </w:r>
      <w:r w:rsidR="0003423D"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The rates, terms, and conditions of the tariffs resulting from the </w:t>
      </w:r>
      <w:r w:rsidR="00085B3C">
        <w:t>agreement</w:t>
      </w:r>
      <w:r w:rsidRPr="007A0A55">
        <w:t xml:space="preserve"> are just and reasonable when the benefits of avoiding an expensive contested case hearing are considered</w:t>
      </w:r>
      <w:r w:rsidR="00085B3C">
        <w:t>.</w:t>
      </w:r>
    </w:p>
    <w:p w:rsidR="00E1360F" w:rsidRDefault="00E1360F">
      <w:pPr>
        <w:spacing w:after="160" w:line="259" w:lineRule="auto"/>
        <w:rPr>
          <w:rFonts w:eastAsiaTheme="majorEastAsia"/>
          <w:b/>
          <w:highlight w:val="lightGray"/>
        </w:rPr>
      </w:pPr>
      <w:r>
        <w:rPr>
          <w:highlight w:val="lightGray"/>
        </w:rPr>
        <w:br w:type="page"/>
      </w:r>
    </w:p>
    <w:p w:rsidR="00EE5DDA" w:rsidRPr="00E1360F" w:rsidRDefault="00EE5DDA" w:rsidP="00E1360F">
      <w:pPr>
        <w:pStyle w:val="Heading1"/>
      </w:pPr>
      <w:r w:rsidRPr="00E1360F">
        <w:lastRenderedPageBreak/>
        <w:t>Conclusions of Law</w:t>
      </w:r>
    </w:p>
    <w:p w:rsidR="0003423D" w:rsidRPr="007A0A55" w:rsidRDefault="0003423D" w:rsidP="007A0A55">
      <w:pPr>
        <w:pStyle w:val="COLNumbered"/>
      </w:pPr>
      <w:r w:rsidRPr="007A0A55">
        <w:t>Nitsch is a public utility as defined in TWC § 13.002(23).</w:t>
      </w:r>
    </w:p>
    <w:p w:rsidR="0003423D" w:rsidRPr="007A0A55" w:rsidRDefault="0003423D" w:rsidP="007A0A55">
      <w:pPr>
        <w:pStyle w:val="COLNumbered"/>
      </w:pPr>
      <w:r w:rsidRPr="007A0A55">
        <w:t>The Commissi</w:t>
      </w:r>
      <w:r w:rsidR="00103211">
        <w:t>on has jurisdiction over Nitsch’</w:t>
      </w:r>
      <w:r w:rsidRPr="007A0A55">
        <w:t xml:space="preserve">s </w:t>
      </w:r>
      <w:r w:rsidR="00103211" w:rsidRPr="007A0A55">
        <w:t xml:space="preserve">application </w:t>
      </w:r>
      <w:r w:rsidRPr="007A0A55">
        <w:t xml:space="preserve">for a rate increase </w:t>
      </w:r>
      <w:r w:rsidR="00231A33">
        <w:t>under</w:t>
      </w:r>
      <w:r w:rsidRPr="007A0A55">
        <w:t xml:space="preserve"> TWC §§ 13.041, 13.181, and 13.187</w:t>
      </w:r>
      <w:r w:rsidR="009C2FCD">
        <w:t>1</w:t>
      </w:r>
      <w:r w:rsidR="00103211">
        <w:t>.</w:t>
      </w:r>
    </w:p>
    <w:p w:rsidR="0003423D" w:rsidRPr="007A0A55" w:rsidRDefault="00103211" w:rsidP="007A0A55">
      <w:pPr>
        <w:pStyle w:val="COLNumbered"/>
      </w:pPr>
      <w:r w:rsidRPr="004C5BAE">
        <w:t xml:space="preserve">This docket was processed in accordance with the requirements of the TWC, </w:t>
      </w:r>
      <w:r w:rsidR="00231A33">
        <w:t xml:space="preserve">the </w:t>
      </w:r>
      <w:r w:rsidRPr="004C5BAE">
        <w:t>Administrative Procedure Act,</w:t>
      </w:r>
      <w:r w:rsidR="009C2FCD">
        <w:rPr>
          <w:rStyle w:val="FootnoteReference"/>
        </w:rPr>
        <w:footnoteReference w:id="3"/>
      </w:r>
      <w:r w:rsidRPr="004C5BAE">
        <w:t xml:space="preserve"> and Commission rules</w:t>
      </w:r>
      <w:r w:rsidR="0003423D" w:rsidRPr="007A0A55">
        <w:t>.</w:t>
      </w:r>
    </w:p>
    <w:p w:rsidR="0003423D" w:rsidRPr="007A0A55" w:rsidRDefault="00103211" w:rsidP="007A0A55">
      <w:pPr>
        <w:pStyle w:val="COLNumbered"/>
      </w:pPr>
      <w:r>
        <w:t xml:space="preserve">Nitsch provided </w:t>
      </w:r>
      <w:r w:rsidR="0003423D" w:rsidRPr="007A0A55">
        <w:t xml:space="preserve">notice of the </w:t>
      </w:r>
      <w:r w:rsidRPr="007A0A55">
        <w:t xml:space="preserve">application </w:t>
      </w:r>
      <w:r>
        <w:t>under</w:t>
      </w:r>
      <w:r w:rsidR="0003423D" w:rsidRPr="007A0A55">
        <w:t xml:space="preserve"> TWC § 13.187</w:t>
      </w:r>
      <w:r w:rsidR="00231A33">
        <w:t>1</w:t>
      </w:r>
      <w:r w:rsidR="0003423D" w:rsidRPr="007A0A55">
        <w:t xml:space="preserve"> and 16 TAC § 24.22.</w:t>
      </w:r>
    </w:p>
    <w:p w:rsidR="0003423D" w:rsidRPr="007A0A55" w:rsidRDefault="0003423D" w:rsidP="007A0A55">
      <w:pPr>
        <w:pStyle w:val="COLNumbered"/>
        <w:rPr>
          <w:spacing w:val="-2"/>
        </w:rPr>
      </w:pPr>
      <w:r w:rsidRPr="007A0A55">
        <w:rPr>
          <w:spacing w:val="-2"/>
        </w:rPr>
        <w:t xml:space="preserve">This docket contains no remaining contested issues of fact or </w:t>
      </w:r>
      <w:r w:rsidR="00103211">
        <w:rPr>
          <w:spacing w:val="-2"/>
        </w:rPr>
        <w:t>law</w:t>
      </w:r>
      <w:r w:rsidRPr="007A0A55">
        <w:rPr>
          <w:spacing w:val="-2"/>
        </w:rPr>
        <w:t>.</w:t>
      </w:r>
    </w:p>
    <w:p w:rsidR="0003423D" w:rsidRPr="007A0A55" w:rsidRDefault="0003423D" w:rsidP="007A0A55">
      <w:pPr>
        <w:pStyle w:val="COLNumbered"/>
      </w:pPr>
      <w:r w:rsidRPr="007A0A55">
        <w:t xml:space="preserve">The </w:t>
      </w:r>
      <w:r w:rsidR="00103211">
        <w:t>agreement</w:t>
      </w:r>
      <w:r w:rsidRPr="007A0A55">
        <w:t xml:space="preserve">, taken as a whole, is a just and reasonable resolution of all issues it addresses, results in just and reasonable rates, terms and conditions, is consistent with the relevant provisions of TWC, </w:t>
      </w:r>
      <w:r w:rsidR="00103211">
        <w:t>c</w:t>
      </w:r>
      <w:r w:rsidRPr="007A0A55">
        <w:t>hapter 13, and should be approved.</w:t>
      </w:r>
    </w:p>
    <w:p w:rsidR="0003423D" w:rsidRDefault="0003423D" w:rsidP="007A0A55">
      <w:pPr>
        <w:pStyle w:val="COLNumbered"/>
      </w:pPr>
      <w:r w:rsidRPr="007A0A55">
        <w:t xml:space="preserve">The rates </w:t>
      </w:r>
      <w:r w:rsidR="00A40E05">
        <w:t>presented</w:t>
      </w:r>
      <w:r w:rsidRPr="007A0A55">
        <w:t xml:space="preserve"> in the </w:t>
      </w:r>
      <w:r w:rsidR="00103211">
        <w:t>agreement</w:t>
      </w:r>
      <w:r w:rsidRPr="007A0A55">
        <w:t xml:space="preserve"> are just and reasonable, comply with the ratemaking provisions in TWC</w:t>
      </w:r>
      <w:r w:rsidR="00103211">
        <w:t xml:space="preserve">, chapter 13 and are </w:t>
      </w:r>
      <w:r w:rsidRPr="007A0A55">
        <w:t>not unreasonably discriminatory, preferential, or prejudicial.</w:t>
      </w:r>
    </w:p>
    <w:p w:rsidR="00103211" w:rsidRPr="007A0A55" w:rsidRDefault="00103211" w:rsidP="007A0A55">
      <w:pPr>
        <w:pStyle w:val="COLNumbered"/>
      </w:pPr>
      <w:r w:rsidRPr="00101572">
        <w:rPr>
          <w:szCs w:val="24"/>
        </w:rPr>
        <w:t xml:space="preserve">The requirements for informal disposition </w:t>
      </w:r>
      <w:r w:rsidR="00957880">
        <w:rPr>
          <w:szCs w:val="24"/>
        </w:rPr>
        <w:t xml:space="preserve">under 16 TAC § </w:t>
      </w:r>
      <w:r w:rsidRPr="00101572">
        <w:rPr>
          <w:szCs w:val="24"/>
        </w:rPr>
        <w:t>22.35 have been met in this proceeding</w:t>
      </w:r>
      <w:r>
        <w:rPr>
          <w:szCs w:val="24"/>
        </w:rPr>
        <w:t>.</w:t>
      </w:r>
    </w:p>
    <w:p w:rsidR="00EE5DDA" w:rsidRPr="007A0A55" w:rsidRDefault="00EE5DDA" w:rsidP="007A0A55">
      <w:pPr>
        <w:pStyle w:val="Heading1"/>
      </w:pPr>
      <w:r w:rsidRPr="007A0A55">
        <w:t>Ordering Paragraphs</w:t>
      </w:r>
    </w:p>
    <w:p w:rsidR="008D1724" w:rsidRPr="007A0A55" w:rsidRDefault="008D1724" w:rsidP="007A0A55">
      <w:pPr>
        <w:pStyle w:val="BodyText"/>
      </w:pPr>
      <w:r w:rsidRPr="007A0A55">
        <w:t>In accordance with these findings of fact and conclusions of law, the Commission issues the following order:</w:t>
      </w:r>
    </w:p>
    <w:p w:rsidR="0003423D" w:rsidRPr="00957880" w:rsidRDefault="00957880" w:rsidP="00957880">
      <w:pPr>
        <w:pStyle w:val="OrderingParagraph"/>
      </w:pPr>
      <w:r w:rsidRPr="00957880">
        <w:t xml:space="preserve">Consistent with the agreement and </w:t>
      </w:r>
      <w:r>
        <w:t>the preceding findings of fact and conclusions of law,</w:t>
      </w:r>
      <w:r w:rsidRPr="00957880">
        <w:t xml:space="preserve"> Nitsch’s application is approved.</w:t>
      </w:r>
    </w:p>
    <w:p w:rsidR="0003423D" w:rsidRDefault="00957880" w:rsidP="00DD0385">
      <w:pPr>
        <w:pStyle w:val="OrderingParagraph"/>
      </w:pPr>
      <w:r>
        <w:t>Consistent with the agreement, Nitsch’s tariffed rates, terms, and conditions are approved.</w:t>
      </w:r>
    </w:p>
    <w:p w:rsidR="00957880" w:rsidRDefault="00957880" w:rsidP="00DD0385">
      <w:pPr>
        <w:pStyle w:val="OrderingParagraph"/>
      </w:pPr>
      <w:r>
        <w:t>The water and sewer tariffs included with this Order as Attachment A are approved.</w:t>
      </w:r>
    </w:p>
    <w:p w:rsidR="0003423D" w:rsidRPr="00957880" w:rsidRDefault="00EE7C2F" w:rsidP="00DD0385">
      <w:pPr>
        <w:pStyle w:val="OrderingParagraph"/>
      </w:pPr>
      <w:r>
        <w:t xml:space="preserve">Consistent with the agreement, </w:t>
      </w:r>
      <w:r w:rsidR="00957880">
        <w:t xml:space="preserve">Nitsch shall recover and collect rate case expenses that it has incurred or will incur </w:t>
      </w:r>
      <w:r>
        <w:t xml:space="preserve">regarding this docket </w:t>
      </w:r>
      <w:r w:rsidR="00957880">
        <w:t xml:space="preserve">at $1.00 per month for 36 months for water </w:t>
      </w:r>
      <w:r w:rsidR="00957880">
        <w:lastRenderedPageBreak/>
        <w:t xml:space="preserve">ratepayers and $1.00 per month for 36 months for sewer ratepayers, to be billed commencing with the billing to </w:t>
      </w:r>
      <w:r w:rsidR="00957880" w:rsidRPr="00957880">
        <w:t>customers for February 2017 usage</w:t>
      </w:r>
      <w:r w:rsidR="0003423D" w:rsidRPr="00957880">
        <w:t>.</w:t>
      </w:r>
    </w:p>
    <w:p w:rsidR="00957880" w:rsidRPr="00957880" w:rsidRDefault="00957880" w:rsidP="00957880">
      <w:pPr>
        <w:pStyle w:val="OrderingParagraph"/>
      </w:pPr>
      <w:r w:rsidRPr="00957880">
        <w:t>Entry of this Order does not indicate the Commission's endorsement or approval of any principle or methodology that may underlie the agreement.  Entry of this Order sh</w:t>
      </w:r>
      <w:r w:rsidR="00A40E05">
        <w:t>all</w:t>
      </w:r>
      <w:r w:rsidRPr="00957880">
        <w:t xml:space="preserve"> not be regarded as binding holding or precedent as to the appropriateness of any principle or methodology underlying the agreement.</w:t>
      </w:r>
    </w:p>
    <w:p w:rsidR="00957880" w:rsidRPr="00957880" w:rsidRDefault="00957880" w:rsidP="00957880">
      <w:pPr>
        <w:pStyle w:val="OrderingParagraph"/>
      </w:pPr>
      <w:r w:rsidRPr="00957880">
        <w:t>All other motions, requests for entry of specific findings of fact or conclusions of law, and any other requests for general or specific relief, if not expressly granted, are denied.</w:t>
      </w:r>
    </w:p>
    <w:p w:rsidR="007A0A55" w:rsidRDefault="007A0A55" w:rsidP="00857C80">
      <w:pPr>
        <w:pStyle w:val="Dateline"/>
        <w:spacing w:before="240"/>
      </w:pPr>
      <w:r>
        <w:t xml:space="preserve">Signed at Austin, Texas the ______ day of </w:t>
      </w:r>
      <w:r w:rsidR="00957880">
        <w:t>June 2017.</w:t>
      </w:r>
    </w:p>
    <w:p w:rsidR="007A0A55" w:rsidRDefault="007A0A55" w:rsidP="007A0A55">
      <w:pPr>
        <w:pStyle w:val="Dateline"/>
      </w:pPr>
    </w:p>
    <w:p w:rsidR="007A0A55" w:rsidRDefault="007A0A55" w:rsidP="007A0A55">
      <w:pPr>
        <w:pStyle w:val="Signatures"/>
      </w:pPr>
      <w:r>
        <w:t>PUBLIC UTILITY COMMISSION OF TEXAS</w:t>
      </w: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E1360F" w:rsidRDefault="00E1360F" w:rsidP="00E1360F">
      <w:pPr>
        <w:pStyle w:val="Signatures"/>
      </w:pPr>
      <w:r w:rsidRPr="00160DCD">
        <w:t>______________________________________________</w:t>
      </w:r>
    </w:p>
    <w:p w:rsidR="00E1360F" w:rsidRDefault="00E1360F" w:rsidP="00E1360F">
      <w:pPr>
        <w:pStyle w:val="Signatures"/>
      </w:pPr>
      <w:r>
        <w:t>KENNETH W. ANDERSON, JR., COMMISSIONER</w:t>
      </w:r>
    </w:p>
    <w:p w:rsidR="00E1360F" w:rsidRDefault="00E1360F" w:rsidP="007A0A55">
      <w:pPr>
        <w:pStyle w:val="Signatures"/>
      </w:pPr>
    </w:p>
    <w:p w:rsidR="00E1360F" w:rsidRDefault="00E1360F" w:rsidP="007A0A55">
      <w:pPr>
        <w:pStyle w:val="Signatures"/>
      </w:pPr>
    </w:p>
    <w:p w:rsidR="00E1360F" w:rsidRDefault="00E1360F" w:rsidP="007A0A55">
      <w:pPr>
        <w:pStyle w:val="Signatures"/>
      </w:pPr>
    </w:p>
    <w:p w:rsidR="007A0A55" w:rsidRDefault="007A0A55" w:rsidP="007A0A55">
      <w:pPr>
        <w:pStyle w:val="Signatures"/>
      </w:pPr>
      <w:r w:rsidRPr="00160DCD">
        <w:t>______________________________________________</w:t>
      </w:r>
    </w:p>
    <w:p w:rsidR="007A0A55" w:rsidRDefault="007A0A55" w:rsidP="007A0A55">
      <w:pPr>
        <w:pStyle w:val="Signatures"/>
      </w:pPr>
      <w:r>
        <w:t>BRANDY MARTY MARQUEZ, COMMISSIONER</w:t>
      </w:r>
    </w:p>
    <w:p w:rsidR="007A0A55" w:rsidRDefault="007A0A55" w:rsidP="007A0A55"/>
    <w:p w:rsidR="007A0A55" w:rsidRDefault="007A0A55" w:rsidP="007A0A55"/>
    <w:p w:rsidR="00A40E05" w:rsidRDefault="00A40E05" w:rsidP="007A0A55">
      <w:pPr>
        <w:pStyle w:val="EndMatter"/>
        <w:rPr>
          <w:sz w:val="16"/>
          <w:szCs w:val="16"/>
        </w:rPr>
      </w:pPr>
    </w:p>
    <w:p w:rsidR="00FE4318" w:rsidRPr="00957880" w:rsidRDefault="00FE4318" w:rsidP="007A0A55">
      <w:pPr>
        <w:pStyle w:val="EndMatter"/>
        <w:rPr>
          <w:sz w:val="16"/>
          <w:szCs w:val="16"/>
        </w:rPr>
      </w:pPr>
      <w:r w:rsidRPr="00957880">
        <w:rPr>
          <w:sz w:val="16"/>
          <w:szCs w:val="16"/>
        </w:rPr>
        <w:t>W2013</w:t>
      </w:r>
    </w:p>
    <w:p w:rsidR="00160DCD" w:rsidRPr="00957880" w:rsidRDefault="00EF536A" w:rsidP="007A0A55">
      <w:pPr>
        <w:pStyle w:val="EndMatter"/>
        <w:rPr>
          <w:sz w:val="16"/>
          <w:szCs w:val="16"/>
        </w:rPr>
      </w:pPr>
      <w:r w:rsidRPr="00957880">
        <w:rPr>
          <w:sz w:val="16"/>
          <w:szCs w:val="16"/>
        </w:rPr>
        <w:fldChar w:fldCharType="begin"/>
      </w:r>
      <w:r w:rsidRPr="00957880">
        <w:rPr>
          <w:sz w:val="16"/>
          <w:szCs w:val="16"/>
        </w:rPr>
        <w:instrText xml:space="preserve"> FILENAME  \* Lower \p  \* MERGEFORMAT </w:instrText>
      </w:r>
      <w:r w:rsidRPr="00957880">
        <w:rPr>
          <w:sz w:val="16"/>
          <w:szCs w:val="16"/>
        </w:rPr>
        <w:fldChar w:fldCharType="separate"/>
      </w:r>
      <w:r w:rsidR="00B77A2D">
        <w:rPr>
          <w:noProof/>
          <w:sz w:val="16"/>
          <w:szCs w:val="16"/>
        </w:rPr>
        <w:t>q:\cadm\orders\final\46000\46069fo.docx</w:t>
      </w:r>
      <w:r w:rsidRPr="00957880">
        <w:rPr>
          <w:noProof/>
          <w:sz w:val="16"/>
          <w:szCs w:val="16"/>
        </w:rPr>
        <w:fldChar w:fldCharType="end"/>
      </w:r>
    </w:p>
    <w:p w:rsidR="007A0A55" w:rsidRPr="007A0A55" w:rsidRDefault="007A0A55" w:rsidP="007A0A55">
      <w:pPr>
        <w:pStyle w:val="EndMatter"/>
        <w:rPr>
          <w:sz w:val="24"/>
          <w:szCs w:val="24"/>
        </w:rPr>
      </w:pPr>
    </w:p>
    <w:sectPr w:rsidR="007A0A55" w:rsidRPr="007A0A55" w:rsidSect="00A3793B">
      <w:headerReference w:type="default" r:id="rId8"/>
      <w:pgSz w:w="12240" w:h="15840"/>
      <w:pgMar w:top="129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385" w:rsidRDefault="00DD0385" w:rsidP="00D03394">
      <w:r>
        <w:separator/>
      </w:r>
    </w:p>
  </w:endnote>
  <w:endnote w:type="continuationSeparator" w:id="0">
    <w:p w:rsidR="00DD0385" w:rsidRDefault="00DD0385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385" w:rsidRDefault="00DD0385" w:rsidP="00D03394">
      <w:r>
        <w:separator/>
      </w:r>
    </w:p>
  </w:footnote>
  <w:footnote w:type="continuationSeparator" w:id="0">
    <w:p w:rsidR="00DD0385" w:rsidRDefault="00DD0385" w:rsidP="00D03394">
      <w:r>
        <w:continuationSeparator/>
      </w:r>
    </w:p>
  </w:footnote>
  <w:footnote w:id="1">
    <w:p w:rsidR="00813D7E" w:rsidRDefault="00813D7E" w:rsidP="00D716CC">
      <w:pPr>
        <w:pStyle w:val="FootnoteText"/>
        <w:spacing w:after="120"/>
      </w:pPr>
      <w:r>
        <w:rPr>
          <w:rStyle w:val="FootnoteReference"/>
        </w:rPr>
        <w:footnoteRef/>
      </w:r>
      <w:r w:rsidR="00D716CC">
        <w:t xml:space="preserve">   </w:t>
      </w:r>
      <w:r>
        <w:t xml:space="preserve">Tex. Water Code Ann. </w:t>
      </w:r>
      <w:r w:rsidRPr="007A0A55">
        <w:t>§ 13.187</w:t>
      </w:r>
      <w:r w:rsidR="00231A33">
        <w:t>1</w:t>
      </w:r>
      <w:r>
        <w:t xml:space="preserve"> (West 2008 &amp; Supp. 2016) (TWC).</w:t>
      </w:r>
    </w:p>
  </w:footnote>
  <w:footnote w:id="2">
    <w:p w:rsidR="000C2354" w:rsidRDefault="000C2354" w:rsidP="00D716CC">
      <w:pPr>
        <w:pStyle w:val="FootnoteText"/>
        <w:jc w:val="both"/>
      </w:pPr>
      <w:r>
        <w:rPr>
          <w:rStyle w:val="FootnoteReference"/>
        </w:rPr>
        <w:footnoteRef/>
      </w:r>
      <w:r w:rsidR="00D716CC">
        <w:t xml:space="preserve">  </w:t>
      </w:r>
      <w:r w:rsidR="00231A33">
        <w:t>T</w:t>
      </w:r>
      <w:r>
        <w:t xml:space="preserve">he </w:t>
      </w:r>
      <w:r w:rsidR="00231A33">
        <w:t xml:space="preserve">notice provided to customers </w:t>
      </w:r>
      <w:r w:rsidR="00D716CC">
        <w:t>indicates a revenue requirement increase of $66,854 for water and $64,040 for sewer.</w:t>
      </w:r>
    </w:p>
  </w:footnote>
  <w:footnote w:id="3">
    <w:p w:rsidR="009C2FCD" w:rsidRDefault="009C2FC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C5BAE">
        <w:t>Tex</w:t>
      </w:r>
      <w:r>
        <w:t>. Gov’t</w:t>
      </w:r>
      <w:r w:rsidRPr="004C5BAE">
        <w:t xml:space="preserve"> Code Ann</w:t>
      </w:r>
      <w:r>
        <w:t>.</w:t>
      </w:r>
      <w:r w:rsidRPr="004C5BAE">
        <w:t xml:space="preserve"> §§ 2001.001-.902 (West 2008 </w:t>
      </w:r>
      <w:r>
        <w:t>&amp;</w:t>
      </w:r>
      <w:r w:rsidRPr="004C5BAE">
        <w:t xml:space="preserve"> Supp. 201</w:t>
      </w:r>
      <w:r>
        <w:t>6</w:t>
      </w:r>
      <w:r w:rsidRPr="004C5BAE">
        <w:t>) (APA)</w:t>
      </w:r>
      <w:r w:rsidR="00A40E05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D540C9">
    <w:pPr>
      <w:pStyle w:val="Header"/>
      <w:tabs>
        <w:tab w:val="clear" w:pos="4680"/>
        <w:tab w:val="center" w:pos="4950"/>
      </w:tabs>
    </w:pPr>
    <w:r>
      <w:t>PUC Docket No. </w:t>
    </w:r>
    <w:r w:rsidR="006875C6">
      <w:t>46069</w:t>
    </w:r>
    <w:r>
      <w:tab/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F6973">
      <w:rPr>
        <w:noProof/>
      </w:rPr>
      <w:t>7</w:t>
    </w:r>
    <w:r>
      <w:fldChar w:fldCharType="end"/>
    </w:r>
    <w:r>
      <w:t xml:space="preserve"> of </w:t>
    </w:r>
    <w:r w:rsidR="002F6973">
      <w:fldChar w:fldCharType="begin"/>
    </w:r>
    <w:r w:rsidR="002F6973">
      <w:instrText xml:space="preserve"> NUMPAGES   \* MERGEFORMAT</w:instrText>
    </w:r>
    <w:r w:rsidR="002F6973">
      <w:instrText xml:space="preserve"> </w:instrText>
    </w:r>
    <w:r w:rsidR="002F6973">
      <w:fldChar w:fldCharType="separate"/>
    </w:r>
    <w:r w:rsidR="002F6973">
      <w:rPr>
        <w:noProof/>
      </w:rPr>
      <w:t>7</w:t>
    </w:r>
    <w:r w:rsidR="002F6973">
      <w:rPr>
        <w:noProof/>
      </w:rPr>
      <w:fldChar w:fldCharType="end"/>
    </w:r>
  </w:p>
  <w:p w:rsidR="00ED04FC" w:rsidRDefault="00ED04FC">
    <w:pPr>
      <w:pStyle w:val="Header"/>
    </w:pPr>
    <w:r>
      <w:t>SOAH Docket No. 473-</w:t>
    </w:r>
    <w:r w:rsidR="006875C6">
      <w:t>17</w:t>
    </w:r>
    <w:r>
      <w:t>-</w:t>
    </w:r>
    <w:r w:rsidR="006875C6">
      <w:t>1434.WS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CB4"/>
    <w:multiLevelType w:val="multilevel"/>
    <w:tmpl w:val="D0AC0282"/>
    <w:lvl w:ilvl="0">
      <w:start w:val="15"/>
      <w:numFmt w:val="lowerLetter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3752AE9"/>
    <w:multiLevelType w:val="multilevel"/>
    <w:tmpl w:val="C41CFCC0"/>
    <w:lvl w:ilvl="0">
      <w:start w:val="3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1992"/>
    <w:multiLevelType w:val="multilevel"/>
    <w:tmpl w:val="484CD922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DE405D"/>
    <w:multiLevelType w:val="multilevel"/>
    <w:tmpl w:val="C4B01622"/>
    <w:lvl w:ilvl="0">
      <w:start w:val="33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DD0A90"/>
    <w:multiLevelType w:val="multilevel"/>
    <w:tmpl w:val="C78850C0"/>
    <w:lvl w:ilvl="0">
      <w:start w:val="2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E343F8"/>
    <w:multiLevelType w:val="multilevel"/>
    <w:tmpl w:val="89AC10FC"/>
    <w:lvl w:ilvl="0">
      <w:start w:val="2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 w15:restartNumberingAfterBreak="0">
    <w:nsid w:val="3FA54F07"/>
    <w:multiLevelType w:val="multilevel"/>
    <w:tmpl w:val="EDC68C70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0E7535"/>
    <w:multiLevelType w:val="multilevel"/>
    <w:tmpl w:val="7CE83C8C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1D5495"/>
    <w:multiLevelType w:val="multilevel"/>
    <w:tmpl w:val="384E84C8"/>
    <w:lvl w:ilvl="0">
      <w:start w:val="18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7E1180"/>
    <w:multiLevelType w:val="multilevel"/>
    <w:tmpl w:val="07D6DE50"/>
    <w:lvl w:ilvl="0">
      <w:start w:val="28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75D52FC1"/>
    <w:multiLevelType w:val="multilevel"/>
    <w:tmpl w:val="8954CB40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5"/>
  </w:num>
  <w:num w:numId="5">
    <w:abstractNumId w:val="8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10"/>
  </w:num>
  <w:num w:numId="17">
    <w:abstractNumId w:val="2"/>
  </w:num>
  <w:num w:numId="18">
    <w:abstractNumId w:val="16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A9"/>
    <w:rsid w:val="000331DF"/>
    <w:rsid w:val="0003423D"/>
    <w:rsid w:val="000800FB"/>
    <w:rsid w:val="00080434"/>
    <w:rsid w:val="0008188E"/>
    <w:rsid w:val="00085B3C"/>
    <w:rsid w:val="000A10B4"/>
    <w:rsid w:val="000C2354"/>
    <w:rsid w:val="000C3685"/>
    <w:rsid w:val="000E17C7"/>
    <w:rsid w:val="000E5DBE"/>
    <w:rsid w:val="00103211"/>
    <w:rsid w:val="001106B9"/>
    <w:rsid w:val="001169CA"/>
    <w:rsid w:val="00122958"/>
    <w:rsid w:val="00160DCD"/>
    <w:rsid w:val="0018234A"/>
    <w:rsid w:val="00193A17"/>
    <w:rsid w:val="001A3B23"/>
    <w:rsid w:val="001A45B0"/>
    <w:rsid w:val="001D31CF"/>
    <w:rsid w:val="001D4F4B"/>
    <w:rsid w:val="001E360C"/>
    <w:rsid w:val="001E578E"/>
    <w:rsid w:val="001F4833"/>
    <w:rsid w:val="002057A3"/>
    <w:rsid w:val="00231A33"/>
    <w:rsid w:val="00266F9F"/>
    <w:rsid w:val="002E5563"/>
    <w:rsid w:val="002F2629"/>
    <w:rsid w:val="002F6973"/>
    <w:rsid w:val="00305539"/>
    <w:rsid w:val="00312838"/>
    <w:rsid w:val="00334110"/>
    <w:rsid w:val="00374682"/>
    <w:rsid w:val="00380F30"/>
    <w:rsid w:val="003A6131"/>
    <w:rsid w:val="004007A2"/>
    <w:rsid w:val="00422110"/>
    <w:rsid w:val="00427DD4"/>
    <w:rsid w:val="00433B5E"/>
    <w:rsid w:val="00435ACF"/>
    <w:rsid w:val="00435BE7"/>
    <w:rsid w:val="004850AF"/>
    <w:rsid w:val="004A540B"/>
    <w:rsid w:val="004D78C5"/>
    <w:rsid w:val="004E082A"/>
    <w:rsid w:val="004F54C0"/>
    <w:rsid w:val="004F667F"/>
    <w:rsid w:val="00510964"/>
    <w:rsid w:val="005A021A"/>
    <w:rsid w:val="005A3A58"/>
    <w:rsid w:val="005C0B2D"/>
    <w:rsid w:val="005C1152"/>
    <w:rsid w:val="005C3512"/>
    <w:rsid w:val="005F1B99"/>
    <w:rsid w:val="005F5DA9"/>
    <w:rsid w:val="00610578"/>
    <w:rsid w:val="00615626"/>
    <w:rsid w:val="0062202F"/>
    <w:rsid w:val="00625CAC"/>
    <w:rsid w:val="00633391"/>
    <w:rsid w:val="00637CB2"/>
    <w:rsid w:val="00677B5E"/>
    <w:rsid w:val="006875C6"/>
    <w:rsid w:val="00694CC2"/>
    <w:rsid w:val="006B72B1"/>
    <w:rsid w:val="006D3CCC"/>
    <w:rsid w:val="006D4350"/>
    <w:rsid w:val="006E31F7"/>
    <w:rsid w:val="00732660"/>
    <w:rsid w:val="00733B60"/>
    <w:rsid w:val="00737E72"/>
    <w:rsid w:val="0074519C"/>
    <w:rsid w:val="007572FC"/>
    <w:rsid w:val="007613AB"/>
    <w:rsid w:val="007727E2"/>
    <w:rsid w:val="007801EF"/>
    <w:rsid w:val="007A0A55"/>
    <w:rsid w:val="007B3E6C"/>
    <w:rsid w:val="007E2395"/>
    <w:rsid w:val="007E4120"/>
    <w:rsid w:val="0080046C"/>
    <w:rsid w:val="00813D7E"/>
    <w:rsid w:val="00857C80"/>
    <w:rsid w:val="008738BF"/>
    <w:rsid w:val="00883AD9"/>
    <w:rsid w:val="008B0E5D"/>
    <w:rsid w:val="008C2C4C"/>
    <w:rsid w:val="008C6BD9"/>
    <w:rsid w:val="008D1724"/>
    <w:rsid w:val="008D4797"/>
    <w:rsid w:val="008F180A"/>
    <w:rsid w:val="0090172A"/>
    <w:rsid w:val="00906351"/>
    <w:rsid w:val="00906D1E"/>
    <w:rsid w:val="00920532"/>
    <w:rsid w:val="00920FC6"/>
    <w:rsid w:val="009312A8"/>
    <w:rsid w:val="009324A7"/>
    <w:rsid w:val="00957880"/>
    <w:rsid w:val="0096320F"/>
    <w:rsid w:val="009727E0"/>
    <w:rsid w:val="009753C3"/>
    <w:rsid w:val="00995CA1"/>
    <w:rsid w:val="009C1919"/>
    <w:rsid w:val="009C2E38"/>
    <w:rsid w:val="009C2FCD"/>
    <w:rsid w:val="009D4541"/>
    <w:rsid w:val="009E554D"/>
    <w:rsid w:val="00A035EA"/>
    <w:rsid w:val="00A13AF3"/>
    <w:rsid w:val="00A34BDB"/>
    <w:rsid w:val="00A3793B"/>
    <w:rsid w:val="00A40798"/>
    <w:rsid w:val="00A40E05"/>
    <w:rsid w:val="00A66045"/>
    <w:rsid w:val="00A976B9"/>
    <w:rsid w:val="00AC4369"/>
    <w:rsid w:val="00AC5E8C"/>
    <w:rsid w:val="00B01312"/>
    <w:rsid w:val="00B02963"/>
    <w:rsid w:val="00B16917"/>
    <w:rsid w:val="00B20746"/>
    <w:rsid w:val="00B22348"/>
    <w:rsid w:val="00B41420"/>
    <w:rsid w:val="00B527E0"/>
    <w:rsid w:val="00B5382F"/>
    <w:rsid w:val="00B71CA8"/>
    <w:rsid w:val="00B77A2D"/>
    <w:rsid w:val="00B77D0E"/>
    <w:rsid w:val="00B853C5"/>
    <w:rsid w:val="00B86B95"/>
    <w:rsid w:val="00BC1591"/>
    <w:rsid w:val="00BC6A92"/>
    <w:rsid w:val="00BD2C67"/>
    <w:rsid w:val="00C54659"/>
    <w:rsid w:val="00CC2592"/>
    <w:rsid w:val="00D03394"/>
    <w:rsid w:val="00D1503F"/>
    <w:rsid w:val="00D220EA"/>
    <w:rsid w:val="00D3302B"/>
    <w:rsid w:val="00D40519"/>
    <w:rsid w:val="00D451DC"/>
    <w:rsid w:val="00D540C9"/>
    <w:rsid w:val="00D576C1"/>
    <w:rsid w:val="00D65F1F"/>
    <w:rsid w:val="00D706B4"/>
    <w:rsid w:val="00D716CC"/>
    <w:rsid w:val="00D873C4"/>
    <w:rsid w:val="00D91573"/>
    <w:rsid w:val="00DC4B67"/>
    <w:rsid w:val="00DD0385"/>
    <w:rsid w:val="00DF62CF"/>
    <w:rsid w:val="00DF707B"/>
    <w:rsid w:val="00E1360F"/>
    <w:rsid w:val="00E27F95"/>
    <w:rsid w:val="00E46F3D"/>
    <w:rsid w:val="00E566AA"/>
    <w:rsid w:val="00E63452"/>
    <w:rsid w:val="00E7204A"/>
    <w:rsid w:val="00EB04E9"/>
    <w:rsid w:val="00EB3FB6"/>
    <w:rsid w:val="00EB633F"/>
    <w:rsid w:val="00ED04FC"/>
    <w:rsid w:val="00ED7EDD"/>
    <w:rsid w:val="00EE5DDA"/>
    <w:rsid w:val="00EE7C2F"/>
    <w:rsid w:val="00EF334E"/>
    <w:rsid w:val="00EF536A"/>
    <w:rsid w:val="00F76AB3"/>
    <w:rsid w:val="00F85D53"/>
    <w:rsid w:val="00F93E27"/>
    <w:rsid w:val="00FA1E83"/>
    <w:rsid w:val="00FA66F1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5:chartTrackingRefBased/>
  <w15:docId w15:val="{9CD85E25-E0FC-4392-9AFF-17C09F8A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table" w:styleId="LightList">
    <w:name w:val="Light List"/>
    <w:basedOn w:val="TableNormal"/>
    <w:uiPriority w:val="61"/>
    <w:rsid w:val="003A613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3CB5-7279-49C3-8D86-B52629E4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3</TotalTime>
  <Pages>7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Hicks, Ruby</cp:lastModifiedBy>
  <cp:revision>8</cp:revision>
  <cp:lastPrinted>2017-05-10T19:41:00Z</cp:lastPrinted>
  <dcterms:created xsi:type="dcterms:W3CDTF">2017-05-31T13:24:00Z</dcterms:created>
  <dcterms:modified xsi:type="dcterms:W3CDTF">2017-06-06T20:04:00Z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