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B22" w:rsidRPr="003C35B5" w:rsidRDefault="00275B22">
      <w:pPr>
        <w:spacing w:before="0" w:line="240" w:lineRule="auto"/>
        <w:jc w:val="center"/>
        <w:rPr>
          <w:b/>
        </w:rPr>
      </w:pPr>
      <w:bookmarkStart w:id="0" w:name="_GoBack"/>
      <w:bookmarkEnd w:id="0"/>
      <w:r w:rsidRPr="003C35B5">
        <w:rPr>
          <w:b/>
        </w:rPr>
        <w:t xml:space="preserve">PUC DOCKET NO. </w:t>
      </w:r>
      <w:r w:rsidR="002A67F6">
        <w:rPr>
          <w:b/>
        </w:rPr>
        <w:t>45702</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A67F6" w:rsidRPr="003C35B5">
        <w:tc>
          <w:tcPr>
            <w:tcW w:w="4698" w:type="dxa"/>
          </w:tcPr>
          <w:p w:rsidR="002A67F6" w:rsidRPr="000E502A" w:rsidRDefault="002A67F6" w:rsidP="002A67F6">
            <w:pPr>
              <w:spacing w:before="0" w:line="240" w:lineRule="auto"/>
              <w:contextualSpacing/>
            </w:pPr>
            <w:r w:rsidRPr="000E502A">
              <w:rPr>
                <w:b/>
              </w:rPr>
              <w:t>APPLICATION OF CITY OF CIBOLO FOR SINGLE CERTIFICATION IN INCORPORATED AREA AND TO DECERTIFY PORTIONS OF GREEN VALLEY SPECIAL UTILITY DISCTRICT’S SEWER CERTIFICATE OF CONVENIENCE AND NECESSITY IN GUADALUPE COUNTY</w:t>
            </w:r>
          </w:p>
        </w:tc>
        <w:tc>
          <w:tcPr>
            <w:tcW w:w="360" w:type="dxa"/>
          </w:tcPr>
          <w:p w:rsidR="002A67F6" w:rsidRPr="000E502A" w:rsidRDefault="002A67F6" w:rsidP="002A67F6">
            <w:pPr>
              <w:spacing w:before="0" w:line="240" w:lineRule="auto"/>
              <w:ind w:right="576"/>
              <w:contextualSpacing/>
              <w:rPr>
                <w:b/>
              </w:rPr>
            </w:pPr>
            <w:r w:rsidRPr="000E502A">
              <w:rPr>
                <w:b/>
              </w:rPr>
              <w:t>§§§§§§§§</w:t>
            </w:r>
          </w:p>
        </w:tc>
        <w:tc>
          <w:tcPr>
            <w:tcW w:w="4518" w:type="dxa"/>
          </w:tcPr>
          <w:p w:rsidR="002A67F6" w:rsidRPr="000E502A" w:rsidRDefault="002A67F6" w:rsidP="002A67F6">
            <w:pPr>
              <w:spacing w:before="0" w:line="240" w:lineRule="auto"/>
              <w:contextualSpacing/>
              <w:jc w:val="center"/>
              <w:rPr>
                <w:b/>
              </w:rPr>
            </w:pPr>
            <w:r w:rsidRPr="000E502A">
              <w:rPr>
                <w:b/>
              </w:rPr>
              <w:t>PUBLIC UTILITY COMMISSION</w:t>
            </w:r>
          </w:p>
          <w:p w:rsidR="002A67F6" w:rsidRPr="000E502A" w:rsidRDefault="002A67F6" w:rsidP="002A67F6">
            <w:pPr>
              <w:spacing w:before="0" w:line="240" w:lineRule="auto"/>
              <w:contextualSpacing/>
              <w:jc w:val="center"/>
              <w:rPr>
                <w:b/>
              </w:rPr>
            </w:pPr>
          </w:p>
          <w:p w:rsidR="002A67F6" w:rsidRPr="000E502A" w:rsidRDefault="002A67F6" w:rsidP="002A67F6">
            <w:pPr>
              <w:spacing w:before="0" w:line="240" w:lineRule="auto"/>
              <w:contextualSpacing/>
              <w:jc w:val="center"/>
              <w:rPr>
                <w:b/>
              </w:rPr>
            </w:pPr>
            <w:r w:rsidRPr="000E502A">
              <w:rPr>
                <w:b/>
              </w:rPr>
              <w:t>OF TEXAS</w:t>
            </w:r>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jc w:val="center"/>
      </w:pPr>
      <w:r w:rsidRPr="003C35B5">
        <w:rPr>
          <w:b/>
        </w:rPr>
        <w:t>PRELIMINARY ORDER</w:t>
      </w:r>
    </w:p>
    <w:p w:rsidR="00275B22" w:rsidRPr="003C35B5" w:rsidRDefault="00275B22">
      <w:pPr>
        <w:spacing w:before="0"/>
        <w:jc w:val="center"/>
        <w:rPr>
          <w:b/>
        </w:rPr>
      </w:pPr>
    </w:p>
    <w:p w:rsidR="002A67F6" w:rsidRPr="002A67F6" w:rsidRDefault="00275B22" w:rsidP="00E90AFD">
      <w:pPr>
        <w:pStyle w:val="BodyText"/>
      </w:pPr>
      <w:r w:rsidRPr="003C35B5">
        <w:rPr>
          <w:b/>
        </w:rPr>
        <w:tab/>
      </w:r>
      <w:r w:rsidR="002A67F6" w:rsidRPr="002A67F6">
        <w:t xml:space="preserve">On March 8, 2016, the city of Cibolo filed an application seeking single certification of a sewer service area within Cibolo’s corporate limits and decertification of that portion of Green Valley Special Utility District's sewer certificate of convenience and necessity (CCN), under Texas Water Code (TWC) § 13.255 and 16 Texas Administrative Code (TAC) § 24.120.  </w:t>
      </w:r>
    </w:p>
    <w:p w:rsidR="002A67F6" w:rsidRDefault="002A67F6" w:rsidP="00E90AFD">
      <w:pPr>
        <w:pStyle w:val="BodyText"/>
        <w:ind w:firstLine="720"/>
      </w:pPr>
      <w:r w:rsidRPr="002A67F6">
        <w:t>On April 22, 2016, Green Valley filed a motion to intervene, and in Order No. 3, issued on April 28, 2016, the Commission administrative law judge (ALJ) granted that motion.  On April 29, 2016, Green Valley filed a pleading styled as a plea to the jurisdiction and motion to dismiss, arguing in part that Cibolo’s application must be dismissed for lack of jurisdiction because Green Valley holds a United States Department of Agriculture (USDA) rural-development loan, and therefore section 1926(b) of the Federal Consolidated Farm and Rural Development Act bars municipal encroachment of Green Valley’s sewer CCN.</w:t>
      </w:r>
      <w:r w:rsidRPr="002A67F6">
        <w:rPr>
          <w:rStyle w:val="FootnoteReference"/>
        </w:rPr>
        <w:footnoteReference w:id="1"/>
      </w:r>
    </w:p>
    <w:p w:rsidR="00275B22" w:rsidRPr="003C35B5" w:rsidRDefault="00DC241F" w:rsidP="00E90AFD">
      <w:pPr>
        <w:pStyle w:val="BodyText"/>
        <w:ind w:firstLine="720"/>
      </w:pPr>
      <w:r>
        <w:t>On May 4, 2016, the Commission issued an order requiring Cibolo and inviting other interested parties to file a list of issues to be addressed in this proceeding.  Cibolo, Green Valley, and Commission Staff each timely filed lists of issues.  In response to proposed threshold issues, on May 27, 2016, parties were invited to submit initial and reply briefs on two threshold issues.</w:t>
      </w:r>
      <w:r w:rsidR="00E722B1">
        <w:t xml:space="preserve">  Cibolo, Green Valley, and Commission Staff each filed initial briefs on June 6, 2016.  Cibolo, </w:t>
      </w:r>
      <w:r w:rsidR="00E722B1">
        <w:lastRenderedPageBreak/>
        <w:t xml:space="preserve">Green Valley, Commission Staff, and the Texas Municipal League filed </w:t>
      </w:r>
      <w:r w:rsidR="004C68D3">
        <w:t xml:space="preserve">separate </w:t>
      </w:r>
      <w:r w:rsidR="00E722B1">
        <w:t xml:space="preserve">reply briefs </w:t>
      </w:r>
      <w:r w:rsidR="004C68D3">
        <w:t xml:space="preserve">or comments </w:t>
      </w:r>
      <w:r w:rsidR="00E722B1">
        <w:t>on June 14.</w:t>
      </w:r>
    </w:p>
    <w:p w:rsidR="007F3C40" w:rsidRPr="003C35B5" w:rsidRDefault="007F3C40" w:rsidP="00CC4119">
      <w:pPr>
        <w:jc w:val="center"/>
      </w:pPr>
      <w:r w:rsidRPr="003C35B5">
        <w:rPr>
          <w:b/>
        </w:rPr>
        <w:t>I.  Threshold Legal/Policy Determinations</w:t>
      </w:r>
    </w:p>
    <w:p w:rsidR="007F3C40" w:rsidRPr="003C35B5" w:rsidRDefault="007F3C40" w:rsidP="007F3C40">
      <w:pPr>
        <w:spacing w:before="0"/>
      </w:pPr>
      <w:r w:rsidRPr="003C35B5">
        <w:tab/>
        <w:t xml:space="preserve">Parties filed briefs addressing the following </w:t>
      </w:r>
      <w:r w:rsidR="005E1F28">
        <w:t xml:space="preserve">threshold </w:t>
      </w:r>
      <w:r w:rsidRPr="003C35B5">
        <w:t xml:space="preserve">legal and policy questions. </w:t>
      </w:r>
      <w:r w:rsidR="00846D47">
        <w:t xml:space="preserve"> After</w:t>
      </w:r>
      <w:r w:rsidRPr="003C35B5">
        <w:t xml:space="preserve"> consider</w:t>
      </w:r>
      <w:r w:rsidR="00D070A5">
        <w:t>ation</w:t>
      </w:r>
      <w:r w:rsidRPr="003C35B5">
        <w:t xml:space="preserve"> of parties</w:t>
      </w:r>
      <w:r w:rsidR="00C6295E">
        <w:t>’ arguments</w:t>
      </w:r>
      <w:r w:rsidR="00846D47">
        <w:t>, the Commission reaches the following determinations.</w:t>
      </w:r>
      <w:r w:rsidRPr="003C35B5">
        <w:t xml:space="preserve">  </w:t>
      </w:r>
    </w:p>
    <w:p w:rsidR="007F3C40" w:rsidRPr="003C35B5" w:rsidRDefault="007F3C40" w:rsidP="007F3C40">
      <w:pPr>
        <w:spacing w:before="0"/>
      </w:pPr>
    </w:p>
    <w:p w:rsidR="00203F6D" w:rsidRPr="00203F6D" w:rsidRDefault="00203F6D" w:rsidP="00203F6D">
      <w:pPr>
        <w:pStyle w:val="ItemList"/>
        <w:numPr>
          <w:ilvl w:val="0"/>
          <w:numId w:val="11"/>
        </w:numPr>
        <w:spacing w:before="0"/>
        <w:ind w:left="720" w:hanging="720"/>
        <w:rPr>
          <w:b/>
          <w:bCs/>
        </w:rPr>
      </w:pPr>
      <w:r w:rsidRPr="00203F6D">
        <w:rPr>
          <w:b/>
          <w:bCs/>
        </w:rPr>
        <w:t>May the Commission deny a municipality’s application seeking single certification under TWC § 13.255 solely on the basis that a retail public utility that holds a CCN for all or part of the requested service area is also a holder of a federal loan made under section 1926(a) of the Federal Consolidated Farm and Rural Development Act?  In answering this issue, please address whether the Commission has authority to determine whether a federal statute preempts state law.</w:t>
      </w:r>
    </w:p>
    <w:p w:rsidR="007F3C40" w:rsidRDefault="009E5C26" w:rsidP="00113BB2">
      <w:pPr>
        <w:ind w:firstLine="720"/>
      </w:pPr>
      <w:r w:rsidRPr="00C816B8">
        <w:t>It is well established that a</w:t>
      </w:r>
      <w:r w:rsidR="00A13E8C" w:rsidRPr="00C816B8">
        <w:t xml:space="preserve"> Texas </w:t>
      </w:r>
      <w:r w:rsidR="001B54C0" w:rsidRPr="00C816B8">
        <w:t>administrative agenc</w:t>
      </w:r>
      <w:r w:rsidR="00A13E8C" w:rsidRPr="00C816B8">
        <w:t>y</w:t>
      </w:r>
      <w:r w:rsidR="001B54C0" w:rsidRPr="00C816B8">
        <w:t xml:space="preserve">, </w:t>
      </w:r>
      <w:r w:rsidR="00A13E8C" w:rsidRPr="00C816B8">
        <w:t>such as</w:t>
      </w:r>
      <w:r w:rsidR="001B54C0" w:rsidRPr="00C816B8">
        <w:t xml:space="preserve"> th</w:t>
      </w:r>
      <w:r w:rsidR="00A13E8C" w:rsidRPr="00C816B8">
        <w:t>e</w:t>
      </w:r>
      <w:r w:rsidR="001B54C0" w:rsidRPr="00C816B8">
        <w:t xml:space="preserve"> Commission, </w:t>
      </w:r>
      <w:r w:rsidR="00A13E8C" w:rsidRPr="00C816B8">
        <w:t xml:space="preserve">may </w:t>
      </w:r>
      <w:r w:rsidR="001B54C0" w:rsidRPr="00C816B8">
        <w:t xml:space="preserve">only </w:t>
      </w:r>
      <w:r w:rsidR="00A13E8C" w:rsidRPr="00C816B8">
        <w:t xml:space="preserve">exercise </w:t>
      </w:r>
      <w:r w:rsidR="001B54C0" w:rsidRPr="00C816B8">
        <w:t xml:space="preserve">those </w:t>
      </w:r>
      <w:r w:rsidR="0017246C" w:rsidRPr="00C816B8">
        <w:t xml:space="preserve">specific </w:t>
      </w:r>
      <w:r w:rsidR="001B54C0" w:rsidRPr="00C816B8">
        <w:t xml:space="preserve">powers </w:t>
      </w:r>
      <w:r w:rsidRPr="00C816B8">
        <w:t xml:space="preserve">that </w:t>
      </w:r>
      <w:r w:rsidR="00A13E8C" w:rsidRPr="00C816B8">
        <w:t xml:space="preserve">the Legislature has </w:t>
      </w:r>
      <w:r w:rsidR="001B54C0" w:rsidRPr="00C816B8">
        <w:t>delegated to it</w:t>
      </w:r>
      <w:r w:rsidR="00A13E8C" w:rsidRPr="00C816B8">
        <w:t>.</w:t>
      </w:r>
      <w:r w:rsidR="00A13E8C" w:rsidRPr="00C816B8">
        <w:rPr>
          <w:rStyle w:val="FootnoteReference"/>
        </w:rPr>
        <w:footnoteReference w:id="2"/>
      </w:r>
      <w:r w:rsidR="00A13E8C" w:rsidRPr="00C816B8">
        <w:t xml:space="preserve"> </w:t>
      </w:r>
      <w:r w:rsidR="001B54C0" w:rsidRPr="00C816B8">
        <w:t xml:space="preserve"> </w:t>
      </w:r>
      <w:r w:rsidRPr="00C816B8">
        <w:rPr>
          <w:szCs w:val="24"/>
        </w:rPr>
        <w:t xml:space="preserve">Such agency authority may be found in </w:t>
      </w:r>
      <w:r w:rsidR="0017246C" w:rsidRPr="00C816B8">
        <w:rPr>
          <w:szCs w:val="24"/>
        </w:rPr>
        <w:t>“clear and express</w:t>
      </w:r>
      <w:r w:rsidRPr="00C816B8">
        <w:rPr>
          <w:szCs w:val="24"/>
        </w:rPr>
        <w:t>”</w:t>
      </w:r>
      <w:r w:rsidRPr="00C816B8">
        <w:rPr>
          <w:rStyle w:val="FootnoteReference"/>
          <w:szCs w:val="22"/>
        </w:rPr>
        <w:footnoteReference w:id="3"/>
      </w:r>
      <w:r w:rsidRPr="00C816B8">
        <w:rPr>
          <w:sz w:val="22"/>
          <w:szCs w:val="22"/>
        </w:rPr>
        <w:t xml:space="preserve"> </w:t>
      </w:r>
      <w:r w:rsidRPr="00C816B8">
        <w:rPr>
          <w:szCs w:val="24"/>
        </w:rPr>
        <w:t xml:space="preserve">statutory language, as well as </w:t>
      </w:r>
      <w:r w:rsidR="0017246C" w:rsidRPr="00C816B8">
        <w:rPr>
          <w:szCs w:val="24"/>
        </w:rPr>
        <w:t>"whatever power is reasonably necessary to fulfill a</w:t>
      </w:r>
      <w:r w:rsidRPr="00C816B8">
        <w:rPr>
          <w:szCs w:val="24"/>
        </w:rPr>
        <w:t xml:space="preserve"> </w:t>
      </w:r>
      <w:r w:rsidR="0017246C" w:rsidRPr="00C816B8">
        <w:rPr>
          <w:szCs w:val="24"/>
        </w:rPr>
        <w:t xml:space="preserve">function or perform a duty that the </w:t>
      </w:r>
      <w:r w:rsidRPr="00C816B8">
        <w:rPr>
          <w:szCs w:val="24"/>
        </w:rPr>
        <w:t>[L]</w:t>
      </w:r>
      <w:proofErr w:type="spellStart"/>
      <w:r w:rsidR="0017246C" w:rsidRPr="00C816B8">
        <w:rPr>
          <w:szCs w:val="24"/>
        </w:rPr>
        <w:t>egislature</w:t>
      </w:r>
      <w:proofErr w:type="spellEnd"/>
      <w:r w:rsidR="0017246C" w:rsidRPr="00C816B8">
        <w:rPr>
          <w:szCs w:val="24"/>
        </w:rPr>
        <w:t xml:space="preserve"> has expressly placed in the agency</w:t>
      </w:r>
      <w:r w:rsidRPr="00C816B8">
        <w:rPr>
          <w:szCs w:val="24"/>
        </w:rPr>
        <w:t>.”</w:t>
      </w:r>
      <w:r w:rsidR="001B54C0" w:rsidRPr="00C816B8">
        <w:rPr>
          <w:rStyle w:val="FootnoteReference"/>
        </w:rPr>
        <w:footnoteReference w:id="4"/>
      </w:r>
      <w:r w:rsidR="001B54C0" w:rsidRPr="00C816B8">
        <w:t xml:space="preserve"> </w:t>
      </w:r>
      <w:r w:rsidRPr="00C816B8">
        <w:t xml:space="preserve"> </w:t>
      </w:r>
      <w:r w:rsidR="00217928">
        <w:t xml:space="preserve">However, “reasonably necessary” is not synonymous </w:t>
      </w:r>
      <w:r w:rsidR="004A37B9">
        <w:t xml:space="preserve">with </w:t>
      </w:r>
      <w:r w:rsidR="00EC6394">
        <w:t>expedient</w:t>
      </w:r>
      <w:r w:rsidR="00217928">
        <w:t>.  A</w:t>
      </w:r>
      <w:r w:rsidR="00C816B8">
        <w:t>n agency may not</w:t>
      </w:r>
      <w:r w:rsidR="00217928">
        <w:t xml:space="preserve"> “exercise </w:t>
      </w:r>
      <w:r w:rsidR="00217928" w:rsidRPr="00217928">
        <w:rPr>
          <w:szCs w:val="24"/>
        </w:rPr>
        <w:t xml:space="preserve">what is effectively a new power, </w:t>
      </w:r>
      <w:r w:rsidR="00217928">
        <w:rPr>
          <w:szCs w:val="24"/>
        </w:rPr>
        <w:t xml:space="preserve">or </w:t>
      </w:r>
      <w:r w:rsidR="00217928" w:rsidRPr="00D070A5">
        <w:rPr>
          <w:i/>
          <w:szCs w:val="24"/>
        </w:rPr>
        <w:t>a power contradictory to the statute</w:t>
      </w:r>
      <w:r w:rsidR="00217928">
        <w:rPr>
          <w:szCs w:val="24"/>
        </w:rPr>
        <w:t xml:space="preserve">” even if it is </w:t>
      </w:r>
      <w:r w:rsidR="005E7D76" w:rsidRPr="00C816B8">
        <w:t>administratively</w:t>
      </w:r>
      <w:r w:rsidR="00EC6394">
        <w:t xml:space="preserve"> useful</w:t>
      </w:r>
      <w:r w:rsidR="005E7D76" w:rsidRPr="00C816B8">
        <w:t>.</w:t>
      </w:r>
      <w:r w:rsidR="005E7D76" w:rsidRPr="00C816B8">
        <w:rPr>
          <w:rStyle w:val="FootnoteReference"/>
        </w:rPr>
        <w:footnoteReference w:id="5"/>
      </w:r>
    </w:p>
    <w:p w:rsidR="00EF1923" w:rsidRDefault="00113BB2" w:rsidP="00113BB2">
      <w:pPr>
        <w:ind w:firstLine="720"/>
      </w:pPr>
      <w:r>
        <w:lastRenderedPageBreak/>
        <w:t>At issue in this proceeding is the Legislature’s explicit directive to the Commission that it “</w:t>
      </w:r>
      <w:r w:rsidRPr="000B00CD">
        <w:rPr>
          <w:i/>
        </w:rPr>
        <w:t>shall</w:t>
      </w:r>
      <w:r>
        <w:t xml:space="preserve"> grant single certification to the municipality” that applies for single certification of an area that has been incorporated or annexed by the municipality.</w:t>
      </w:r>
      <w:r>
        <w:rPr>
          <w:rStyle w:val="FootnoteReference"/>
        </w:rPr>
        <w:footnoteReference w:id="6"/>
      </w:r>
      <w:r>
        <w:t xml:space="preserve"> </w:t>
      </w:r>
      <w:r w:rsidR="009032D6">
        <w:t xml:space="preserve"> </w:t>
      </w:r>
      <w:r w:rsidR="00AF6209">
        <w:t>The Commission must also determine whether the statutorily-mandated grant of single-certification to the municipality will render a certificated retail public utility’s property useless and valueless,</w:t>
      </w:r>
      <w:r w:rsidR="00D070A5">
        <w:t xml:space="preserve"> whether the municipality requests transfer of property,</w:t>
      </w:r>
      <w:r w:rsidR="00AF6209">
        <w:t xml:space="preserve"> and, if so, set the monetary amount that is adequate and just to compensate the retail public utility for such property.</w:t>
      </w:r>
      <w:r w:rsidR="004A37B9">
        <w:rPr>
          <w:rStyle w:val="FootnoteReference"/>
        </w:rPr>
        <w:footnoteReference w:id="7"/>
      </w:r>
      <w:r w:rsidR="00AF6209">
        <w:t xml:space="preserve">  N</w:t>
      </w:r>
      <w:r w:rsidR="00D070A5">
        <w:t>one</w:t>
      </w:r>
      <w:r w:rsidR="00AF6209">
        <w:t xml:space="preserve"> of these additional duties, however, are grounds for the Commission to deny a municipality’s application</w:t>
      </w:r>
      <w:r w:rsidR="00EF1923">
        <w:t xml:space="preserve">, and indeed the only </w:t>
      </w:r>
      <w:r w:rsidR="00D070A5">
        <w:t>basis</w:t>
      </w:r>
      <w:r w:rsidR="00EF1923">
        <w:t xml:space="preserve"> for denial set forth in TWC § 13.255</w:t>
      </w:r>
      <w:r w:rsidR="00AF6209">
        <w:t xml:space="preserve"> </w:t>
      </w:r>
      <w:r w:rsidR="00EF1923">
        <w:t>involves</w:t>
      </w:r>
      <w:r w:rsidR="00AF6209">
        <w:t xml:space="preserve"> </w:t>
      </w:r>
      <w:r w:rsidR="00EF1923">
        <w:t>a municipality’s failure to demonstrate compliance with public</w:t>
      </w:r>
      <w:r w:rsidR="004A37B9">
        <w:t>-</w:t>
      </w:r>
      <w:r w:rsidR="00EF1923">
        <w:t>drinking</w:t>
      </w:r>
      <w:r w:rsidR="004A37B9">
        <w:t>-</w:t>
      </w:r>
      <w:r w:rsidR="00EF1923">
        <w:t xml:space="preserve">water </w:t>
      </w:r>
      <w:r w:rsidR="004A37B9">
        <w:t>requirements set by the Texas Commission on Environmental Quality (TCEQ)</w:t>
      </w:r>
      <w:r w:rsidR="00EF1923">
        <w:t>.</w:t>
      </w:r>
    </w:p>
    <w:p w:rsidR="008D09E6" w:rsidRDefault="009032D6" w:rsidP="00113BB2">
      <w:pPr>
        <w:ind w:firstLine="720"/>
        <w:rPr>
          <w:bCs/>
        </w:rPr>
      </w:pPr>
      <w:r>
        <w:t>Green Valley argues that, despite th</w:t>
      </w:r>
      <w:r w:rsidR="00AF6209">
        <w:t>e</w:t>
      </w:r>
      <w:r>
        <w:t xml:space="preserve"> </w:t>
      </w:r>
      <w:r w:rsidR="00AF6209">
        <w:t xml:space="preserve">language in TWC § 13.255 stating that </w:t>
      </w:r>
      <w:r w:rsidR="00EF1923">
        <w:t>the Commission</w:t>
      </w:r>
      <w:r w:rsidR="00AF6209">
        <w:t xml:space="preserve"> </w:t>
      </w:r>
      <w:r w:rsidR="00AF6209" w:rsidRPr="00D070A5">
        <w:t>shall</w:t>
      </w:r>
      <w:r w:rsidR="00AF6209">
        <w:t xml:space="preserve"> grant </w:t>
      </w:r>
      <w:r w:rsidR="00EF1923">
        <w:t>single certification to the municipality</w:t>
      </w:r>
      <w:r>
        <w:t xml:space="preserve">, </w:t>
      </w:r>
      <w:r w:rsidR="008D09E6">
        <w:t xml:space="preserve">the </w:t>
      </w:r>
      <w:r w:rsidR="008A59F7">
        <w:t xml:space="preserve">judicial </w:t>
      </w:r>
      <w:r w:rsidR="008D09E6">
        <w:t xml:space="preserve">doctrine of federal preemption requires </w:t>
      </w:r>
      <w:r>
        <w:t>the Commission t</w:t>
      </w:r>
      <w:r w:rsidR="008D09E6">
        <w:t>o</w:t>
      </w:r>
      <w:r>
        <w:t xml:space="preserve"> nevertheless dismiss </w:t>
      </w:r>
      <w:r w:rsidR="000B00CD">
        <w:t>or deny</w:t>
      </w:r>
      <w:r>
        <w:t xml:space="preserve"> a municipality’s application if </w:t>
      </w:r>
      <w:r w:rsidR="00EF1923">
        <w:t xml:space="preserve">the </w:t>
      </w:r>
      <w:r w:rsidR="00FD4D17">
        <w:t xml:space="preserve">certificated </w:t>
      </w:r>
      <w:r w:rsidR="00EF1923">
        <w:t>retail public utility</w:t>
      </w:r>
      <w:r>
        <w:t xml:space="preserve"> </w:t>
      </w:r>
      <w:r w:rsidR="004A37B9">
        <w:t xml:space="preserve">is indebted to the federal government under § 1926(a) of </w:t>
      </w:r>
      <w:r w:rsidR="004A37B9" w:rsidRPr="004A37B9">
        <w:t xml:space="preserve">the </w:t>
      </w:r>
      <w:r w:rsidR="004A37B9" w:rsidRPr="004A37B9">
        <w:rPr>
          <w:bCs/>
        </w:rPr>
        <w:t>Federal Consolidated Farm and Rural Development Act.</w:t>
      </w:r>
      <w:r w:rsidR="00EC6394">
        <w:rPr>
          <w:rStyle w:val="FootnoteReference"/>
          <w:bCs/>
        </w:rPr>
        <w:footnoteReference w:id="8"/>
      </w:r>
      <w:r w:rsidR="00EC6394">
        <w:rPr>
          <w:bCs/>
        </w:rPr>
        <w:t xml:space="preserve">  Green Valley goes on to assert it satisfies each element of the tests </w:t>
      </w:r>
      <w:r w:rsidR="000B00CD">
        <w:rPr>
          <w:bCs/>
        </w:rPr>
        <w:t xml:space="preserve">the </w:t>
      </w:r>
      <w:r w:rsidR="00EC6394">
        <w:rPr>
          <w:bCs/>
        </w:rPr>
        <w:t xml:space="preserve">federal courts have applied in determining whether a </w:t>
      </w:r>
      <w:r w:rsidR="000B00CD">
        <w:rPr>
          <w:bCs/>
        </w:rPr>
        <w:t xml:space="preserve">certificated </w:t>
      </w:r>
      <w:r w:rsidR="00EC6394">
        <w:rPr>
          <w:bCs/>
        </w:rPr>
        <w:t xml:space="preserve">borrower’s service area </w:t>
      </w:r>
      <w:r w:rsidR="000B00CD">
        <w:rPr>
          <w:bCs/>
        </w:rPr>
        <w:t>is</w:t>
      </w:r>
      <w:r w:rsidR="00EC6394">
        <w:rPr>
          <w:bCs/>
        </w:rPr>
        <w:t xml:space="preserve"> federally protected from encroachment under </w:t>
      </w:r>
      <w:r w:rsidR="00EC6394">
        <w:t xml:space="preserve">§ 1926(b) of </w:t>
      </w:r>
      <w:r w:rsidR="00EC6394" w:rsidRPr="004A37B9">
        <w:t xml:space="preserve">the </w:t>
      </w:r>
      <w:r w:rsidR="00EC6394" w:rsidRPr="004A37B9">
        <w:rPr>
          <w:bCs/>
        </w:rPr>
        <w:t>Federal Consolidated Farm and Rural Development Act</w:t>
      </w:r>
      <w:r w:rsidR="00EC6394">
        <w:rPr>
          <w:bCs/>
        </w:rPr>
        <w:t>.</w:t>
      </w:r>
      <w:r w:rsidR="000B00CD">
        <w:rPr>
          <w:rStyle w:val="FootnoteReference"/>
          <w:bCs/>
        </w:rPr>
        <w:footnoteReference w:id="9"/>
      </w:r>
      <w:r w:rsidR="000B00CD">
        <w:rPr>
          <w:bCs/>
        </w:rPr>
        <w:t xml:space="preserve">  </w:t>
      </w:r>
      <w:r w:rsidR="008D09E6">
        <w:rPr>
          <w:bCs/>
        </w:rPr>
        <w:t xml:space="preserve">Yet, </w:t>
      </w:r>
      <w:r w:rsidR="000B00CD">
        <w:rPr>
          <w:bCs/>
        </w:rPr>
        <w:t>Green Valley’s</w:t>
      </w:r>
      <w:r w:rsidR="008D09E6">
        <w:rPr>
          <w:bCs/>
        </w:rPr>
        <w:t xml:space="preserve"> and other parties’</w:t>
      </w:r>
      <w:r w:rsidR="000B00CD">
        <w:rPr>
          <w:bCs/>
        </w:rPr>
        <w:t xml:space="preserve"> </w:t>
      </w:r>
      <w:r w:rsidR="008D09E6">
        <w:rPr>
          <w:bCs/>
        </w:rPr>
        <w:t>arguments</w:t>
      </w:r>
      <w:r w:rsidR="00FD507D">
        <w:rPr>
          <w:bCs/>
        </w:rPr>
        <w:t xml:space="preserve"> </w:t>
      </w:r>
      <w:r w:rsidR="008D09E6">
        <w:rPr>
          <w:bCs/>
        </w:rPr>
        <w:t>regarding the federal judiciary’s ad</w:t>
      </w:r>
      <w:r w:rsidR="00D070A5">
        <w:rPr>
          <w:bCs/>
        </w:rPr>
        <w:t>judications of § 1926(b) cases</w:t>
      </w:r>
      <w:r w:rsidR="008D09E6">
        <w:rPr>
          <w:bCs/>
        </w:rPr>
        <w:t xml:space="preserve"> highlight the imprudence of the Commission veering from the </w:t>
      </w:r>
      <w:r w:rsidR="001C1961">
        <w:rPr>
          <w:bCs/>
        </w:rPr>
        <w:t xml:space="preserve">straight-forward </w:t>
      </w:r>
      <w:r w:rsidR="008D09E6">
        <w:rPr>
          <w:bCs/>
        </w:rPr>
        <w:t xml:space="preserve">path laid by the Legislature to instead attempt </w:t>
      </w:r>
      <w:r w:rsidR="008A59F7">
        <w:rPr>
          <w:bCs/>
        </w:rPr>
        <w:t xml:space="preserve">to </w:t>
      </w:r>
      <w:r w:rsidR="008D09E6">
        <w:rPr>
          <w:bCs/>
        </w:rPr>
        <w:t>navigat</w:t>
      </w:r>
      <w:r w:rsidR="008A59F7">
        <w:rPr>
          <w:bCs/>
        </w:rPr>
        <w:t>e</w:t>
      </w:r>
      <w:r w:rsidR="008D09E6">
        <w:rPr>
          <w:bCs/>
        </w:rPr>
        <w:t xml:space="preserve"> the </w:t>
      </w:r>
      <w:r w:rsidR="005A6F32">
        <w:rPr>
          <w:bCs/>
        </w:rPr>
        <w:t>thicket</w:t>
      </w:r>
      <w:r w:rsidR="008D09E6">
        <w:rPr>
          <w:bCs/>
        </w:rPr>
        <w:t xml:space="preserve"> that is </w:t>
      </w:r>
      <w:r w:rsidR="00D070A5">
        <w:rPr>
          <w:bCs/>
        </w:rPr>
        <w:t>judicial interpretation</w:t>
      </w:r>
      <w:r w:rsidR="008D09E6">
        <w:rPr>
          <w:bCs/>
        </w:rPr>
        <w:t xml:space="preserve"> of federal</w:t>
      </w:r>
      <w:r w:rsidR="008A59F7">
        <w:rPr>
          <w:bCs/>
        </w:rPr>
        <w:t>-</w:t>
      </w:r>
      <w:r w:rsidR="008D09E6">
        <w:rPr>
          <w:bCs/>
        </w:rPr>
        <w:t xml:space="preserve">loan </w:t>
      </w:r>
      <w:r w:rsidR="00D070A5">
        <w:rPr>
          <w:bCs/>
        </w:rPr>
        <w:t>law</w:t>
      </w:r>
      <w:r w:rsidR="008D09E6">
        <w:rPr>
          <w:bCs/>
        </w:rPr>
        <w:t>.</w:t>
      </w:r>
    </w:p>
    <w:p w:rsidR="00113BB2" w:rsidRDefault="008D09E6" w:rsidP="00113BB2">
      <w:pPr>
        <w:ind w:firstLine="720"/>
        <w:rPr>
          <w:bCs/>
        </w:rPr>
      </w:pPr>
      <w:r>
        <w:rPr>
          <w:bCs/>
        </w:rPr>
        <w:lastRenderedPageBreak/>
        <w:t xml:space="preserve">No party advocating dismissal or abatement of this proceeding cited to </w:t>
      </w:r>
      <w:r w:rsidR="008A59F7">
        <w:rPr>
          <w:bCs/>
        </w:rPr>
        <w:t xml:space="preserve">a decision – judicial or administrative – requiring the Commission to conduct its own inquiry and application of federal-loan law in a Commission proceeding under TWC § 13.255.  </w:t>
      </w:r>
      <w:r w:rsidR="001C1961">
        <w:rPr>
          <w:bCs/>
        </w:rPr>
        <w:t xml:space="preserve">Moreover, the Commission </w:t>
      </w:r>
      <w:r w:rsidR="003C58B7">
        <w:rPr>
          <w:bCs/>
        </w:rPr>
        <w:t xml:space="preserve">has not been able to locate a provision within the Texas Water Code permitting the Commission to abdicate statutory duties regarding service-area certification based upon federal-preemption concerns.  In fact, the only </w:t>
      </w:r>
      <w:r w:rsidR="005A6F32">
        <w:rPr>
          <w:bCs/>
        </w:rPr>
        <w:t xml:space="preserve">TWC </w:t>
      </w:r>
      <w:r w:rsidR="003C58B7">
        <w:rPr>
          <w:bCs/>
        </w:rPr>
        <w:t>certification provisions that make mention of the federal-rural-loan programs</w:t>
      </w:r>
      <w:r w:rsidR="00581D4C">
        <w:rPr>
          <w:bCs/>
        </w:rPr>
        <w:t xml:space="preserve"> expressly </w:t>
      </w:r>
      <w:r w:rsidR="00581D4C">
        <w:rPr>
          <w:bCs/>
          <w:i/>
        </w:rPr>
        <w:t>prohibit</w:t>
      </w:r>
      <w:r w:rsidR="00581D4C">
        <w:rPr>
          <w:bCs/>
        </w:rPr>
        <w:t xml:space="preserve"> the Commission from denying applications </w:t>
      </w:r>
      <w:r w:rsidR="00D070A5">
        <w:rPr>
          <w:bCs/>
        </w:rPr>
        <w:t>to revoke all or part of a CCN (</w:t>
      </w:r>
      <w:r w:rsidR="00581D4C">
        <w:rPr>
          <w:bCs/>
        </w:rPr>
        <w:t>under other provisions of the Texas Water Code</w:t>
      </w:r>
      <w:r w:rsidR="00D070A5">
        <w:rPr>
          <w:bCs/>
        </w:rPr>
        <w:t>)</w:t>
      </w:r>
      <w:r w:rsidR="00581D4C">
        <w:rPr>
          <w:bCs/>
        </w:rPr>
        <w:t xml:space="preserve"> on the basis that </w:t>
      </w:r>
      <w:r w:rsidR="00D070A5">
        <w:rPr>
          <w:bCs/>
        </w:rPr>
        <w:t>a certificate holder is a borrower of a federal loan program.</w:t>
      </w:r>
      <w:r w:rsidR="00D070A5">
        <w:rPr>
          <w:rStyle w:val="FootnoteReference"/>
          <w:bCs/>
        </w:rPr>
        <w:footnoteReference w:id="10"/>
      </w:r>
    </w:p>
    <w:p w:rsidR="005A6F32" w:rsidRDefault="005A6F32" w:rsidP="00113BB2">
      <w:pPr>
        <w:ind w:firstLine="720"/>
        <w:rPr>
          <w:bCs/>
        </w:rPr>
      </w:pPr>
      <w:r>
        <w:rPr>
          <w:bCs/>
        </w:rPr>
        <w:t xml:space="preserve">Green Valley is seeking a federal district court ruling on whether </w:t>
      </w:r>
      <w:r>
        <w:t xml:space="preserve">§ 1926(b) of </w:t>
      </w:r>
      <w:r w:rsidRPr="004A37B9">
        <w:t xml:space="preserve">the </w:t>
      </w:r>
      <w:r w:rsidRPr="004A37B9">
        <w:rPr>
          <w:bCs/>
        </w:rPr>
        <w:t>Federal Consolidated Farm and Rural Development Act</w:t>
      </w:r>
      <w:r>
        <w:rPr>
          <w:bCs/>
        </w:rPr>
        <w:t xml:space="preserve"> bars Cibolo from applying to this Commission for single certification to provide sewer service in a portion of Green Valley’s service area.</w:t>
      </w:r>
      <w:r w:rsidR="00930D79">
        <w:rPr>
          <w:bCs/>
        </w:rPr>
        <w:t xml:space="preserve">  </w:t>
      </w:r>
      <w:r w:rsidR="003F7A05">
        <w:rPr>
          <w:bCs/>
        </w:rPr>
        <w:t xml:space="preserve">Unlike the Commission, that forum has the authority to determine whether federal law preempts a statute enacted by the Legislature.  </w:t>
      </w:r>
      <w:r w:rsidR="001B7148">
        <w:rPr>
          <w:bCs/>
        </w:rPr>
        <w:t>Unless</w:t>
      </w:r>
      <w:r w:rsidR="00930D79">
        <w:rPr>
          <w:bCs/>
        </w:rPr>
        <w:t xml:space="preserve"> Cibolo withdraw</w:t>
      </w:r>
      <w:r w:rsidR="00513DEC">
        <w:rPr>
          <w:bCs/>
        </w:rPr>
        <w:t>s</w:t>
      </w:r>
      <w:r w:rsidR="00930D79">
        <w:rPr>
          <w:bCs/>
        </w:rPr>
        <w:t xml:space="preserve"> its application</w:t>
      </w:r>
      <w:r w:rsidR="003F7A05">
        <w:rPr>
          <w:bCs/>
        </w:rPr>
        <w:t xml:space="preserve"> here </w:t>
      </w:r>
      <w:r w:rsidR="001B7148">
        <w:rPr>
          <w:bCs/>
        </w:rPr>
        <w:t>– or a court orders otherwise – the Commis</w:t>
      </w:r>
      <w:r w:rsidR="003F7A05">
        <w:rPr>
          <w:bCs/>
        </w:rPr>
        <w:t xml:space="preserve">sion </w:t>
      </w:r>
      <w:r w:rsidR="00930D79">
        <w:rPr>
          <w:bCs/>
        </w:rPr>
        <w:t>must comply with the statutory duties and timelines mandated by the Legislature</w:t>
      </w:r>
      <w:r w:rsidR="003F7A05">
        <w:rPr>
          <w:bCs/>
        </w:rPr>
        <w:t>.</w:t>
      </w:r>
    </w:p>
    <w:p w:rsidR="00930D79" w:rsidRPr="00581D4C" w:rsidRDefault="00930D79" w:rsidP="00113BB2">
      <w:pPr>
        <w:ind w:firstLine="720"/>
      </w:pPr>
      <w:r>
        <w:rPr>
          <w:bCs/>
        </w:rPr>
        <w:t xml:space="preserve">Consistent with the discussion above, the Commission concludes that it does not have authority to determine whether § 1926(b) of the Federal Consolidated Farm and Rural Development act federally preempts TWC § 13.255.  Therefore the Commission may not deny an </w:t>
      </w:r>
      <w:r w:rsidRPr="00930D79">
        <w:rPr>
          <w:bCs/>
        </w:rPr>
        <w:t>application under TWC § 13.255 solely on the basis that a retail public utility that holds a CCN for all or part of the requested service area is also a holder of a federal loan made under section 1926(a) of the federal act.</w:t>
      </w:r>
    </w:p>
    <w:p w:rsidR="007F3C40" w:rsidRPr="003C35B5" w:rsidRDefault="007F3C40" w:rsidP="0017246C">
      <w:pPr>
        <w:pStyle w:val="BodyText"/>
      </w:pPr>
    </w:p>
    <w:p w:rsidR="007F3C40" w:rsidRPr="003C35B5" w:rsidRDefault="00203F6D" w:rsidP="00203F6D">
      <w:pPr>
        <w:pStyle w:val="ItemList"/>
        <w:numPr>
          <w:ilvl w:val="0"/>
          <w:numId w:val="11"/>
        </w:numPr>
        <w:spacing w:before="0"/>
        <w:ind w:left="720" w:hanging="720"/>
        <w:rPr>
          <w:b/>
        </w:rPr>
      </w:pPr>
      <w:r w:rsidRPr="00203F6D">
        <w:rPr>
          <w:b/>
          <w:bCs/>
        </w:rPr>
        <w:t>Must a municipality seeking single certification under TWC § 13.255 demonstrate compliance with the TCEQ’s minimum requirements for public drinking water systems even if the certification sought is solely to provide sewer service?</w:t>
      </w:r>
      <w:r w:rsidRPr="003C35B5">
        <w:rPr>
          <w:b/>
        </w:rPr>
        <w:t xml:space="preserve"> </w:t>
      </w:r>
    </w:p>
    <w:p w:rsidR="007F3C40" w:rsidRDefault="00BC1C26" w:rsidP="00BC1C26">
      <w:pPr>
        <w:pStyle w:val="ItemList"/>
        <w:spacing w:before="0"/>
        <w:ind w:firstLine="720"/>
      </w:pPr>
      <w:r>
        <w:lastRenderedPageBreak/>
        <w:t>TWC § 13.255(m) requires the Commission to “deny an application for single certification by a municipality that fails to demonstrate compliance with [TCEQ’s] minimum requirements for public drinking water systems.”</w:t>
      </w:r>
      <w:r>
        <w:rPr>
          <w:rStyle w:val="FootnoteReference"/>
        </w:rPr>
        <w:footnoteReference w:id="11"/>
      </w:r>
      <w:r w:rsidR="00F3029D">
        <w:t xml:space="preserve">  That prescription is not limited by any other language in the section.</w:t>
      </w:r>
    </w:p>
    <w:p w:rsidR="00110BED" w:rsidRPr="003C35B5" w:rsidRDefault="00F3029D" w:rsidP="00BC1C26">
      <w:pPr>
        <w:pStyle w:val="ItemList"/>
        <w:spacing w:before="0"/>
        <w:ind w:firstLine="720"/>
      </w:pPr>
      <w:r>
        <w:t>One might</w:t>
      </w:r>
      <w:r w:rsidR="00110BED">
        <w:t xml:space="preserve"> argue that it is onerous to require a municipality seeking amendment of its sewer CCN to show </w:t>
      </w:r>
      <w:r w:rsidR="00BD02BE">
        <w:t xml:space="preserve">that its public-drinking-water systems comply </w:t>
      </w:r>
      <w:r w:rsidR="00110BED">
        <w:t xml:space="preserve">with TCEQ’s </w:t>
      </w:r>
      <w:r w:rsidR="00BD02BE">
        <w:t>minimum requirements</w:t>
      </w:r>
      <w:r w:rsidR="00110BED">
        <w:t xml:space="preserve">.  However, </w:t>
      </w:r>
      <w:r>
        <w:t>the better argument is</w:t>
      </w:r>
      <w:r w:rsidR="00110BED">
        <w:t xml:space="preserve"> that the Legislature intended to protect the public interest by requiring a municipality to show </w:t>
      </w:r>
      <w:r w:rsidR="00BD02BE">
        <w:t xml:space="preserve">it is in </w:t>
      </w:r>
      <w:r w:rsidR="00110BED">
        <w:t xml:space="preserve">compliance with public-drinking-water requirements before the municipality is entitled to expand </w:t>
      </w:r>
      <w:r w:rsidR="0097068B">
        <w:t xml:space="preserve">any of </w:t>
      </w:r>
      <w:r w:rsidR="00110BED">
        <w:t>its service areas</w:t>
      </w:r>
      <w:r>
        <w:t xml:space="preserve">. </w:t>
      </w:r>
      <w:r w:rsidR="00110BED">
        <w:t xml:space="preserve"> </w:t>
      </w:r>
      <w:r>
        <w:t>Given that the unambiguous language applies to any application under TWC</w:t>
      </w:r>
      <w:r w:rsidR="00BD02BE">
        <w:t> </w:t>
      </w:r>
      <w:r>
        <w:t xml:space="preserve">§ 13.255, </w:t>
      </w:r>
      <w:r w:rsidR="00BD02BE">
        <w:t xml:space="preserve">and applying the requirement in this case protects the public health, </w:t>
      </w:r>
      <w:r w:rsidR="0097068B">
        <w:t xml:space="preserve">the Commission declines to </w:t>
      </w:r>
      <w:r w:rsidR="00BD02BE">
        <w:t>ignore</w:t>
      </w:r>
      <w:r w:rsidR="0097068B">
        <w:t xml:space="preserve"> TWC § 13.255(m) in sewer CCN proceedings brought under TWC § 13.255.</w:t>
      </w:r>
    </w:p>
    <w:p w:rsidR="00275B22" w:rsidRPr="003C35B5" w:rsidRDefault="00275B22" w:rsidP="00CC4119">
      <w:pPr>
        <w:jc w:val="center"/>
      </w:pPr>
      <w:r w:rsidRPr="003C35B5">
        <w:rPr>
          <w:b/>
        </w:rPr>
        <w:t>I</w:t>
      </w:r>
      <w:r w:rsidR="009F1850" w:rsidRPr="003C35B5">
        <w:rPr>
          <w:b/>
        </w:rPr>
        <w:t>I</w:t>
      </w:r>
      <w:proofErr w:type="gramStart"/>
      <w:r w:rsidRPr="003C35B5">
        <w:rPr>
          <w:b/>
        </w:rPr>
        <w:t xml:space="preserve">.  </w:t>
      </w:r>
      <w:r w:rsidR="002B0DD0" w:rsidRPr="003C35B5">
        <w:rPr>
          <w:b/>
        </w:rPr>
        <w:t>Issues</w:t>
      </w:r>
      <w:proofErr w:type="gramEnd"/>
      <w:r w:rsidR="002B0DD0" w:rsidRPr="003C35B5">
        <w:rPr>
          <w:b/>
        </w:rPr>
        <w:t xml:space="preserve"> to b</w:t>
      </w:r>
      <w:r w:rsidR="00C35689" w:rsidRPr="003C35B5">
        <w:rPr>
          <w:b/>
        </w:rPr>
        <w:t>e Addressed</w:t>
      </w:r>
    </w:p>
    <w:p w:rsidR="00275B22" w:rsidRPr="003C35B5" w:rsidRDefault="00275B22" w:rsidP="002B0DD0">
      <w:pPr>
        <w:spacing w:before="0"/>
      </w:pPr>
      <w:r w:rsidRPr="003C35B5">
        <w:tab/>
        <w:t>After reviewing the pleadings submitted by the parties, the Commission identifies the following issues that must be addressed in this docket:</w:t>
      </w:r>
    </w:p>
    <w:p w:rsidR="008C1DDB" w:rsidRPr="002B52E0" w:rsidRDefault="008C1DDB" w:rsidP="008C1DDB">
      <w:pPr>
        <w:pStyle w:val="ItemList"/>
        <w:numPr>
          <w:ilvl w:val="0"/>
          <w:numId w:val="1"/>
        </w:numPr>
        <w:spacing w:before="240"/>
        <w:ind w:left="720" w:hanging="720"/>
      </w:pPr>
      <w:r w:rsidRPr="002B52E0">
        <w:t xml:space="preserve">Is the area for which the city of Cibolo seeks single certification currently within the certificated service area of a retail public utility? </w:t>
      </w:r>
    </w:p>
    <w:p w:rsidR="008C1DDB" w:rsidRPr="002B52E0" w:rsidRDefault="008C1DDB" w:rsidP="008C1DDB">
      <w:pPr>
        <w:pStyle w:val="ItemList"/>
        <w:numPr>
          <w:ilvl w:val="0"/>
          <w:numId w:val="1"/>
        </w:numPr>
        <w:spacing w:before="240"/>
        <w:ind w:left="720" w:hanging="720"/>
      </w:pPr>
      <w:r w:rsidRPr="002B52E0">
        <w:t>If so, did Cibolo provide written notice to the retail public utility of Cibolo’s intent to provide service to the area for which Cibolo seeks certification? TWC § 13.255(b) and 16 TAC § 24.120(b).</w:t>
      </w:r>
    </w:p>
    <w:p w:rsidR="008C1DDB" w:rsidRPr="002B52E0" w:rsidRDefault="008C1DDB" w:rsidP="008C1DDB">
      <w:pPr>
        <w:pStyle w:val="ItemList"/>
        <w:numPr>
          <w:ilvl w:val="0"/>
          <w:numId w:val="1"/>
        </w:numPr>
        <w:spacing w:before="240"/>
        <w:ind w:left="720" w:hanging="720"/>
      </w:pPr>
      <w:r w:rsidRPr="002B52E0">
        <w:t>If so, did Cibolo wait more than 180 days after providing the written notice before Cibolo filed its application with the Commission? TWC § 13.255(c) and 16 TAC § 24.120(c).</w:t>
      </w:r>
    </w:p>
    <w:p w:rsidR="008C1DDB" w:rsidRPr="002B52E0" w:rsidRDefault="008C1DDB" w:rsidP="008C1DDB">
      <w:pPr>
        <w:pStyle w:val="ListParagraph"/>
        <w:numPr>
          <w:ilvl w:val="0"/>
          <w:numId w:val="1"/>
        </w:numPr>
        <w:autoSpaceDE w:val="0"/>
        <w:autoSpaceDN w:val="0"/>
        <w:adjustRightInd w:val="0"/>
        <w:snapToGrid w:val="0"/>
        <w:ind w:left="720" w:hanging="720"/>
        <w:contextualSpacing w:val="0"/>
        <w:rPr>
          <w:szCs w:val="24"/>
          <w:lang w:val="x-none"/>
        </w:rPr>
      </w:pPr>
      <w:r w:rsidRPr="002B52E0">
        <w:t xml:space="preserve">Is Cibolo’s application administratively complete pursuant to 16 TAC § 24.8?  </w:t>
      </w:r>
      <w:r w:rsidRPr="002B52E0">
        <w:rPr>
          <w:szCs w:val="24"/>
          <w:lang w:val="x-none"/>
        </w:rPr>
        <w:t>In making this determination, the following question</w:t>
      </w:r>
      <w:r w:rsidRPr="002B52E0">
        <w:rPr>
          <w:szCs w:val="24"/>
        </w:rPr>
        <w:t>s</w:t>
      </w:r>
      <w:r w:rsidRPr="002B52E0">
        <w:rPr>
          <w:szCs w:val="24"/>
          <w:lang w:val="x-none"/>
        </w:rPr>
        <w:t xml:space="preserve"> should be</w:t>
      </w:r>
      <w:r w:rsidRPr="002B52E0">
        <w:rPr>
          <w:szCs w:val="24"/>
        </w:rPr>
        <w:t xml:space="preserve"> addressed</w:t>
      </w:r>
      <w:r w:rsidRPr="002B52E0">
        <w:rPr>
          <w:szCs w:val="24"/>
          <w:lang w:val="x-none"/>
        </w:rPr>
        <w:t>:</w:t>
      </w:r>
    </w:p>
    <w:p w:rsidR="008C1DDB" w:rsidRPr="002B52E0" w:rsidRDefault="008C1DDB" w:rsidP="008C1DDB">
      <w:pPr>
        <w:pStyle w:val="ItemList"/>
        <w:numPr>
          <w:ilvl w:val="0"/>
          <w:numId w:val="14"/>
        </w:numPr>
        <w:spacing w:before="240"/>
      </w:pPr>
      <w:r w:rsidRPr="002B52E0">
        <w:lastRenderedPageBreak/>
        <w:t>Has Cibolo demonstrated that no retail public utility facilities will be rendered useless or valueless to the retail public utility?  TWC § 13.255(c) and 16 TAC § 24.120(c).  If not, has Cibolo included in its application all appraisals required under TWC</w:t>
      </w:r>
      <w:r w:rsidR="00881022">
        <w:t> </w:t>
      </w:r>
      <w:r w:rsidRPr="002B52E0">
        <w:t>§</w:t>
      </w:r>
      <w:r w:rsidR="00881022">
        <w:t> </w:t>
      </w:r>
      <w:r w:rsidRPr="002B52E0">
        <w:t>13.255(l) and 16 TAC § 24.120(m)?</w:t>
      </w:r>
      <w:r w:rsidRPr="002B52E0">
        <w:rPr>
          <w:rStyle w:val="FootnoteReference"/>
        </w:rPr>
        <w:footnoteReference w:id="12"/>
      </w:r>
      <w:r w:rsidRPr="002B52E0">
        <w:t xml:space="preserve"> </w:t>
      </w:r>
    </w:p>
    <w:p w:rsidR="008C1DDB" w:rsidRPr="002B52E0" w:rsidRDefault="008C1DDB" w:rsidP="008C1DDB">
      <w:pPr>
        <w:pStyle w:val="ItemList"/>
        <w:numPr>
          <w:ilvl w:val="0"/>
          <w:numId w:val="14"/>
        </w:numPr>
        <w:spacing w:before="240"/>
      </w:pPr>
      <w:r w:rsidRPr="002B52E0">
        <w:t xml:space="preserve">Is Cibolo requesting the transfer of specified property of a retail public utility?  TWC § 13.255(c) and 16 TAC § 24.120(c).  If so, has Cibolo included in its application all appraisals required under TWC § 13.255(l) and 16 TAC § 24.120(m)?  </w:t>
      </w:r>
    </w:p>
    <w:p w:rsidR="008C1DDB" w:rsidRPr="002B52E0" w:rsidRDefault="008C1DDB" w:rsidP="008C1DDB">
      <w:pPr>
        <w:pStyle w:val="ItemList"/>
        <w:numPr>
          <w:ilvl w:val="0"/>
          <w:numId w:val="1"/>
        </w:numPr>
        <w:spacing w:before="240"/>
        <w:ind w:left="720" w:hanging="720"/>
      </w:pPr>
      <w:r w:rsidRPr="002B52E0">
        <w:t>Has Cibolo demonstrated that its public-drinking-water systems comply with TCEQ’s minimum requirements for public-drinking-water systems?  TWC § 13.255(m) and 16</w:t>
      </w:r>
      <w:r w:rsidR="00881022">
        <w:t> </w:t>
      </w:r>
      <w:r w:rsidRPr="002B52E0">
        <w:t>TAC § 24.120(n).</w:t>
      </w:r>
    </w:p>
    <w:p w:rsidR="008C1DDB" w:rsidRPr="002B52E0" w:rsidRDefault="008C1DDB" w:rsidP="008C1DDB">
      <w:pPr>
        <w:pStyle w:val="ItemList"/>
        <w:numPr>
          <w:ilvl w:val="0"/>
          <w:numId w:val="1"/>
        </w:numPr>
        <w:spacing w:before="240"/>
        <w:ind w:left="720" w:hanging="720"/>
      </w:pPr>
      <w:r w:rsidRPr="002B52E0">
        <w:t xml:space="preserve">Has </w:t>
      </w:r>
      <w:r w:rsidR="002B52E0" w:rsidRPr="002B52E0">
        <w:t>the retail public utility</w:t>
      </w:r>
      <w:r w:rsidRPr="002B52E0">
        <w:t xml:space="preserve"> submitted to the Commission a written list with the names and addresses of any lienholders and the amount of </w:t>
      </w:r>
      <w:r w:rsidR="002B52E0" w:rsidRPr="002B52E0">
        <w:t>the retail public utility’s</w:t>
      </w:r>
      <w:r w:rsidRPr="002B52E0">
        <w:t xml:space="preserve"> debt, if any?  16</w:t>
      </w:r>
      <w:r w:rsidR="00881022">
        <w:t> </w:t>
      </w:r>
      <w:r w:rsidRPr="002B52E0">
        <w:t>TAC § 24.120(b</w:t>
      </w:r>
      <w:proofErr w:type="gramStart"/>
      <w:r w:rsidRPr="002B52E0">
        <w:t>)(</w:t>
      </w:r>
      <w:proofErr w:type="gramEnd"/>
      <w:r w:rsidRPr="002B52E0">
        <w:t>1).</w:t>
      </w:r>
    </w:p>
    <w:p w:rsidR="008C1DDB" w:rsidRPr="002B52E0" w:rsidRDefault="008C1DDB" w:rsidP="008C1DDB">
      <w:pPr>
        <w:pStyle w:val="ItemList"/>
        <w:numPr>
          <w:ilvl w:val="0"/>
          <w:numId w:val="1"/>
        </w:numPr>
        <w:spacing w:before="240"/>
        <w:ind w:left="720" w:hanging="720"/>
      </w:pPr>
      <w:r w:rsidRPr="002B52E0">
        <w:t xml:space="preserve">If any lienholders exist, has </w:t>
      </w:r>
      <w:r w:rsidR="002B52E0" w:rsidRPr="002B52E0">
        <w:t>the retail public utility</w:t>
      </w:r>
      <w:r w:rsidRPr="002B52E0">
        <w:t xml:space="preserve"> notified the</w:t>
      </w:r>
      <w:r w:rsidR="002B52E0" w:rsidRPr="002B52E0">
        <w:t xml:space="preserve"> lienholders</w:t>
      </w:r>
      <w:r w:rsidRPr="002B52E0">
        <w:t xml:space="preserve"> of th</w:t>
      </w:r>
      <w:r w:rsidR="002B52E0" w:rsidRPr="002B52E0">
        <w:t>is</w:t>
      </w:r>
      <w:r w:rsidRPr="002B52E0">
        <w:t xml:space="preserve"> decertification process consistent with 16 TAC § 24.120(b</w:t>
      </w:r>
      <w:proofErr w:type="gramStart"/>
      <w:r w:rsidRPr="002B52E0">
        <w:t>)(</w:t>
      </w:r>
      <w:proofErr w:type="gramEnd"/>
      <w:r w:rsidRPr="002B52E0">
        <w:t>2)?</w:t>
      </w:r>
    </w:p>
    <w:p w:rsidR="008C1DDB" w:rsidRPr="002B52E0" w:rsidRDefault="008C1DDB" w:rsidP="008C1DDB">
      <w:pPr>
        <w:pStyle w:val="ItemList"/>
        <w:numPr>
          <w:ilvl w:val="0"/>
          <w:numId w:val="1"/>
        </w:numPr>
        <w:spacing w:before="240"/>
        <w:ind w:left="720" w:hanging="720"/>
      </w:pPr>
      <w:r w:rsidRPr="002B52E0">
        <w:t xml:space="preserve">What is the adequate and just compensation to be paid to the retail public utility for any of its facilities that will be useless or valueless to it or that </w:t>
      </w:r>
      <w:r w:rsidR="002B52E0" w:rsidRPr="002B52E0">
        <w:t>Cibolo</w:t>
      </w:r>
      <w:r w:rsidRPr="002B52E0">
        <w:t xml:space="preserve"> requests be transferred? TWC §§ 13.255(c), (g), (g-1), and (l) and 16 TAC § 24.120(c), (g), (h), and (m).</w:t>
      </w:r>
    </w:p>
    <w:p w:rsidR="00275B22" w:rsidRPr="003C35B5" w:rsidRDefault="00275B22">
      <w:pPr>
        <w:spacing w:before="0"/>
        <w:jc w:val="left"/>
      </w:pPr>
    </w:p>
    <w:p w:rsidR="00275B22" w:rsidRPr="003C35B5" w:rsidRDefault="00275B22">
      <w:r w:rsidRPr="003C35B5">
        <w:tab/>
        <w:t xml:space="preserve">This list of issues is not intended to be exhaustive.  The parties and the ALJ are free to raise and address any issues relevant in this docket that they deem necessary, subject to any limitations imposed </w:t>
      </w:r>
      <w:r w:rsidR="00A03850">
        <w:t>by the ALJ</w:t>
      </w:r>
      <w:r w:rsidRPr="003C35B5">
        <w:t xml:space="preserve"> or by the Commission in future orders issued in this docket.  The Commission reserves the right to identify and provide to the ALJ in the future any additional issues or areas that must be addressed</w:t>
      </w:r>
      <w:r w:rsidR="00A03850">
        <w:t>.</w:t>
      </w:r>
    </w:p>
    <w:p w:rsidR="00275B22" w:rsidRPr="003C35B5" w:rsidRDefault="009F1850" w:rsidP="00CC4119">
      <w:pPr>
        <w:jc w:val="center"/>
      </w:pPr>
      <w:r w:rsidRPr="003C35B5">
        <w:rPr>
          <w:b/>
        </w:rPr>
        <w:lastRenderedPageBreak/>
        <w:t>IV</w:t>
      </w:r>
      <w:proofErr w:type="gramStart"/>
      <w:r w:rsidR="00275B22" w:rsidRPr="003C35B5">
        <w:rPr>
          <w:b/>
        </w:rPr>
        <w:t xml:space="preserve">.  </w:t>
      </w:r>
      <w:r w:rsidR="007F3C40" w:rsidRPr="003C35B5">
        <w:rPr>
          <w:b/>
        </w:rPr>
        <w:t>Effect</w:t>
      </w:r>
      <w:proofErr w:type="gramEnd"/>
      <w:r w:rsidR="007F3C40" w:rsidRPr="003C35B5">
        <w:rPr>
          <w:b/>
        </w:rPr>
        <w:t xml:space="preserve"> of Preliminary Order</w:t>
      </w:r>
    </w:p>
    <w:p w:rsidR="002133F3" w:rsidRDefault="002133F3" w:rsidP="002133F3">
      <w:r w:rsidRPr="003C35B5">
        <w:tab/>
        <w:t xml:space="preserve">The Commission’s discussion and conclusions in this Order regarding threshold legal and policy issues should be considered dispositive of those matters.  Questions, if any, regarding threshold legal and policy issues may be certified to the Commission for clarification if the ALJ determines that such clarification is necessary.  As to all other issues, this Order is preliminary in nature and is entered without prejudice to any party expressing views contrary to this Order before the ALJ. </w:t>
      </w:r>
      <w:r w:rsidR="00CE470D" w:rsidRPr="003C35B5">
        <w:t xml:space="preserve"> </w:t>
      </w:r>
      <w:r w:rsidRPr="003C35B5">
        <w:t>The ALJ, upon his or her own motion or upon the motion of any party, may deviate from the non-dispositive rulings of this Order when circumstances dictate that it is reasonable to do so.  Any ruling by the ALJ that deviates from this Order may be appealed to the Commission.  The Commission will not address whether this Order should be modified except upon its own motion or the appeal of a</w:t>
      </w:r>
      <w:r w:rsidR="00A03850">
        <w:t>n</w:t>
      </w:r>
      <w:r w:rsidRPr="003C35B5">
        <w:t xml:space="preserve"> ALJ’s order.  Furthermore, this Order is not subject to motions for rehearing or reconsideration.</w:t>
      </w:r>
    </w:p>
    <w:p w:rsidR="00172AA8" w:rsidRDefault="00172AA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sz w:val="16"/>
          <w:szCs w:val="16"/>
        </w:rPr>
      </w:pPr>
    </w:p>
    <w:p w:rsidR="00CC4119" w:rsidRPr="00172AA8" w:rsidRDefault="00CC4119">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sz w:val="16"/>
          <w:szCs w:val="16"/>
        </w:rPr>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EF2B84">
        <w:rPr>
          <w:b/>
        </w:rPr>
        <w:t xml:space="preserve">_____________ </w:t>
      </w:r>
      <w:r w:rsidR="00172AA8">
        <w:rPr>
          <w:b/>
        </w:rPr>
        <w:t>2016</w:t>
      </w:r>
      <w:r w:rsidRPr="003C35B5">
        <w:rPr>
          <w:b/>
        </w:rPr>
        <w:t>.</w:t>
      </w:r>
    </w:p>
    <w:p w:rsidR="00275B22" w:rsidRPr="00172AA8"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sz w:val="22"/>
          <w:szCs w:val="22"/>
        </w:rPr>
      </w:pPr>
    </w:p>
    <w:p w:rsidR="00275B22" w:rsidRPr="00172AA8"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sz w:val="22"/>
          <w:szCs w:val="22"/>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172AA8"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275B22" w:rsidRPr="00172AA8"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676438" w:rsidRPr="00172AA8"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Pr="00172AA8" w:rsidRDefault="00275B22" w:rsidP="00676438">
      <w:pPr>
        <w:spacing w:before="0" w:line="240" w:lineRule="auto"/>
        <w:ind w:firstLine="3780"/>
        <w:rPr>
          <w:b/>
          <w:sz w:val="22"/>
          <w:szCs w:val="22"/>
        </w:rPr>
      </w:pPr>
    </w:p>
    <w:p w:rsidR="00676438" w:rsidRPr="00172AA8" w:rsidRDefault="00676438" w:rsidP="00676438">
      <w:pPr>
        <w:spacing w:before="0" w:line="240" w:lineRule="auto"/>
        <w:ind w:firstLine="3780"/>
        <w:rPr>
          <w:b/>
          <w:sz w:val="22"/>
          <w:szCs w:val="22"/>
        </w:rPr>
      </w:pPr>
    </w:p>
    <w:p w:rsidR="00D07FE4" w:rsidRPr="00172AA8" w:rsidRDefault="00D07FE4" w:rsidP="00676438">
      <w:pPr>
        <w:spacing w:before="0" w:line="240" w:lineRule="auto"/>
        <w:ind w:firstLine="3780"/>
        <w:rPr>
          <w:b/>
          <w:sz w:val="22"/>
          <w:szCs w:val="22"/>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Pr="00172AA8" w:rsidRDefault="002D2669" w:rsidP="002D2669">
      <w:pPr>
        <w:spacing w:before="0" w:line="240" w:lineRule="auto"/>
        <w:ind w:firstLine="3780"/>
        <w:rPr>
          <w:b/>
          <w:sz w:val="22"/>
          <w:szCs w:val="22"/>
        </w:rPr>
      </w:pPr>
    </w:p>
    <w:p w:rsidR="002D2669" w:rsidRPr="00172AA8" w:rsidRDefault="002D2669" w:rsidP="002D2669">
      <w:pPr>
        <w:spacing w:before="0" w:line="240" w:lineRule="auto"/>
        <w:ind w:firstLine="3780"/>
        <w:rPr>
          <w:b/>
          <w:sz w:val="22"/>
          <w:szCs w:val="22"/>
        </w:rPr>
      </w:pPr>
    </w:p>
    <w:p w:rsidR="002D2669" w:rsidRPr="00172AA8" w:rsidRDefault="002D2669" w:rsidP="002D2669">
      <w:pPr>
        <w:spacing w:before="0" w:line="240" w:lineRule="auto"/>
        <w:ind w:firstLine="3780"/>
        <w:rPr>
          <w:b/>
          <w:sz w:val="22"/>
          <w:szCs w:val="22"/>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B81B17">
        <w:rPr>
          <w:b/>
        </w:rPr>
        <w:t xml:space="preserve"> MARQUEZ</w:t>
      </w:r>
      <w:r w:rsidRPr="003C35B5">
        <w:rPr>
          <w:b/>
        </w:rPr>
        <w:t xml:space="preserve">, COMMISSIONER </w:t>
      </w:r>
    </w:p>
    <w:p w:rsidR="002B0DD0" w:rsidRPr="00172AA8" w:rsidRDefault="002B0DD0">
      <w:pPr>
        <w:spacing w:before="0" w:line="240" w:lineRule="auto"/>
        <w:rPr>
          <w:b/>
          <w:sz w:val="16"/>
          <w:szCs w:val="16"/>
        </w:rPr>
      </w:pPr>
    </w:p>
    <w:p w:rsidR="002B0DD0" w:rsidRPr="003C35B5" w:rsidRDefault="002B0DD0" w:rsidP="00172AA8">
      <w:pPr>
        <w:rPr>
          <w:b/>
        </w:rPr>
      </w:pPr>
      <w:r w:rsidRPr="00172AA8">
        <w:rPr>
          <w:sz w:val="16"/>
          <w:szCs w:val="16"/>
        </w:rPr>
        <w:fldChar w:fldCharType="begin"/>
      </w:r>
      <w:r w:rsidRPr="00172AA8">
        <w:rPr>
          <w:sz w:val="16"/>
          <w:szCs w:val="16"/>
        </w:rPr>
        <w:instrText xml:space="preserve"> FILENAME \* Lower\p \* MERGEFORMAT </w:instrText>
      </w:r>
      <w:r w:rsidRPr="00172AA8">
        <w:rPr>
          <w:sz w:val="16"/>
          <w:szCs w:val="16"/>
        </w:rPr>
        <w:fldChar w:fldCharType="separate"/>
      </w:r>
      <w:r w:rsidR="00E6683E">
        <w:rPr>
          <w:noProof/>
          <w:sz w:val="16"/>
          <w:szCs w:val="16"/>
        </w:rPr>
        <w:t>q:\cadm\orders\prelim\45000\45702po.docx</w:t>
      </w:r>
      <w:r w:rsidRPr="00172AA8">
        <w:rPr>
          <w:sz w:val="16"/>
          <w:szCs w:val="16"/>
        </w:rPr>
        <w:fldChar w:fldCharType="end"/>
      </w:r>
      <w:r w:rsidR="007F3C40" w:rsidRPr="003C35B5">
        <w:rPr>
          <w:sz w:val="16"/>
        </w:rPr>
        <w:t xml:space="preserve">  </w:t>
      </w: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7F6" w:rsidRDefault="002A67F6">
      <w:r>
        <w:separator/>
      </w:r>
    </w:p>
  </w:endnote>
  <w:endnote w:type="continuationSeparator" w:id="0">
    <w:p w:rsidR="002A67F6" w:rsidRDefault="002A6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7F6" w:rsidRDefault="002A67F6">
      <w:r>
        <w:separator/>
      </w:r>
    </w:p>
  </w:footnote>
  <w:footnote w:type="continuationSeparator" w:id="0">
    <w:p w:rsidR="002A67F6" w:rsidRDefault="002A67F6">
      <w:r>
        <w:continuationSeparator/>
      </w:r>
    </w:p>
  </w:footnote>
  <w:footnote w:id="1">
    <w:p w:rsidR="002A67F6" w:rsidRPr="00FD507D" w:rsidRDefault="002A67F6" w:rsidP="002A67F6">
      <w:pPr>
        <w:pStyle w:val="FootnoteText"/>
      </w:pPr>
      <w:r w:rsidRPr="00FD507D">
        <w:rPr>
          <w:rStyle w:val="FootnoteReference"/>
        </w:rPr>
        <w:footnoteRef/>
      </w:r>
      <w:r w:rsidRPr="00FD507D">
        <w:t xml:space="preserve"> </w:t>
      </w:r>
      <w:r w:rsidR="00FD507D">
        <w:t xml:space="preserve"> </w:t>
      </w:r>
      <w:r w:rsidRPr="00FD507D">
        <w:t xml:space="preserve">Green Valley Special Utility District’s Plea to the Jurisdiction and Motion to Dismiss at 2-3, </w:t>
      </w:r>
      <w:r w:rsidRPr="00FD507D">
        <w:rPr>
          <w:i/>
        </w:rPr>
        <w:t xml:space="preserve">citing </w:t>
      </w:r>
      <w:r w:rsidRPr="00FD507D">
        <w:t>7 U.S.C.A. § 1926(b) (Apr. 29, 2016).</w:t>
      </w:r>
    </w:p>
  </w:footnote>
  <w:footnote w:id="2">
    <w:p w:rsidR="00A13E8C" w:rsidRPr="00FD507D" w:rsidRDefault="00A13E8C">
      <w:pPr>
        <w:pStyle w:val="FootnoteText"/>
      </w:pPr>
      <w:r w:rsidRPr="00FD507D">
        <w:rPr>
          <w:rStyle w:val="FootnoteReference"/>
        </w:rPr>
        <w:footnoteRef/>
      </w:r>
      <w:r w:rsidRPr="00FD507D">
        <w:t xml:space="preserve"> </w:t>
      </w:r>
      <w:r w:rsidR="005E7D76" w:rsidRPr="00FD507D">
        <w:t xml:space="preserve"> </w:t>
      </w:r>
      <w:r w:rsidRPr="00FD507D">
        <w:rPr>
          <w:i/>
        </w:rPr>
        <w:t>Subaru of America Inc. v. David McDavid Nissan, Inc.</w:t>
      </w:r>
      <w:r w:rsidRPr="00FD507D">
        <w:t>, 84 S.W.3d 212, 220 (Tex. 2002).</w:t>
      </w:r>
    </w:p>
  </w:footnote>
  <w:footnote w:id="3">
    <w:p w:rsidR="009E5C26" w:rsidRPr="00FD507D" w:rsidRDefault="009E5C26">
      <w:pPr>
        <w:pStyle w:val="FootnoteText"/>
      </w:pPr>
      <w:r w:rsidRPr="00FD507D">
        <w:rPr>
          <w:rStyle w:val="FootnoteReference"/>
        </w:rPr>
        <w:footnoteRef/>
      </w:r>
      <w:r w:rsidRPr="00FD507D">
        <w:t xml:space="preserve">  </w:t>
      </w:r>
      <w:r w:rsidRPr="00FD507D">
        <w:rPr>
          <w:i/>
          <w:iCs/>
        </w:rPr>
        <w:t xml:space="preserve">Public Utility </w:t>
      </w:r>
      <w:r w:rsidRPr="00FD507D">
        <w:rPr>
          <w:bCs/>
          <w:i/>
          <w:iCs/>
        </w:rPr>
        <w:t xml:space="preserve">Commission </w:t>
      </w:r>
      <w:r w:rsidRPr="00FD507D">
        <w:rPr>
          <w:i/>
          <w:iCs/>
        </w:rPr>
        <w:t>of Texas v. Cities of Harlingen</w:t>
      </w:r>
      <w:proofErr w:type="gramStart"/>
      <w:r w:rsidRPr="00FD507D">
        <w:rPr>
          <w:iCs/>
        </w:rPr>
        <w:t>,</w:t>
      </w:r>
      <w:r w:rsidRPr="00FD507D">
        <w:rPr>
          <w:i/>
          <w:iCs/>
        </w:rPr>
        <w:t>,</w:t>
      </w:r>
      <w:proofErr w:type="gramEnd"/>
      <w:r w:rsidRPr="00FD507D">
        <w:t xml:space="preserve"> 311 S.W.3d 610, 615 (Tex. App.-Austin 2010, no pet.).</w:t>
      </w:r>
    </w:p>
  </w:footnote>
  <w:footnote w:id="4">
    <w:p w:rsidR="001B54C0" w:rsidRPr="00FD507D" w:rsidRDefault="001B54C0" w:rsidP="001B54C0">
      <w:pPr>
        <w:pStyle w:val="FootnoteText"/>
      </w:pPr>
      <w:r w:rsidRPr="00FD507D">
        <w:rPr>
          <w:rStyle w:val="FootnoteReference"/>
        </w:rPr>
        <w:footnoteRef/>
      </w:r>
      <w:r w:rsidRPr="00FD507D">
        <w:t xml:space="preserve"> </w:t>
      </w:r>
      <w:r w:rsidR="005E7D76" w:rsidRPr="00FD507D">
        <w:t xml:space="preserve"> </w:t>
      </w:r>
      <w:r w:rsidR="009E5C26" w:rsidRPr="00FD507D">
        <w:rPr>
          <w:i/>
          <w:iCs/>
        </w:rPr>
        <w:t xml:space="preserve">TXU Generation Co. v. Public Utility Commission of Texas, </w:t>
      </w:r>
      <w:r w:rsidR="009E5C26" w:rsidRPr="00FD507D">
        <w:t xml:space="preserve">165 S.W.3d 821, 829 (Tex. App.-Austin 2005, </w:t>
      </w:r>
      <w:r w:rsidR="009E5C26" w:rsidRPr="00FD507D">
        <w:rPr>
          <w:bCs/>
        </w:rPr>
        <w:t>no pet.).</w:t>
      </w:r>
    </w:p>
  </w:footnote>
  <w:footnote w:id="5">
    <w:p w:rsidR="005E7D76" w:rsidRPr="00FD507D" w:rsidRDefault="005E7D76">
      <w:pPr>
        <w:pStyle w:val="FootnoteText"/>
      </w:pPr>
      <w:r w:rsidRPr="00FD507D">
        <w:rPr>
          <w:rStyle w:val="FootnoteReference"/>
        </w:rPr>
        <w:footnoteRef/>
      </w:r>
      <w:r w:rsidRPr="00FD507D">
        <w:t xml:space="preserve">  </w:t>
      </w:r>
      <w:r w:rsidR="00217928" w:rsidRPr="00FD507D">
        <w:rPr>
          <w:rStyle w:val="FootnoteTextChar"/>
          <w:i/>
        </w:rPr>
        <w:t>Texas Coast Utilities Coalition v. Rail Road Commission of Texas</w:t>
      </w:r>
      <w:r w:rsidR="00217928" w:rsidRPr="00FD507D">
        <w:rPr>
          <w:rStyle w:val="FootnoteTextChar"/>
        </w:rPr>
        <w:t xml:space="preserve">, 423 S.W.3d 355, 360 (Tex. 2014) (quoting </w:t>
      </w:r>
      <w:r w:rsidRPr="00FD507D">
        <w:rPr>
          <w:i/>
          <w:iCs/>
        </w:rPr>
        <w:t xml:space="preserve">Public Utility </w:t>
      </w:r>
      <w:r w:rsidRPr="00FD507D">
        <w:rPr>
          <w:bCs/>
          <w:i/>
          <w:iCs/>
        </w:rPr>
        <w:t xml:space="preserve">Commission </w:t>
      </w:r>
      <w:r w:rsidRPr="00FD507D">
        <w:rPr>
          <w:i/>
          <w:iCs/>
        </w:rPr>
        <w:t>of Texas v. City Public Service Board of San Antonio</w:t>
      </w:r>
      <w:r w:rsidRPr="00FD507D">
        <w:rPr>
          <w:iCs/>
        </w:rPr>
        <w:t>,</w:t>
      </w:r>
      <w:r w:rsidRPr="00FD507D">
        <w:rPr>
          <w:i/>
          <w:iCs/>
        </w:rPr>
        <w:t xml:space="preserve"> </w:t>
      </w:r>
      <w:r w:rsidRPr="00FD507D">
        <w:t>53 S.W.3d 310, 316 (Tex. 2001)</w:t>
      </w:r>
      <w:r w:rsidR="00217928" w:rsidRPr="00FD507D">
        <w:t xml:space="preserve">; and </w:t>
      </w:r>
      <w:r w:rsidRPr="00FD507D">
        <w:t>citing</w:t>
      </w:r>
      <w:hyperlink r:id="rId1" w:anchor="co_pp_sp_713_407" w:history="1">
        <w:r w:rsidRPr="00FD507D">
          <w:rPr>
            <w:i/>
          </w:rPr>
          <w:t xml:space="preserve"> Public Utility Commission of Texas v. GTE-Southwest, Inc.</w:t>
        </w:r>
        <w:r w:rsidRPr="00FD507D">
          <w:t>, 901 S.W.2d 401, 407 (Tex. 1995)</w:t>
        </w:r>
      </w:hyperlink>
      <w:r w:rsidR="00217928" w:rsidRPr="00FD507D">
        <w:t>)</w:t>
      </w:r>
      <w:r w:rsidR="00D070A5">
        <w:t xml:space="preserve"> (emphasis added)</w:t>
      </w:r>
      <w:r w:rsidR="00217928" w:rsidRPr="00FD507D">
        <w:t>.</w:t>
      </w:r>
    </w:p>
  </w:footnote>
  <w:footnote w:id="6">
    <w:p w:rsidR="00113BB2" w:rsidRPr="00FD507D" w:rsidRDefault="00113BB2" w:rsidP="000069F2">
      <w:pPr>
        <w:pStyle w:val="FootnoteText"/>
      </w:pPr>
      <w:r w:rsidRPr="00FD507D">
        <w:rPr>
          <w:rStyle w:val="FootnoteReference"/>
        </w:rPr>
        <w:footnoteRef/>
      </w:r>
      <w:r w:rsidRPr="00FD507D">
        <w:t xml:space="preserve">  TWC § 13.255(c)</w:t>
      </w:r>
      <w:r w:rsidR="000B00CD" w:rsidRPr="00FD507D">
        <w:t xml:space="preserve"> (emphasis added)</w:t>
      </w:r>
      <w:r w:rsidRPr="00FD507D">
        <w:t>.</w:t>
      </w:r>
    </w:p>
  </w:footnote>
  <w:footnote w:id="7">
    <w:p w:rsidR="004A37B9" w:rsidRPr="00452EA7" w:rsidRDefault="004A37B9">
      <w:pPr>
        <w:pStyle w:val="FootnoteText"/>
      </w:pPr>
      <w:r w:rsidRPr="00FD507D">
        <w:rPr>
          <w:rStyle w:val="FootnoteReference"/>
        </w:rPr>
        <w:footnoteRef/>
      </w:r>
      <w:r w:rsidRPr="00FD507D">
        <w:t xml:space="preserve">  </w:t>
      </w:r>
      <w:r w:rsidR="00452EA7">
        <w:rPr>
          <w:i/>
        </w:rPr>
        <w:t>Id</w:t>
      </w:r>
      <w:r w:rsidR="00452EA7">
        <w:t>.</w:t>
      </w:r>
    </w:p>
  </w:footnote>
  <w:footnote w:id="8">
    <w:p w:rsidR="00EC6394" w:rsidRPr="00FD507D" w:rsidRDefault="00EC6394" w:rsidP="000069F2">
      <w:pPr>
        <w:autoSpaceDE w:val="0"/>
        <w:autoSpaceDN w:val="0"/>
        <w:adjustRightInd w:val="0"/>
        <w:snapToGrid w:val="0"/>
        <w:spacing w:line="240" w:lineRule="exact"/>
        <w:ind w:firstLine="720"/>
        <w:rPr>
          <w:rStyle w:val="FootnoteTextChar"/>
          <w:sz w:val="20"/>
        </w:rPr>
      </w:pPr>
      <w:r w:rsidRPr="00FD507D">
        <w:rPr>
          <w:rStyle w:val="FootnoteReference"/>
        </w:rPr>
        <w:footnoteRef/>
      </w:r>
      <w:r w:rsidRPr="00FD507D">
        <w:rPr>
          <w:sz w:val="20"/>
        </w:rPr>
        <w:t xml:space="preserve">  </w:t>
      </w:r>
      <w:r w:rsidRPr="00FD507D">
        <w:rPr>
          <w:rStyle w:val="FootnoteTextChar"/>
          <w:sz w:val="20"/>
        </w:rPr>
        <w:t xml:space="preserve">Green Valley Special Utility District’s </w:t>
      </w:r>
      <w:r w:rsidR="00A04FD6">
        <w:rPr>
          <w:rStyle w:val="FootnoteTextChar"/>
          <w:sz w:val="20"/>
        </w:rPr>
        <w:t xml:space="preserve">(Green Valley’s) </w:t>
      </w:r>
      <w:r w:rsidRPr="00FD507D">
        <w:rPr>
          <w:rStyle w:val="FootnoteTextChar"/>
          <w:sz w:val="20"/>
        </w:rPr>
        <w:t xml:space="preserve">Initial Brief on Threshold </w:t>
      </w:r>
      <w:r w:rsidR="00A04FD6">
        <w:rPr>
          <w:rStyle w:val="FootnoteTextChar"/>
          <w:sz w:val="20"/>
        </w:rPr>
        <w:t xml:space="preserve">Legal/Policy </w:t>
      </w:r>
      <w:r w:rsidRPr="00FD507D">
        <w:rPr>
          <w:rStyle w:val="FootnoteTextChar"/>
          <w:sz w:val="20"/>
        </w:rPr>
        <w:t>Issues</w:t>
      </w:r>
      <w:r w:rsidR="00A04FD6">
        <w:rPr>
          <w:rStyle w:val="FootnoteTextChar"/>
          <w:sz w:val="20"/>
        </w:rPr>
        <w:t xml:space="preserve"> (Initial Brief) </w:t>
      </w:r>
      <w:r w:rsidRPr="00FD507D">
        <w:rPr>
          <w:rStyle w:val="FootnoteTextChar"/>
          <w:sz w:val="20"/>
        </w:rPr>
        <w:t xml:space="preserve">at </w:t>
      </w:r>
      <w:r w:rsidR="000069F2" w:rsidRPr="00FD507D">
        <w:rPr>
          <w:rStyle w:val="FootnoteTextChar"/>
          <w:sz w:val="20"/>
        </w:rPr>
        <w:t>9 (“[F]</w:t>
      </w:r>
      <w:proofErr w:type="spellStart"/>
      <w:r w:rsidR="000069F2" w:rsidRPr="00FD507D">
        <w:rPr>
          <w:rStyle w:val="FootnoteTextChar"/>
          <w:sz w:val="20"/>
        </w:rPr>
        <w:t>ederal</w:t>
      </w:r>
      <w:proofErr w:type="spellEnd"/>
      <w:r w:rsidR="000069F2" w:rsidRPr="00FD507D">
        <w:rPr>
          <w:rStyle w:val="FootnoteTextChar"/>
          <w:sz w:val="20"/>
        </w:rPr>
        <w:t xml:space="preserve"> preemption of TWC § 13.255 by § 1926(b) applies and requires the Commission deny or dismiss Cibolo's application due to irreconcilable conflict.”)</w:t>
      </w:r>
      <w:r w:rsidR="00FD507D" w:rsidRPr="00FD507D">
        <w:rPr>
          <w:rStyle w:val="FootnoteTextChar"/>
          <w:sz w:val="20"/>
        </w:rPr>
        <w:t xml:space="preserve"> (Jun. 6, 2016).</w:t>
      </w:r>
    </w:p>
  </w:footnote>
  <w:footnote w:id="9">
    <w:p w:rsidR="000B00CD" w:rsidRDefault="000B00CD">
      <w:pPr>
        <w:pStyle w:val="FootnoteText"/>
      </w:pPr>
      <w:r w:rsidRPr="00FD507D">
        <w:rPr>
          <w:rStyle w:val="FootnoteReference"/>
        </w:rPr>
        <w:footnoteRef/>
      </w:r>
      <w:r w:rsidRPr="00FD507D">
        <w:t xml:space="preserve">  Green Valley’s Initial Brief at </w:t>
      </w:r>
      <w:r w:rsidR="00A04FD6">
        <w:t>2-9; Green Valley’s Reply Brief on Threshold  Legal/Policy Issues (Reply Brief) at 4-9 (Jun. 14, 2016).</w:t>
      </w:r>
    </w:p>
  </w:footnote>
  <w:footnote w:id="10">
    <w:p w:rsidR="00D070A5" w:rsidRPr="00D070A5" w:rsidRDefault="00D070A5">
      <w:pPr>
        <w:pStyle w:val="FootnoteText"/>
      </w:pPr>
      <w:r>
        <w:rPr>
          <w:rStyle w:val="FootnoteReference"/>
        </w:rPr>
        <w:footnoteRef/>
      </w:r>
      <w:r>
        <w:t xml:space="preserve">  </w:t>
      </w:r>
      <w:r>
        <w:rPr>
          <w:i/>
        </w:rPr>
        <w:t>E.g.</w:t>
      </w:r>
      <w:r>
        <w:t xml:space="preserve"> TWC § 13.254(a-1) (“The fact that a certificate holder is a borrower under a federal loan program is not a bar to a request under this subsection for the release of the petitioner’s land and the receipt of services from an alternative provider.”)</w:t>
      </w:r>
    </w:p>
  </w:footnote>
  <w:footnote w:id="11">
    <w:p w:rsidR="00BC1C26" w:rsidRDefault="00BC1C26">
      <w:pPr>
        <w:pStyle w:val="FootnoteText"/>
      </w:pPr>
      <w:r>
        <w:rPr>
          <w:rStyle w:val="FootnoteReference"/>
        </w:rPr>
        <w:footnoteRef/>
      </w:r>
      <w:r>
        <w:t xml:space="preserve"> </w:t>
      </w:r>
      <w:r w:rsidR="00110BED">
        <w:t xml:space="preserve"> </w:t>
      </w:r>
      <w:r>
        <w:t>TWC § 13.255(m).</w:t>
      </w:r>
    </w:p>
  </w:footnote>
  <w:footnote w:id="12">
    <w:p w:rsidR="008C1DDB" w:rsidRPr="009852E8" w:rsidRDefault="008C1DDB" w:rsidP="00E939EC">
      <w:pPr>
        <w:pStyle w:val="FootnoteText"/>
        <w:spacing w:before="0"/>
      </w:pPr>
      <w:r>
        <w:rPr>
          <w:rStyle w:val="FootnoteReference"/>
        </w:rPr>
        <w:footnoteRef/>
      </w:r>
      <w:r>
        <w:t xml:space="preserve">  </w:t>
      </w:r>
      <w:r>
        <w:rPr>
          <w:i/>
        </w:rPr>
        <w:t xml:space="preserve">See </w:t>
      </w:r>
      <w:r w:rsidR="00E939EC">
        <w:rPr>
          <w:i/>
        </w:rPr>
        <w:t xml:space="preserve">Application of City of Heath to Amend a Certificate of Convenience and Necessity to </w:t>
      </w:r>
      <w:proofErr w:type="spellStart"/>
      <w:r w:rsidR="00E939EC">
        <w:rPr>
          <w:i/>
        </w:rPr>
        <w:t>Decertifya</w:t>
      </w:r>
      <w:proofErr w:type="spellEnd"/>
      <w:r w:rsidR="00E939EC">
        <w:rPr>
          <w:i/>
        </w:rPr>
        <w:t xml:space="preserve"> Portion of Forney Lake Water Supply Corporation’s Service Area in Rockwall County</w:t>
      </w:r>
      <w:r w:rsidR="00E939EC">
        <w:t>, Docket No.44541,</w:t>
      </w:r>
      <w:r w:rsidR="00E939EC">
        <w:rPr>
          <w:i/>
        </w:rPr>
        <w:t xml:space="preserve"> </w:t>
      </w:r>
      <w:r>
        <w:t>Order on Appeal of Order No. 4 (Aug. 24, 201</w:t>
      </w:r>
      <w:r w:rsidR="00CB1D62">
        <w:t>5</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201BB9">
    <w:pPr>
      <w:pStyle w:val="Header"/>
      <w:spacing w:before="0" w:line="240" w:lineRule="auto"/>
      <w:rPr>
        <w:rStyle w:val="PageNumber"/>
        <w:sz w:val="20"/>
      </w:rPr>
    </w:pPr>
    <w:r w:rsidRPr="00D07FE4">
      <w:rPr>
        <w:sz w:val="20"/>
      </w:rPr>
      <w:t>Doc</w:t>
    </w:r>
    <w:r>
      <w:rPr>
        <w:sz w:val="20"/>
      </w:rPr>
      <w:t>ket No. 45702</w:t>
    </w:r>
    <w:r w:rsidR="003243A0" w:rsidRPr="00D07FE4">
      <w:rPr>
        <w:sz w:val="20"/>
      </w:rPr>
      <w:tab/>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AE5BE8">
      <w:rPr>
        <w:rStyle w:val="PageNumber"/>
        <w:noProof/>
        <w:sz w:val="20"/>
      </w:rPr>
      <w:t>7</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AE5BE8">
      <w:rPr>
        <w:rStyle w:val="PageNumber"/>
        <w:noProof/>
        <w:sz w:val="20"/>
      </w:rPr>
      <w:t>7</w:t>
    </w:r>
    <w:r w:rsidR="003243A0" w:rsidRPr="00D07FE4">
      <w:rPr>
        <w:rStyle w:val="PageNumber"/>
        <w:sz w:val="20"/>
      </w:rPr>
      <w:fldChar w:fldCharType="end"/>
    </w:r>
  </w:p>
  <w:p w:rsidR="003243A0" w:rsidRDefault="003243A0">
    <w:pPr>
      <w:pStyle w:val="Header"/>
      <w:spacing w:before="0" w:line="240" w:lineRule="auto"/>
      <w:rPr>
        <w:rStyle w:val="PageNumber"/>
      </w:rPr>
    </w:pP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15:restartNumberingAfterBreak="0">
    <w:nsid w:val="250979C2"/>
    <w:multiLevelType w:val="singleLevel"/>
    <w:tmpl w:val="76C4B292"/>
    <w:lvl w:ilvl="0">
      <w:start w:val="1"/>
      <w:numFmt w:val="decimal"/>
      <w:lvlText w:val="%1."/>
      <w:legacy w:legacy="1" w:legacySpace="0" w:legacyIndent="360"/>
      <w:lvlJc w:val="left"/>
      <w:pPr>
        <w:ind w:left="360" w:hanging="360"/>
      </w:pPr>
    </w:lvl>
  </w:abstractNum>
  <w:abstractNum w:abstractNumId="4"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6" w15:restartNumberingAfterBreak="0">
    <w:nsid w:val="40B80CE4"/>
    <w:multiLevelType w:val="hybridMultilevel"/>
    <w:tmpl w:val="0D14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0D5C71"/>
    <w:multiLevelType w:val="hybridMultilevel"/>
    <w:tmpl w:val="FFCA9AE6"/>
    <w:lvl w:ilvl="0" w:tplc="6E74D6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274714F"/>
    <w:multiLevelType w:val="singleLevel"/>
    <w:tmpl w:val="76C4B292"/>
    <w:lvl w:ilvl="0">
      <w:start w:val="1"/>
      <w:numFmt w:val="decimal"/>
      <w:lvlText w:val="%1."/>
      <w:legacy w:legacy="1" w:legacySpace="0" w:legacyIndent="360"/>
      <w:lvlJc w:val="left"/>
      <w:pPr>
        <w:ind w:left="360" w:hanging="360"/>
      </w:pPr>
    </w:lvl>
  </w:abstractNum>
  <w:abstractNum w:abstractNumId="10"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1"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3" w15:restartNumberingAfterBreak="0">
    <w:nsid w:val="78B91645"/>
    <w:multiLevelType w:val="multilevel"/>
    <w:tmpl w:val="76C4B292"/>
    <w:lvl w:ilvl="0">
      <w:start w:val="1"/>
      <w:numFmt w:val="decimal"/>
      <w:lvlText w:val="%1."/>
      <w:legacy w:legacy="1" w:legacySpace="0" w:legacyIndent="360"/>
      <w:lvlJc w:val="left"/>
      <w:pPr>
        <w:ind w:left="360" w:hanging="360"/>
      </w:pPr>
    </w:lvl>
    <w:lvl w:ilvl="1">
      <w:start w:val="1"/>
      <w:numFmt w:val="lowerLetter"/>
      <w:lvlText w:val="%2."/>
      <w:lvlJc w:val="left"/>
      <w:pPr>
        <w:tabs>
          <w:tab w:val="num" w:pos="720"/>
        </w:tabs>
        <w:ind w:left="720" w:hanging="360"/>
      </w:pPr>
    </w:lvl>
    <w:lvl w:ilvl="2" w:tentative="1">
      <w:start w:val="1"/>
      <w:numFmt w:val="lowerRoman"/>
      <w:lvlText w:val="%3."/>
      <w:lvlJc w:val="right"/>
      <w:pPr>
        <w:tabs>
          <w:tab w:val="num" w:pos="1440"/>
        </w:tabs>
        <w:ind w:left="1440" w:hanging="180"/>
      </w:pPr>
    </w:lvl>
    <w:lvl w:ilvl="3" w:tentative="1">
      <w:start w:val="1"/>
      <w:numFmt w:val="decimal"/>
      <w:lvlText w:val="%4."/>
      <w:lvlJc w:val="left"/>
      <w:pPr>
        <w:tabs>
          <w:tab w:val="num" w:pos="2160"/>
        </w:tabs>
        <w:ind w:left="2160" w:hanging="360"/>
      </w:pPr>
    </w:lvl>
    <w:lvl w:ilvl="4" w:tentative="1">
      <w:start w:val="1"/>
      <w:numFmt w:val="lowerLetter"/>
      <w:lvlText w:val="%5."/>
      <w:lvlJc w:val="left"/>
      <w:pPr>
        <w:tabs>
          <w:tab w:val="num" w:pos="2880"/>
        </w:tabs>
        <w:ind w:left="2880" w:hanging="360"/>
      </w:pPr>
    </w:lvl>
    <w:lvl w:ilvl="5" w:tentative="1">
      <w:start w:val="1"/>
      <w:numFmt w:val="lowerRoman"/>
      <w:lvlText w:val="%6."/>
      <w:lvlJc w:val="right"/>
      <w:pPr>
        <w:tabs>
          <w:tab w:val="num" w:pos="3600"/>
        </w:tabs>
        <w:ind w:left="3600" w:hanging="180"/>
      </w:pPr>
    </w:lvl>
    <w:lvl w:ilvl="6" w:tentative="1">
      <w:start w:val="1"/>
      <w:numFmt w:val="decimal"/>
      <w:lvlText w:val="%7."/>
      <w:lvlJc w:val="left"/>
      <w:pPr>
        <w:tabs>
          <w:tab w:val="num" w:pos="4320"/>
        </w:tabs>
        <w:ind w:left="4320" w:hanging="360"/>
      </w:pPr>
    </w:lvl>
    <w:lvl w:ilvl="7" w:tentative="1">
      <w:start w:val="1"/>
      <w:numFmt w:val="lowerLetter"/>
      <w:lvlText w:val="%8."/>
      <w:lvlJc w:val="left"/>
      <w:pPr>
        <w:tabs>
          <w:tab w:val="num" w:pos="5040"/>
        </w:tabs>
        <w:ind w:left="5040" w:hanging="360"/>
      </w:pPr>
    </w:lvl>
    <w:lvl w:ilvl="8" w:tentative="1">
      <w:start w:val="1"/>
      <w:numFmt w:val="lowerRoman"/>
      <w:lvlText w:val="%9."/>
      <w:lvlJc w:val="right"/>
      <w:pPr>
        <w:tabs>
          <w:tab w:val="num" w:pos="5760"/>
        </w:tabs>
        <w:ind w:left="5760" w:hanging="180"/>
      </w:pPr>
    </w:lvl>
  </w:abstractNum>
  <w:num w:numId="1">
    <w:abstractNumId w:val="5"/>
  </w:num>
  <w:num w:numId="2">
    <w:abstractNumId w:val="0"/>
  </w:num>
  <w:num w:numId="3">
    <w:abstractNumId w:val="10"/>
  </w:num>
  <w:num w:numId="4">
    <w:abstractNumId w:val="8"/>
  </w:num>
  <w:num w:numId="5">
    <w:abstractNumId w:val="11"/>
  </w:num>
  <w:num w:numId="6">
    <w:abstractNumId w:val="1"/>
  </w:num>
  <w:num w:numId="7">
    <w:abstractNumId w:val="2"/>
  </w:num>
  <w:num w:numId="8">
    <w:abstractNumId w:val="4"/>
  </w:num>
  <w:num w:numId="9">
    <w:abstractNumId w:val="12"/>
  </w:num>
  <w:num w:numId="10">
    <w:abstractNumId w:val="6"/>
  </w:num>
  <w:num w:numId="11">
    <w:abstractNumId w:val="13"/>
  </w:num>
  <w:num w:numId="12">
    <w:abstractNumId w:val="9"/>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7F6"/>
    <w:rsid w:val="0000092F"/>
    <w:rsid w:val="000069F2"/>
    <w:rsid w:val="00072267"/>
    <w:rsid w:val="000B00CD"/>
    <w:rsid w:val="000D3D8B"/>
    <w:rsid w:val="00110BED"/>
    <w:rsid w:val="00113BB2"/>
    <w:rsid w:val="001175E2"/>
    <w:rsid w:val="0012543C"/>
    <w:rsid w:val="0017246C"/>
    <w:rsid w:val="00172AA8"/>
    <w:rsid w:val="001879F5"/>
    <w:rsid w:val="001B54C0"/>
    <w:rsid w:val="001B7148"/>
    <w:rsid w:val="001C1961"/>
    <w:rsid w:val="001C225E"/>
    <w:rsid w:val="001E3E84"/>
    <w:rsid w:val="001E4645"/>
    <w:rsid w:val="00201BB9"/>
    <w:rsid w:val="00203F6D"/>
    <w:rsid w:val="002133F3"/>
    <w:rsid w:val="00217928"/>
    <w:rsid w:val="002723B2"/>
    <w:rsid w:val="00275B22"/>
    <w:rsid w:val="002A67F6"/>
    <w:rsid w:val="002B0DD0"/>
    <w:rsid w:val="002B52E0"/>
    <w:rsid w:val="002D2669"/>
    <w:rsid w:val="003243A0"/>
    <w:rsid w:val="003572F8"/>
    <w:rsid w:val="00364BA2"/>
    <w:rsid w:val="003A255D"/>
    <w:rsid w:val="003C35B5"/>
    <w:rsid w:val="003C58B7"/>
    <w:rsid w:val="003D1D8E"/>
    <w:rsid w:val="003F7A05"/>
    <w:rsid w:val="00452EA7"/>
    <w:rsid w:val="004557D6"/>
    <w:rsid w:val="00475705"/>
    <w:rsid w:val="004A37B9"/>
    <w:rsid w:val="004B6E0F"/>
    <w:rsid w:val="004C68D3"/>
    <w:rsid w:val="00513DEC"/>
    <w:rsid w:val="00575075"/>
    <w:rsid w:val="00581D4C"/>
    <w:rsid w:val="005A2B53"/>
    <w:rsid w:val="005A6F32"/>
    <w:rsid w:val="005B3219"/>
    <w:rsid w:val="005B5B97"/>
    <w:rsid w:val="005E1F28"/>
    <w:rsid w:val="005E7D76"/>
    <w:rsid w:val="00616747"/>
    <w:rsid w:val="006312D3"/>
    <w:rsid w:val="00653486"/>
    <w:rsid w:val="00676438"/>
    <w:rsid w:val="00683707"/>
    <w:rsid w:val="006F000D"/>
    <w:rsid w:val="0074722F"/>
    <w:rsid w:val="007A5644"/>
    <w:rsid w:val="007B04CB"/>
    <w:rsid w:val="007B24AD"/>
    <w:rsid w:val="007B755A"/>
    <w:rsid w:val="007F3C40"/>
    <w:rsid w:val="008327C2"/>
    <w:rsid w:val="008342FA"/>
    <w:rsid w:val="00846D47"/>
    <w:rsid w:val="00881022"/>
    <w:rsid w:val="008A59F7"/>
    <w:rsid w:val="008C1DDB"/>
    <w:rsid w:val="008C7F0C"/>
    <w:rsid w:val="008D09E6"/>
    <w:rsid w:val="009032D6"/>
    <w:rsid w:val="00917E2A"/>
    <w:rsid w:val="009264E7"/>
    <w:rsid w:val="00930D79"/>
    <w:rsid w:val="00951F5C"/>
    <w:rsid w:val="0097068B"/>
    <w:rsid w:val="00995701"/>
    <w:rsid w:val="009E5C26"/>
    <w:rsid w:val="009F1850"/>
    <w:rsid w:val="00A03850"/>
    <w:rsid w:val="00A04FD6"/>
    <w:rsid w:val="00A13E8C"/>
    <w:rsid w:val="00AA36AA"/>
    <w:rsid w:val="00AA4072"/>
    <w:rsid w:val="00AC0A5A"/>
    <w:rsid w:val="00AC2D6E"/>
    <w:rsid w:val="00AD0759"/>
    <w:rsid w:val="00AE5BE8"/>
    <w:rsid w:val="00AF605A"/>
    <w:rsid w:val="00AF6209"/>
    <w:rsid w:val="00B10142"/>
    <w:rsid w:val="00B81B17"/>
    <w:rsid w:val="00B94042"/>
    <w:rsid w:val="00B95CF0"/>
    <w:rsid w:val="00BA289E"/>
    <w:rsid w:val="00BC1C26"/>
    <w:rsid w:val="00BD02BE"/>
    <w:rsid w:val="00C2483A"/>
    <w:rsid w:val="00C35689"/>
    <w:rsid w:val="00C6295E"/>
    <w:rsid w:val="00C816B8"/>
    <w:rsid w:val="00CB1D62"/>
    <w:rsid w:val="00CC4119"/>
    <w:rsid w:val="00CE470D"/>
    <w:rsid w:val="00D070A5"/>
    <w:rsid w:val="00D07FE4"/>
    <w:rsid w:val="00D10A2B"/>
    <w:rsid w:val="00D44130"/>
    <w:rsid w:val="00DC241F"/>
    <w:rsid w:val="00DD0940"/>
    <w:rsid w:val="00DD766D"/>
    <w:rsid w:val="00E6683E"/>
    <w:rsid w:val="00E70E7E"/>
    <w:rsid w:val="00E722B1"/>
    <w:rsid w:val="00E776FA"/>
    <w:rsid w:val="00E90AFD"/>
    <w:rsid w:val="00E939EC"/>
    <w:rsid w:val="00EC6394"/>
    <w:rsid w:val="00EF1923"/>
    <w:rsid w:val="00EF2B84"/>
    <w:rsid w:val="00F3029D"/>
    <w:rsid w:val="00FD4D17"/>
    <w:rsid w:val="00FD5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BB8B2D-3502-4F52-84EE-295BBC13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rPr>
      <w:position w:val="6"/>
      <w:sz w:val="17"/>
    </w:rPr>
  </w:style>
  <w:style w:type="paragraph" w:styleId="FootnoteText">
    <w:name w:val="footnote text"/>
    <w:basedOn w:val="Normal"/>
    <w:link w:val="FootnoteTextChar"/>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link w:val="BodyTextChar"/>
    <w:qFormat/>
    <w:rsid w:val="002133F3"/>
    <w:pPr>
      <w:spacing w:before="0"/>
    </w:pPr>
  </w:style>
  <w:style w:type="paragraph" w:styleId="Subtitle">
    <w:name w:val="Subtitle"/>
    <w:basedOn w:val="Normal"/>
    <w:qFormat/>
    <w:rsid w:val="002133F3"/>
    <w:pPr>
      <w:spacing w:before="0"/>
      <w:jc w:val="center"/>
    </w:pPr>
    <w:rPr>
      <w:b/>
    </w:rPr>
  </w:style>
  <w:style w:type="character" w:customStyle="1" w:styleId="BodyTextChar">
    <w:name w:val="Body Text Char"/>
    <w:link w:val="BodyText"/>
    <w:rsid w:val="002A67F6"/>
    <w:rPr>
      <w:sz w:val="24"/>
    </w:rPr>
  </w:style>
  <w:style w:type="character" w:customStyle="1" w:styleId="FootnoteTextChar">
    <w:name w:val="Footnote Text Char"/>
    <w:link w:val="FootnoteText"/>
    <w:rsid w:val="002A67F6"/>
  </w:style>
  <w:style w:type="paragraph" w:styleId="ListParagraph">
    <w:name w:val="List Paragraph"/>
    <w:basedOn w:val="Normal"/>
    <w:uiPriority w:val="34"/>
    <w:qFormat/>
    <w:rsid w:val="008C1DDB"/>
    <w:pPr>
      <w:ind w:left="720"/>
      <w:contextualSpacing/>
    </w:pPr>
  </w:style>
  <w:style w:type="paragraph" w:styleId="BalloonText">
    <w:name w:val="Balloon Text"/>
    <w:basedOn w:val="Normal"/>
    <w:link w:val="BalloonTextChar"/>
    <w:rsid w:val="00575075"/>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rsid w:val="005750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10637">
      <w:bodyDiv w:val="1"/>
      <w:marLeft w:val="0"/>
      <w:marRight w:val="0"/>
      <w:marTop w:val="0"/>
      <w:marBottom w:val="0"/>
      <w:divBdr>
        <w:top w:val="none" w:sz="0" w:space="0" w:color="auto"/>
        <w:left w:val="none" w:sz="0" w:space="0" w:color="auto"/>
        <w:bottom w:val="none" w:sz="0" w:space="0" w:color="auto"/>
        <w:right w:val="none" w:sz="0" w:space="0" w:color="auto"/>
      </w:divBdr>
      <w:divsChild>
        <w:div w:id="1615674239">
          <w:marLeft w:val="0"/>
          <w:marRight w:val="0"/>
          <w:marTop w:val="0"/>
          <w:marBottom w:val="0"/>
          <w:divBdr>
            <w:top w:val="none" w:sz="0" w:space="0" w:color="auto"/>
            <w:left w:val="none" w:sz="0" w:space="0" w:color="auto"/>
            <w:bottom w:val="none" w:sz="0" w:space="0" w:color="auto"/>
            <w:right w:val="none" w:sz="0" w:space="0" w:color="auto"/>
          </w:divBdr>
          <w:divsChild>
            <w:div w:id="679046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670115">
      <w:bodyDiv w:val="1"/>
      <w:marLeft w:val="0"/>
      <w:marRight w:val="0"/>
      <w:marTop w:val="0"/>
      <w:marBottom w:val="0"/>
      <w:divBdr>
        <w:top w:val="none" w:sz="0" w:space="0" w:color="auto"/>
        <w:left w:val="none" w:sz="0" w:space="0" w:color="auto"/>
        <w:bottom w:val="none" w:sz="0" w:space="0" w:color="auto"/>
        <w:right w:val="none" w:sz="0" w:space="0" w:color="auto"/>
      </w:divBdr>
      <w:divsChild>
        <w:div w:id="435564875">
          <w:marLeft w:val="0"/>
          <w:marRight w:val="0"/>
          <w:marTop w:val="0"/>
          <w:marBottom w:val="0"/>
          <w:divBdr>
            <w:top w:val="none" w:sz="0" w:space="0" w:color="auto"/>
            <w:left w:val="single" w:sz="6" w:space="0" w:color="BBBBBB"/>
            <w:bottom w:val="single" w:sz="6" w:space="0" w:color="BBBBBB"/>
            <w:right w:val="single" w:sz="6" w:space="0" w:color="BBBBBB"/>
          </w:divBdr>
          <w:divsChild>
            <w:div w:id="801925275">
              <w:marLeft w:val="0"/>
              <w:marRight w:val="0"/>
              <w:marTop w:val="0"/>
              <w:marBottom w:val="0"/>
              <w:divBdr>
                <w:top w:val="none" w:sz="0" w:space="0" w:color="auto"/>
                <w:left w:val="none" w:sz="0" w:space="0" w:color="auto"/>
                <w:bottom w:val="none" w:sz="0" w:space="0" w:color="auto"/>
                <w:right w:val="none" w:sz="0" w:space="0" w:color="auto"/>
              </w:divBdr>
              <w:divsChild>
                <w:div w:id="2141146285">
                  <w:marLeft w:val="0"/>
                  <w:marRight w:val="0"/>
                  <w:marTop w:val="0"/>
                  <w:marBottom w:val="0"/>
                  <w:divBdr>
                    <w:top w:val="none" w:sz="0" w:space="0" w:color="auto"/>
                    <w:left w:val="none" w:sz="0" w:space="0" w:color="auto"/>
                    <w:bottom w:val="none" w:sz="0" w:space="0" w:color="auto"/>
                    <w:right w:val="none" w:sz="0" w:space="0" w:color="auto"/>
                  </w:divBdr>
                  <w:divsChild>
                    <w:div w:id="482626191">
                      <w:marLeft w:val="0"/>
                      <w:marRight w:val="0"/>
                      <w:marTop w:val="0"/>
                      <w:marBottom w:val="0"/>
                      <w:divBdr>
                        <w:top w:val="none" w:sz="0" w:space="0" w:color="auto"/>
                        <w:left w:val="none" w:sz="0" w:space="0" w:color="auto"/>
                        <w:bottom w:val="none" w:sz="0" w:space="0" w:color="auto"/>
                        <w:right w:val="none" w:sz="0" w:space="0" w:color="auto"/>
                      </w:divBdr>
                      <w:divsChild>
                        <w:div w:id="124006901">
                          <w:marLeft w:val="0"/>
                          <w:marRight w:val="0"/>
                          <w:marTop w:val="0"/>
                          <w:marBottom w:val="0"/>
                          <w:divBdr>
                            <w:top w:val="none" w:sz="0" w:space="0" w:color="auto"/>
                            <w:left w:val="none" w:sz="0" w:space="0" w:color="auto"/>
                            <w:bottom w:val="none" w:sz="0" w:space="0" w:color="auto"/>
                            <w:right w:val="none" w:sz="0" w:space="0" w:color="auto"/>
                          </w:divBdr>
                          <w:divsChild>
                            <w:div w:id="1221594230">
                              <w:marLeft w:val="0"/>
                              <w:marRight w:val="0"/>
                              <w:marTop w:val="0"/>
                              <w:marBottom w:val="0"/>
                              <w:divBdr>
                                <w:top w:val="none" w:sz="0" w:space="0" w:color="auto"/>
                                <w:left w:val="none" w:sz="0" w:space="0" w:color="auto"/>
                                <w:bottom w:val="none" w:sz="0" w:space="0" w:color="auto"/>
                                <w:right w:val="none" w:sz="0" w:space="0" w:color="auto"/>
                              </w:divBdr>
                              <w:divsChild>
                                <w:div w:id="241912692">
                                  <w:marLeft w:val="0"/>
                                  <w:marRight w:val="0"/>
                                  <w:marTop w:val="0"/>
                                  <w:marBottom w:val="0"/>
                                  <w:divBdr>
                                    <w:top w:val="none" w:sz="0" w:space="0" w:color="auto"/>
                                    <w:left w:val="none" w:sz="0" w:space="0" w:color="auto"/>
                                    <w:bottom w:val="none" w:sz="0" w:space="0" w:color="auto"/>
                                    <w:right w:val="none" w:sz="0" w:space="0" w:color="auto"/>
                                  </w:divBdr>
                                  <w:divsChild>
                                    <w:div w:id="849224183">
                                      <w:marLeft w:val="0"/>
                                      <w:marRight w:val="0"/>
                                      <w:marTop w:val="0"/>
                                      <w:marBottom w:val="0"/>
                                      <w:divBdr>
                                        <w:top w:val="none" w:sz="0" w:space="0" w:color="auto"/>
                                        <w:left w:val="none" w:sz="0" w:space="0" w:color="auto"/>
                                        <w:bottom w:val="none" w:sz="0" w:space="0" w:color="auto"/>
                                        <w:right w:val="none" w:sz="0" w:space="0" w:color="auto"/>
                                      </w:divBdr>
                                      <w:divsChild>
                                        <w:div w:id="700479111">
                                          <w:marLeft w:val="1200"/>
                                          <w:marRight w:val="1200"/>
                                          <w:marTop w:val="0"/>
                                          <w:marBottom w:val="0"/>
                                          <w:divBdr>
                                            <w:top w:val="none" w:sz="0" w:space="0" w:color="auto"/>
                                            <w:left w:val="none" w:sz="0" w:space="0" w:color="auto"/>
                                            <w:bottom w:val="none" w:sz="0" w:space="0" w:color="auto"/>
                                            <w:right w:val="none" w:sz="0" w:space="0" w:color="auto"/>
                                          </w:divBdr>
                                          <w:divsChild>
                                            <w:div w:id="2142264928">
                                              <w:marLeft w:val="0"/>
                                              <w:marRight w:val="0"/>
                                              <w:marTop w:val="0"/>
                                              <w:marBottom w:val="0"/>
                                              <w:divBdr>
                                                <w:top w:val="none" w:sz="0" w:space="0" w:color="auto"/>
                                                <w:left w:val="none" w:sz="0" w:space="0" w:color="auto"/>
                                                <w:bottom w:val="none" w:sz="0" w:space="0" w:color="auto"/>
                                                <w:right w:val="none" w:sz="0" w:space="0" w:color="auto"/>
                                              </w:divBdr>
                                              <w:divsChild>
                                                <w:div w:id="1412658211">
                                                  <w:marLeft w:val="0"/>
                                                  <w:marRight w:val="0"/>
                                                  <w:marTop w:val="240"/>
                                                  <w:marBottom w:val="0"/>
                                                  <w:divBdr>
                                                    <w:top w:val="none" w:sz="0" w:space="0" w:color="auto"/>
                                                    <w:left w:val="none" w:sz="0" w:space="0" w:color="auto"/>
                                                    <w:bottom w:val="none" w:sz="0" w:space="0" w:color="auto"/>
                                                    <w:right w:val="none" w:sz="0" w:space="0" w:color="auto"/>
                                                  </w:divBdr>
                                                  <w:divsChild>
                                                    <w:div w:id="965114053">
                                                      <w:marLeft w:val="0"/>
                                                      <w:marRight w:val="0"/>
                                                      <w:marTop w:val="0"/>
                                                      <w:marBottom w:val="0"/>
                                                      <w:divBdr>
                                                        <w:top w:val="none" w:sz="0" w:space="0" w:color="auto"/>
                                                        <w:left w:val="none" w:sz="0" w:space="0" w:color="auto"/>
                                                        <w:bottom w:val="none" w:sz="0" w:space="0" w:color="auto"/>
                                                        <w:right w:val="none" w:sz="0" w:space="0" w:color="auto"/>
                                                      </w:divBdr>
                                                      <w:divsChild>
                                                        <w:div w:id="106774007">
                                                          <w:marLeft w:val="1275"/>
                                                          <w:marRight w:val="0"/>
                                                          <w:marTop w:val="0"/>
                                                          <w:marBottom w:val="0"/>
                                                          <w:divBdr>
                                                            <w:top w:val="none" w:sz="0" w:space="0" w:color="auto"/>
                                                            <w:left w:val="none" w:sz="0" w:space="0" w:color="auto"/>
                                                            <w:bottom w:val="none" w:sz="0" w:space="0" w:color="auto"/>
                                                            <w:right w:val="none" w:sz="0" w:space="0" w:color="auto"/>
                                                          </w:divBdr>
                                                          <w:divsChild>
                                                            <w:div w:id="1049459310">
                                                              <w:marLeft w:val="0"/>
                                                              <w:marRight w:val="0"/>
                                                              <w:marTop w:val="0"/>
                                                              <w:marBottom w:val="0"/>
                                                              <w:divBdr>
                                                                <w:top w:val="none" w:sz="0" w:space="0" w:color="auto"/>
                                                                <w:left w:val="none" w:sz="0" w:space="0" w:color="auto"/>
                                                                <w:bottom w:val="none" w:sz="0" w:space="0" w:color="auto"/>
                                                                <w:right w:val="none" w:sz="0" w:space="0" w:color="auto"/>
                                                              </w:divBdr>
                                                              <w:divsChild>
                                                                <w:div w:id="16989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02215809">
      <w:bodyDiv w:val="1"/>
      <w:marLeft w:val="0"/>
      <w:marRight w:val="0"/>
      <w:marTop w:val="0"/>
      <w:marBottom w:val="0"/>
      <w:divBdr>
        <w:top w:val="none" w:sz="0" w:space="0" w:color="auto"/>
        <w:left w:val="none" w:sz="0" w:space="0" w:color="auto"/>
        <w:bottom w:val="none" w:sz="0" w:space="0" w:color="auto"/>
        <w:right w:val="none" w:sz="0" w:space="0" w:color="auto"/>
      </w:divBdr>
      <w:divsChild>
        <w:div w:id="1057120318">
          <w:marLeft w:val="0"/>
          <w:marRight w:val="0"/>
          <w:marTop w:val="0"/>
          <w:marBottom w:val="0"/>
          <w:divBdr>
            <w:top w:val="none" w:sz="0" w:space="0" w:color="auto"/>
            <w:left w:val="none" w:sz="0" w:space="0" w:color="auto"/>
            <w:bottom w:val="none" w:sz="0" w:space="0" w:color="auto"/>
            <w:right w:val="none" w:sz="0" w:space="0" w:color="auto"/>
          </w:divBdr>
          <w:divsChild>
            <w:div w:id="49087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937145">
      <w:bodyDiv w:val="1"/>
      <w:marLeft w:val="0"/>
      <w:marRight w:val="0"/>
      <w:marTop w:val="0"/>
      <w:marBottom w:val="0"/>
      <w:divBdr>
        <w:top w:val="none" w:sz="0" w:space="0" w:color="auto"/>
        <w:left w:val="none" w:sz="0" w:space="0" w:color="auto"/>
        <w:bottom w:val="none" w:sz="0" w:space="0" w:color="auto"/>
        <w:right w:val="none" w:sz="0" w:space="0" w:color="auto"/>
      </w:divBdr>
      <w:divsChild>
        <w:div w:id="869956602">
          <w:marLeft w:val="0"/>
          <w:marRight w:val="0"/>
          <w:marTop w:val="0"/>
          <w:marBottom w:val="0"/>
          <w:divBdr>
            <w:top w:val="none" w:sz="0" w:space="0" w:color="auto"/>
            <w:left w:val="none" w:sz="0" w:space="0" w:color="auto"/>
            <w:bottom w:val="none" w:sz="0" w:space="0" w:color="auto"/>
            <w:right w:val="none" w:sz="0" w:space="0" w:color="auto"/>
          </w:divBdr>
          <w:divsChild>
            <w:div w:id="162715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813367">
      <w:bodyDiv w:val="1"/>
      <w:marLeft w:val="0"/>
      <w:marRight w:val="0"/>
      <w:marTop w:val="0"/>
      <w:marBottom w:val="0"/>
      <w:divBdr>
        <w:top w:val="none" w:sz="0" w:space="0" w:color="auto"/>
        <w:left w:val="none" w:sz="0" w:space="0" w:color="auto"/>
        <w:bottom w:val="none" w:sz="0" w:space="0" w:color="auto"/>
        <w:right w:val="none" w:sz="0" w:space="0" w:color="auto"/>
      </w:divBdr>
      <w:divsChild>
        <w:div w:id="723912730">
          <w:marLeft w:val="0"/>
          <w:marRight w:val="0"/>
          <w:marTop w:val="0"/>
          <w:marBottom w:val="0"/>
          <w:divBdr>
            <w:top w:val="none" w:sz="0" w:space="0" w:color="auto"/>
            <w:left w:val="single" w:sz="6" w:space="0" w:color="BBBBBB"/>
            <w:bottom w:val="single" w:sz="6" w:space="0" w:color="BBBBBB"/>
            <w:right w:val="single" w:sz="6" w:space="0" w:color="BBBBBB"/>
          </w:divBdr>
          <w:divsChild>
            <w:div w:id="388000036">
              <w:marLeft w:val="0"/>
              <w:marRight w:val="0"/>
              <w:marTop w:val="0"/>
              <w:marBottom w:val="0"/>
              <w:divBdr>
                <w:top w:val="none" w:sz="0" w:space="0" w:color="auto"/>
                <w:left w:val="none" w:sz="0" w:space="0" w:color="auto"/>
                <w:bottom w:val="none" w:sz="0" w:space="0" w:color="auto"/>
                <w:right w:val="none" w:sz="0" w:space="0" w:color="auto"/>
              </w:divBdr>
              <w:divsChild>
                <w:div w:id="337847319">
                  <w:marLeft w:val="0"/>
                  <w:marRight w:val="0"/>
                  <w:marTop w:val="0"/>
                  <w:marBottom w:val="0"/>
                  <w:divBdr>
                    <w:top w:val="none" w:sz="0" w:space="0" w:color="auto"/>
                    <w:left w:val="none" w:sz="0" w:space="0" w:color="auto"/>
                    <w:bottom w:val="none" w:sz="0" w:space="0" w:color="auto"/>
                    <w:right w:val="none" w:sz="0" w:space="0" w:color="auto"/>
                  </w:divBdr>
                  <w:divsChild>
                    <w:div w:id="1715077794">
                      <w:marLeft w:val="0"/>
                      <w:marRight w:val="0"/>
                      <w:marTop w:val="0"/>
                      <w:marBottom w:val="0"/>
                      <w:divBdr>
                        <w:top w:val="none" w:sz="0" w:space="0" w:color="auto"/>
                        <w:left w:val="none" w:sz="0" w:space="0" w:color="auto"/>
                        <w:bottom w:val="none" w:sz="0" w:space="0" w:color="auto"/>
                        <w:right w:val="none" w:sz="0" w:space="0" w:color="auto"/>
                      </w:divBdr>
                      <w:divsChild>
                        <w:div w:id="541555953">
                          <w:marLeft w:val="0"/>
                          <w:marRight w:val="0"/>
                          <w:marTop w:val="0"/>
                          <w:marBottom w:val="0"/>
                          <w:divBdr>
                            <w:top w:val="none" w:sz="0" w:space="0" w:color="auto"/>
                            <w:left w:val="none" w:sz="0" w:space="0" w:color="auto"/>
                            <w:bottom w:val="none" w:sz="0" w:space="0" w:color="auto"/>
                            <w:right w:val="none" w:sz="0" w:space="0" w:color="auto"/>
                          </w:divBdr>
                          <w:divsChild>
                            <w:div w:id="811875186">
                              <w:marLeft w:val="0"/>
                              <w:marRight w:val="0"/>
                              <w:marTop w:val="0"/>
                              <w:marBottom w:val="0"/>
                              <w:divBdr>
                                <w:top w:val="none" w:sz="0" w:space="0" w:color="auto"/>
                                <w:left w:val="none" w:sz="0" w:space="0" w:color="auto"/>
                                <w:bottom w:val="none" w:sz="0" w:space="0" w:color="auto"/>
                                <w:right w:val="none" w:sz="0" w:space="0" w:color="auto"/>
                              </w:divBdr>
                              <w:divsChild>
                                <w:div w:id="793716840">
                                  <w:marLeft w:val="0"/>
                                  <w:marRight w:val="0"/>
                                  <w:marTop w:val="0"/>
                                  <w:marBottom w:val="0"/>
                                  <w:divBdr>
                                    <w:top w:val="none" w:sz="0" w:space="0" w:color="auto"/>
                                    <w:left w:val="none" w:sz="0" w:space="0" w:color="auto"/>
                                    <w:bottom w:val="none" w:sz="0" w:space="0" w:color="auto"/>
                                    <w:right w:val="none" w:sz="0" w:space="0" w:color="auto"/>
                                  </w:divBdr>
                                  <w:divsChild>
                                    <w:div w:id="1580367405">
                                      <w:marLeft w:val="0"/>
                                      <w:marRight w:val="0"/>
                                      <w:marTop w:val="0"/>
                                      <w:marBottom w:val="0"/>
                                      <w:divBdr>
                                        <w:top w:val="none" w:sz="0" w:space="0" w:color="auto"/>
                                        <w:left w:val="none" w:sz="0" w:space="0" w:color="auto"/>
                                        <w:bottom w:val="none" w:sz="0" w:space="0" w:color="auto"/>
                                        <w:right w:val="none" w:sz="0" w:space="0" w:color="auto"/>
                                      </w:divBdr>
                                      <w:divsChild>
                                        <w:div w:id="1958171156">
                                          <w:marLeft w:val="1200"/>
                                          <w:marRight w:val="1200"/>
                                          <w:marTop w:val="0"/>
                                          <w:marBottom w:val="0"/>
                                          <w:divBdr>
                                            <w:top w:val="none" w:sz="0" w:space="0" w:color="auto"/>
                                            <w:left w:val="none" w:sz="0" w:space="0" w:color="auto"/>
                                            <w:bottom w:val="none" w:sz="0" w:space="0" w:color="auto"/>
                                            <w:right w:val="none" w:sz="0" w:space="0" w:color="auto"/>
                                          </w:divBdr>
                                          <w:divsChild>
                                            <w:div w:id="360128547">
                                              <w:marLeft w:val="0"/>
                                              <w:marRight w:val="0"/>
                                              <w:marTop w:val="0"/>
                                              <w:marBottom w:val="0"/>
                                              <w:divBdr>
                                                <w:top w:val="none" w:sz="0" w:space="0" w:color="auto"/>
                                                <w:left w:val="none" w:sz="0" w:space="0" w:color="auto"/>
                                                <w:bottom w:val="none" w:sz="0" w:space="0" w:color="auto"/>
                                                <w:right w:val="none" w:sz="0" w:space="0" w:color="auto"/>
                                              </w:divBdr>
                                              <w:divsChild>
                                                <w:div w:id="1874733696">
                                                  <w:marLeft w:val="0"/>
                                                  <w:marRight w:val="0"/>
                                                  <w:marTop w:val="240"/>
                                                  <w:marBottom w:val="0"/>
                                                  <w:divBdr>
                                                    <w:top w:val="none" w:sz="0" w:space="0" w:color="auto"/>
                                                    <w:left w:val="none" w:sz="0" w:space="0" w:color="auto"/>
                                                    <w:bottom w:val="none" w:sz="0" w:space="0" w:color="auto"/>
                                                    <w:right w:val="none" w:sz="0" w:space="0" w:color="auto"/>
                                                  </w:divBdr>
                                                  <w:divsChild>
                                                    <w:div w:id="699552870">
                                                      <w:marLeft w:val="0"/>
                                                      <w:marRight w:val="0"/>
                                                      <w:marTop w:val="0"/>
                                                      <w:marBottom w:val="0"/>
                                                      <w:divBdr>
                                                        <w:top w:val="none" w:sz="0" w:space="0" w:color="auto"/>
                                                        <w:left w:val="none" w:sz="0" w:space="0" w:color="auto"/>
                                                        <w:bottom w:val="none" w:sz="0" w:space="0" w:color="auto"/>
                                                        <w:right w:val="none" w:sz="0" w:space="0" w:color="auto"/>
                                                      </w:divBdr>
                                                      <w:divsChild>
                                                        <w:div w:id="710153088">
                                                          <w:marLeft w:val="1275"/>
                                                          <w:marRight w:val="0"/>
                                                          <w:marTop w:val="0"/>
                                                          <w:marBottom w:val="0"/>
                                                          <w:divBdr>
                                                            <w:top w:val="none" w:sz="0" w:space="0" w:color="auto"/>
                                                            <w:left w:val="none" w:sz="0" w:space="0" w:color="auto"/>
                                                            <w:bottom w:val="none" w:sz="0" w:space="0" w:color="auto"/>
                                                            <w:right w:val="none" w:sz="0" w:space="0" w:color="auto"/>
                                                          </w:divBdr>
                                                          <w:divsChild>
                                                            <w:div w:id="915361278">
                                                              <w:marLeft w:val="0"/>
                                                              <w:marRight w:val="0"/>
                                                              <w:marTop w:val="0"/>
                                                              <w:marBottom w:val="0"/>
                                                              <w:divBdr>
                                                                <w:top w:val="none" w:sz="0" w:space="0" w:color="auto"/>
                                                                <w:left w:val="none" w:sz="0" w:space="0" w:color="auto"/>
                                                                <w:bottom w:val="none" w:sz="0" w:space="0" w:color="auto"/>
                                                                <w:right w:val="none" w:sz="0" w:space="0" w:color="auto"/>
                                                              </w:divBdr>
                                                              <w:divsChild>
                                                                <w:div w:id="109281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68705093">
      <w:bodyDiv w:val="1"/>
      <w:marLeft w:val="0"/>
      <w:marRight w:val="0"/>
      <w:marTop w:val="0"/>
      <w:marBottom w:val="0"/>
      <w:divBdr>
        <w:top w:val="none" w:sz="0" w:space="0" w:color="auto"/>
        <w:left w:val="none" w:sz="0" w:space="0" w:color="auto"/>
        <w:bottom w:val="none" w:sz="0" w:space="0" w:color="auto"/>
        <w:right w:val="none" w:sz="0" w:space="0" w:color="auto"/>
      </w:divBdr>
      <w:divsChild>
        <w:div w:id="905140032">
          <w:marLeft w:val="0"/>
          <w:marRight w:val="0"/>
          <w:marTop w:val="0"/>
          <w:marBottom w:val="0"/>
          <w:divBdr>
            <w:top w:val="none" w:sz="0" w:space="0" w:color="auto"/>
            <w:left w:val="none" w:sz="0" w:space="0" w:color="auto"/>
            <w:bottom w:val="none" w:sz="0" w:space="0" w:color="auto"/>
            <w:right w:val="none" w:sz="0" w:space="0" w:color="auto"/>
          </w:divBdr>
          <w:divsChild>
            <w:div w:id="122036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1.next.westlaw.com/Link/Document/FullText?findType=Y&amp;serNum=1995088745&amp;pubNum=713&amp;originatingDoc=If924c167e7b611d9bf60c1d57ebc853e&amp;refType=RP&amp;fi=co_pp_sp_713_407&amp;originationContext=document&amp;transitionType=DocumentItem&amp;contextData=(sc.Search)"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693DC-A620-4EB3-8681-04AFDA03B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2</TotalTime>
  <Pages>7</Pages>
  <Words>1890</Words>
  <Characters>10451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12317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subject/>
  <dc:creator>PUCTX</dc:creator>
  <cp:keywords/>
  <cp:lastModifiedBy>Roundtree-Williams, Keva</cp:lastModifiedBy>
  <cp:revision>5</cp:revision>
  <cp:lastPrinted>2016-06-28T23:21:00Z</cp:lastPrinted>
  <dcterms:created xsi:type="dcterms:W3CDTF">2016-06-28T23:19:00Z</dcterms:created>
  <dcterms:modified xsi:type="dcterms:W3CDTF">2016-06-29T13:45:00Z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