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142B44" w:rsidRDefault="00967322" w:rsidP="003E2D1A">
      <w:pPr>
        <w:pStyle w:val="Title"/>
        <w:spacing w:before="0" w:after="360"/>
        <w:rPr>
          <w:szCs w:val="24"/>
        </w:rPr>
      </w:pPr>
      <w:bookmarkStart w:id="0" w:name="_GoBack"/>
      <w:bookmarkEnd w:id="0"/>
      <w:r w:rsidRPr="00142B44">
        <w:rPr>
          <w:szCs w:val="24"/>
        </w:rPr>
        <w:t xml:space="preserve">DOCKET NO. </w:t>
      </w:r>
      <w:r w:rsidR="00602909" w:rsidRPr="00142B44">
        <w:rPr>
          <w:szCs w:val="24"/>
        </w:rPr>
        <w:t>44948</w:t>
      </w:r>
    </w:p>
    <w:tbl>
      <w:tblPr>
        <w:tblW w:w="9324" w:type="dxa"/>
        <w:tblInd w:w="108" w:type="dxa"/>
        <w:tblLayout w:type="fixed"/>
        <w:tblLook w:val="0000" w:firstRow="0" w:lastRow="0" w:firstColumn="0" w:lastColumn="0" w:noHBand="0" w:noVBand="0"/>
      </w:tblPr>
      <w:tblGrid>
        <w:gridCol w:w="4482"/>
        <w:gridCol w:w="360"/>
        <w:gridCol w:w="4482"/>
      </w:tblGrid>
      <w:tr w:rsidR="00967322" w:rsidRPr="00142B44" w:rsidTr="00142B44">
        <w:tc>
          <w:tcPr>
            <w:tcW w:w="4482" w:type="dxa"/>
          </w:tcPr>
          <w:p w:rsidR="00967322" w:rsidRPr="00142B44" w:rsidRDefault="00602909" w:rsidP="00142B44">
            <w:pPr>
              <w:rPr>
                <w:b/>
                <w:szCs w:val="24"/>
              </w:rPr>
            </w:pPr>
            <w:r w:rsidRPr="00142B44">
              <w:rPr>
                <w:b/>
                <w:szCs w:val="24"/>
              </w:rPr>
              <w:t>PETITION TO REVOKE FARRAR WATER SUPPLY CORPORATION’S CERTIFICATE OF PUBLIC CONVENIENCE AND NECESSITY PURSUANT TO TEX. WATER CODE ANN. § 13.254 AND 16 TAC § 24.113</w:t>
            </w:r>
          </w:p>
        </w:tc>
        <w:tc>
          <w:tcPr>
            <w:tcW w:w="360" w:type="dxa"/>
          </w:tcPr>
          <w:p w:rsidR="00967322" w:rsidRPr="00142B44" w:rsidRDefault="00967322" w:rsidP="00142B44">
            <w:pPr>
              <w:rPr>
                <w:b/>
                <w:szCs w:val="24"/>
              </w:rPr>
            </w:pPr>
            <w:r w:rsidRPr="00142B44">
              <w:rPr>
                <w:b/>
                <w:szCs w:val="24"/>
              </w:rPr>
              <w:t>§</w:t>
            </w:r>
          </w:p>
          <w:p w:rsidR="00967322" w:rsidRPr="00142B44" w:rsidRDefault="00967322" w:rsidP="00142B44">
            <w:pPr>
              <w:rPr>
                <w:b/>
                <w:szCs w:val="24"/>
              </w:rPr>
            </w:pPr>
            <w:r w:rsidRPr="00142B44">
              <w:rPr>
                <w:b/>
                <w:szCs w:val="24"/>
              </w:rPr>
              <w:t>§</w:t>
            </w:r>
          </w:p>
          <w:p w:rsidR="00602909" w:rsidRPr="00142B44" w:rsidRDefault="00967322" w:rsidP="00142B44">
            <w:pPr>
              <w:rPr>
                <w:b/>
                <w:szCs w:val="24"/>
              </w:rPr>
            </w:pPr>
            <w:r w:rsidRPr="00142B44">
              <w:rPr>
                <w:b/>
                <w:szCs w:val="24"/>
              </w:rPr>
              <w:t>§</w:t>
            </w:r>
            <w:r w:rsidR="00602909" w:rsidRPr="00142B44">
              <w:rPr>
                <w:b/>
                <w:szCs w:val="24"/>
              </w:rPr>
              <w:t>§</w:t>
            </w:r>
          </w:p>
          <w:p w:rsidR="00602909" w:rsidRPr="00142B44" w:rsidRDefault="00602909" w:rsidP="00142B44">
            <w:pPr>
              <w:rPr>
                <w:b/>
                <w:szCs w:val="24"/>
              </w:rPr>
            </w:pPr>
            <w:r w:rsidRPr="00142B44">
              <w:rPr>
                <w:b/>
                <w:szCs w:val="24"/>
              </w:rPr>
              <w:t>§</w:t>
            </w:r>
          </w:p>
          <w:p w:rsidR="00967322" w:rsidRPr="00142B44" w:rsidRDefault="00602909" w:rsidP="00142B44">
            <w:pPr>
              <w:rPr>
                <w:b/>
                <w:szCs w:val="24"/>
              </w:rPr>
            </w:pPr>
            <w:r w:rsidRPr="00142B44">
              <w:rPr>
                <w:b/>
                <w:szCs w:val="24"/>
              </w:rPr>
              <w:t>§</w:t>
            </w:r>
          </w:p>
        </w:tc>
        <w:tc>
          <w:tcPr>
            <w:tcW w:w="4482" w:type="dxa"/>
          </w:tcPr>
          <w:p w:rsidR="00967322" w:rsidRPr="00142B44" w:rsidRDefault="00967322" w:rsidP="00142B44">
            <w:pPr>
              <w:jc w:val="center"/>
              <w:rPr>
                <w:b/>
                <w:szCs w:val="24"/>
              </w:rPr>
            </w:pPr>
            <w:r w:rsidRPr="00142B44">
              <w:rPr>
                <w:b/>
                <w:szCs w:val="24"/>
              </w:rPr>
              <w:t>PUBLIC UTILITY COMMISSION</w:t>
            </w:r>
          </w:p>
          <w:p w:rsidR="00967322" w:rsidRPr="00142B44" w:rsidRDefault="00967322" w:rsidP="00142B44">
            <w:pPr>
              <w:jc w:val="center"/>
              <w:rPr>
                <w:b/>
                <w:szCs w:val="24"/>
              </w:rPr>
            </w:pPr>
          </w:p>
          <w:p w:rsidR="00967322" w:rsidRPr="00142B44" w:rsidRDefault="00967322" w:rsidP="00142B44">
            <w:pPr>
              <w:jc w:val="center"/>
              <w:rPr>
                <w:b/>
                <w:szCs w:val="24"/>
              </w:rPr>
            </w:pPr>
            <w:r w:rsidRPr="00142B44">
              <w:rPr>
                <w:b/>
                <w:szCs w:val="24"/>
              </w:rPr>
              <w:t>OF TEXAS</w:t>
            </w:r>
          </w:p>
        </w:tc>
      </w:tr>
    </w:tbl>
    <w:p w:rsidR="00967322" w:rsidRPr="00142B44" w:rsidRDefault="00602909" w:rsidP="00A81630">
      <w:pPr>
        <w:pStyle w:val="Title"/>
        <w:spacing w:after="240" w:line="360" w:lineRule="auto"/>
        <w:rPr>
          <w:szCs w:val="24"/>
        </w:rPr>
      </w:pPr>
      <w:r w:rsidRPr="00142B44">
        <w:rPr>
          <w:szCs w:val="24"/>
        </w:rPr>
        <w:t>DEFAULT ORDER</w:t>
      </w:r>
    </w:p>
    <w:p w:rsidR="00602909" w:rsidRPr="00142B44" w:rsidRDefault="00602909" w:rsidP="00142B44">
      <w:pPr>
        <w:autoSpaceDE w:val="0"/>
        <w:autoSpaceDN w:val="0"/>
        <w:adjustRightInd w:val="0"/>
        <w:spacing w:line="360" w:lineRule="auto"/>
        <w:ind w:firstLine="720"/>
        <w:jc w:val="both"/>
        <w:rPr>
          <w:snapToGrid/>
          <w:szCs w:val="24"/>
        </w:rPr>
      </w:pPr>
      <w:r w:rsidRPr="00142B44">
        <w:rPr>
          <w:bCs/>
          <w:snapToGrid/>
          <w:szCs w:val="24"/>
        </w:rPr>
        <w:t>This Order addresses the petition of the Public Utility Commission of Texas</w:t>
      </w:r>
      <w:r w:rsidR="00142B44" w:rsidRPr="00142B44">
        <w:rPr>
          <w:bCs/>
          <w:snapToGrid/>
          <w:szCs w:val="24"/>
        </w:rPr>
        <w:t xml:space="preserve"> </w:t>
      </w:r>
      <w:r w:rsidRPr="00142B44">
        <w:rPr>
          <w:bCs/>
          <w:snapToGrid/>
          <w:szCs w:val="24"/>
        </w:rPr>
        <w:t xml:space="preserve">(Commission) Staff to revoke the Certificate of </w:t>
      </w:r>
      <w:r w:rsidR="00A81630">
        <w:rPr>
          <w:bCs/>
          <w:snapToGrid/>
          <w:szCs w:val="24"/>
        </w:rPr>
        <w:t xml:space="preserve">Public </w:t>
      </w:r>
      <w:r w:rsidRPr="00142B44">
        <w:rPr>
          <w:bCs/>
          <w:snapToGrid/>
          <w:szCs w:val="24"/>
        </w:rPr>
        <w:t xml:space="preserve">Convenience and Necessity </w:t>
      </w:r>
      <w:r w:rsidRPr="00142B44">
        <w:rPr>
          <w:snapToGrid/>
          <w:szCs w:val="24"/>
        </w:rPr>
        <w:t>(CCN) of</w:t>
      </w:r>
      <w:r w:rsidR="00142B44" w:rsidRPr="00142B44">
        <w:rPr>
          <w:snapToGrid/>
          <w:szCs w:val="24"/>
        </w:rPr>
        <w:t xml:space="preserve"> </w:t>
      </w:r>
      <w:r w:rsidRPr="00142B44">
        <w:rPr>
          <w:bCs/>
          <w:snapToGrid/>
          <w:szCs w:val="24"/>
        </w:rPr>
        <w:t xml:space="preserve">Farrar Water Supply Corporation </w:t>
      </w:r>
      <w:r w:rsidRPr="00142B44">
        <w:rPr>
          <w:snapToGrid/>
          <w:szCs w:val="24"/>
        </w:rPr>
        <w:t>(</w:t>
      </w:r>
      <w:r w:rsidR="00142B44">
        <w:rPr>
          <w:bCs/>
          <w:snapToGrid/>
          <w:szCs w:val="24"/>
        </w:rPr>
        <w:t>Farrar) regarding Farrar’</w:t>
      </w:r>
      <w:r w:rsidRPr="00142B44">
        <w:rPr>
          <w:bCs/>
          <w:snapToGrid/>
          <w:szCs w:val="24"/>
        </w:rPr>
        <w:t>s violations of the Texas Water</w:t>
      </w:r>
      <w:r w:rsidR="00142B44" w:rsidRPr="00142B44">
        <w:rPr>
          <w:bCs/>
          <w:snapToGrid/>
          <w:szCs w:val="24"/>
        </w:rPr>
        <w:t xml:space="preserve"> </w:t>
      </w:r>
      <w:r w:rsidRPr="00142B44">
        <w:rPr>
          <w:bCs/>
          <w:snapToGrid/>
          <w:szCs w:val="24"/>
        </w:rPr>
        <w:t>Code and Commission rules</w:t>
      </w:r>
      <w:r w:rsidR="00423C84">
        <w:rPr>
          <w:bCs/>
          <w:snapToGrid/>
          <w:szCs w:val="24"/>
        </w:rPr>
        <w:t xml:space="preserve"> (Petition)</w:t>
      </w:r>
      <w:r w:rsidRPr="00142B44">
        <w:rPr>
          <w:bCs/>
          <w:snapToGrid/>
          <w:szCs w:val="24"/>
        </w:rPr>
        <w:t>.</w:t>
      </w:r>
      <w:r w:rsidR="00142B44">
        <w:rPr>
          <w:bCs/>
          <w:snapToGrid/>
          <w:szCs w:val="24"/>
        </w:rPr>
        <w:t xml:space="preserve"> </w:t>
      </w:r>
      <w:r w:rsidRPr="00142B44">
        <w:rPr>
          <w:bCs/>
          <w:snapToGrid/>
          <w:szCs w:val="24"/>
        </w:rPr>
        <w:t xml:space="preserve"> </w:t>
      </w:r>
      <w:r w:rsidR="00A81630">
        <w:rPr>
          <w:bCs/>
          <w:snapToGrid/>
          <w:szCs w:val="24"/>
        </w:rPr>
        <w:t>Commission Staff’</w:t>
      </w:r>
      <w:r w:rsidRPr="00142B44">
        <w:rPr>
          <w:bCs/>
          <w:snapToGrid/>
          <w:szCs w:val="24"/>
        </w:rPr>
        <w:t>s</w:t>
      </w:r>
      <w:r w:rsidR="00A81630">
        <w:rPr>
          <w:bCs/>
          <w:snapToGrid/>
          <w:szCs w:val="24"/>
        </w:rPr>
        <w:t xml:space="preserve"> </w:t>
      </w:r>
      <w:r w:rsidR="00423C84">
        <w:rPr>
          <w:bCs/>
          <w:snapToGrid/>
          <w:szCs w:val="24"/>
        </w:rPr>
        <w:t>P</w:t>
      </w:r>
      <w:r w:rsidR="00A81630">
        <w:rPr>
          <w:bCs/>
          <w:snapToGrid/>
          <w:szCs w:val="24"/>
        </w:rPr>
        <w:t>etition is granted and Farrar’</w:t>
      </w:r>
      <w:r w:rsidRPr="00142B44">
        <w:rPr>
          <w:bCs/>
          <w:snapToGrid/>
          <w:szCs w:val="24"/>
        </w:rPr>
        <w:t xml:space="preserve">s </w:t>
      </w:r>
      <w:r w:rsidRPr="00142B44">
        <w:rPr>
          <w:snapToGrid/>
          <w:szCs w:val="24"/>
        </w:rPr>
        <w:t>CCN is revoked.</w:t>
      </w:r>
    </w:p>
    <w:p w:rsidR="00602909" w:rsidRPr="00142B44" w:rsidRDefault="00142B44" w:rsidP="003E2D1A">
      <w:pPr>
        <w:pStyle w:val="Heading1"/>
        <w:spacing w:before="360" w:after="0" w:line="360" w:lineRule="auto"/>
        <w:rPr>
          <w:snapToGrid/>
        </w:rPr>
      </w:pPr>
      <w:r w:rsidRPr="00142B44">
        <w:rPr>
          <w:snapToGrid/>
        </w:rPr>
        <w:t xml:space="preserve"> </w:t>
      </w:r>
      <w:r w:rsidR="00602909" w:rsidRPr="00142B44">
        <w:rPr>
          <w:snapToGrid/>
        </w:rPr>
        <w:t>Background</w:t>
      </w:r>
    </w:p>
    <w:p w:rsidR="005B558E" w:rsidRDefault="00602909" w:rsidP="005B558E">
      <w:pPr>
        <w:autoSpaceDE w:val="0"/>
        <w:autoSpaceDN w:val="0"/>
        <w:adjustRightInd w:val="0"/>
        <w:spacing w:line="360" w:lineRule="auto"/>
        <w:ind w:firstLine="720"/>
        <w:jc w:val="both"/>
        <w:rPr>
          <w:snapToGrid/>
          <w:szCs w:val="24"/>
        </w:rPr>
      </w:pPr>
      <w:r w:rsidRPr="00142B44">
        <w:rPr>
          <w:snapToGrid/>
          <w:szCs w:val="24"/>
        </w:rPr>
        <w:t>Farrar is comprised of one public water system.</w:t>
      </w:r>
      <w:r w:rsidR="00A81630">
        <w:rPr>
          <w:rStyle w:val="FootnoteReference"/>
          <w:snapToGrid/>
          <w:szCs w:val="24"/>
        </w:rPr>
        <w:footnoteReference w:id="1"/>
      </w:r>
      <w:r w:rsidR="00A81630">
        <w:rPr>
          <w:snapToGrid/>
          <w:szCs w:val="24"/>
        </w:rPr>
        <w:t xml:space="preserve"> </w:t>
      </w:r>
      <w:r w:rsidRPr="00142B44">
        <w:rPr>
          <w:snapToGrid/>
          <w:szCs w:val="24"/>
        </w:rPr>
        <w:t xml:space="preserve"> A public water system is defined as "a</w:t>
      </w:r>
      <w:r w:rsidR="00142B44" w:rsidRPr="00142B44">
        <w:rPr>
          <w:snapToGrid/>
          <w:szCs w:val="24"/>
        </w:rPr>
        <w:t xml:space="preserve"> </w:t>
      </w:r>
      <w:r w:rsidRPr="00142B44">
        <w:rPr>
          <w:snapToGrid/>
          <w:szCs w:val="24"/>
        </w:rPr>
        <w:t>system for the provision to the public of water for human consumption through pipes or other</w:t>
      </w:r>
      <w:r w:rsidR="00142B44" w:rsidRPr="00142B44">
        <w:rPr>
          <w:snapToGrid/>
          <w:szCs w:val="24"/>
        </w:rPr>
        <w:t xml:space="preserve"> </w:t>
      </w:r>
      <w:r w:rsidRPr="00142B44">
        <w:rPr>
          <w:snapToGrid/>
          <w:szCs w:val="24"/>
        </w:rPr>
        <w:t>constructed conveyances," such as "collection, treatment, storage, and distribution facilities,"</w:t>
      </w:r>
      <w:r w:rsidR="00142B44" w:rsidRPr="00142B44">
        <w:rPr>
          <w:snapToGrid/>
          <w:szCs w:val="24"/>
        </w:rPr>
        <w:t xml:space="preserve"> </w:t>
      </w:r>
      <w:r w:rsidRPr="00142B44">
        <w:rPr>
          <w:snapToGrid/>
          <w:szCs w:val="24"/>
        </w:rPr>
        <w:t>which has "at least 15 service connections or serve[s] at least 25 individuals at least 60 days out</w:t>
      </w:r>
      <w:r w:rsidR="00142B44" w:rsidRPr="00142B44">
        <w:rPr>
          <w:snapToGrid/>
          <w:szCs w:val="24"/>
        </w:rPr>
        <w:t xml:space="preserve"> </w:t>
      </w:r>
      <w:r w:rsidRPr="00142B44">
        <w:rPr>
          <w:snapToGrid/>
          <w:szCs w:val="24"/>
        </w:rPr>
        <w:t>of the year."</w:t>
      </w:r>
      <w:r w:rsidR="009C2144">
        <w:rPr>
          <w:rStyle w:val="FootnoteReference"/>
          <w:snapToGrid/>
          <w:szCs w:val="24"/>
        </w:rPr>
        <w:footnoteReference w:id="2"/>
      </w:r>
      <w:r w:rsidRPr="00142B44">
        <w:rPr>
          <w:snapToGrid/>
          <w:szCs w:val="24"/>
        </w:rPr>
        <w:t xml:space="preserve"> </w:t>
      </w:r>
      <w:r w:rsidR="009C2144">
        <w:rPr>
          <w:snapToGrid/>
          <w:szCs w:val="24"/>
        </w:rPr>
        <w:t xml:space="preserve"> </w:t>
      </w:r>
      <w:r w:rsidRPr="00142B44">
        <w:rPr>
          <w:snapToGrid/>
          <w:szCs w:val="24"/>
        </w:rPr>
        <w:t>A January 21, 2015, Default Order at the Texas Commission on Environmental</w:t>
      </w:r>
      <w:r w:rsidR="00142B44" w:rsidRPr="00142B44">
        <w:rPr>
          <w:snapToGrid/>
          <w:szCs w:val="24"/>
        </w:rPr>
        <w:t xml:space="preserve"> </w:t>
      </w:r>
      <w:r w:rsidRPr="00142B44">
        <w:rPr>
          <w:snapToGrid/>
          <w:szCs w:val="24"/>
        </w:rPr>
        <w:t>Quality</w:t>
      </w:r>
      <w:r w:rsidR="009C2144">
        <w:rPr>
          <w:snapToGrid/>
          <w:szCs w:val="24"/>
        </w:rPr>
        <w:t xml:space="preserve"> (TCEQ)</w:t>
      </w:r>
      <w:r w:rsidRPr="00142B44">
        <w:rPr>
          <w:snapToGrid/>
          <w:szCs w:val="24"/>
        </w:rPr>
        <w:t xml:space="preserve"> identified Rocky Wadlington as the owner and operator of the </w:t>
      </w:r>
      <w:r w:rsidR="00806FE6">
        <w:rPr>
          <w:snapToGrid/>
          <w:szCs w:val="24"/>
        </w:rPr>
        <w:t>p</w:t>
      </w:r>
      <w:r w:rsidR="009C2144">
        <w:rPr>
          <w:snapToGrid/>
          <w:szCs w:val="24"/>
        </w:rPr>
        <w:t xml:space="preserve">ublic </w:t>
      </w:r>
      <w:r w:rsidR="00806FE6">
        <w:rPr>
          <w:snapToGrid/>
          <w:szCs w:val="24"/>
        </w:rPr>
        <w:t>w</w:t>
      </w:r>
      <w:r w:rsidR="009C2144">
        <w:rPr>
          <w:snapToGrid/>
          <w:szCs w:val="24"/>
        </w:rPr>
        <w:t xml:space="preserve">ater </w:t>
      </w:r>
      <w:r w:rsidR="00806FE6">
        <w:rPr>
          <w:snapToGrid/>
          <w:szCs w:val="24"/>
        </w:rPr>
        <w:t>s</w:t>
      </w:r>
      <w:r w:rsidR="009C2144">
        <w:rPr>
          <w:snapToGrid/>
          <w:szCs w:val="24"/>
        </w:rPr>
        <w:t>ystem (</w:t>
      </w:r>
      <w:r w:rsidRPr="00142B44">
        <w:rPr>
          <w:snapToGrid/>
          <w:szCs w:val="24"/>
        </w:rPr>
        <w:t>PWS</w:t>
      </w:r>
      <w:r w:rsidR="009C2144">
        <w:rPr>
          <w:snapToGrid/>
          <w:szCs w:val="24"/>
        </w:rPr>
        <w:t>)</w:t>
      </w:r>
      <w:r w:rsidRPr="00142B44">
        <w:rPr>
          <w:snapToGrid/>
          <w:szCs w:val="24"/>
        </w:rPr>
        <w:t xml:space="preserve"> associated with</w:t>
      </w:r>
      <w:r w:rsidR="00142B44" w:rsidRPr="00142B44">
        <w:rPr>
          <w:snapToGrid/>
          <w:szCs w:val="24"/>
        </w:rPr>
        <w:t xml:space="preserve"> </w:t>
      </w:r>
      <w:r w:rsidRPr="00142B44">
        <w:rPr>
          <w:snapToGrid/>
          <w:szCs w:val="24"/>
        </w:rPr>
        <w:t>Farrar and Farrar</w:t>
      </w:r>
      <w:r w:rsidR="009C2144">
        <w:rPr>
          <w:snapToGrid/>
          <w:szCs w:val="24"/>
        </w:rPr>
        <w:t>’</w:t>
      </w:r>
      <w:r w:rsidRPr="00142B44">
        <w:rPr>
          <w:snapToGrid/>
          <w:szCs w:val="24"/>
        </w:rPr>
        <w:t xml:space="preserve">s CCN. </w:t>
      </w:r>
      <w:r w:rsidR="009C2144">
        <w:rPr>
          <w:snapToGrid/>
          <w:szCs w:val="24"/>
        </w:rPr>
        <w:t xml:space="preserve"> </w:t>
      </w:r>
      <w:r w:rsidRPr="00142B44">
        <w:rPr>
          <w:snapToGrid/>
          <w:szCs w:val="24"/>
        </w:rPr>
        <w:t>Additionally, TCEQ</w:t>
      </w:r>
      <w:r w:rsidR="009C2144">
        <w:rPr>
          <w:snapToGrid/>
          <w:szCs w:val="24"/>
        </w:rPr>
        <w:t>’s</w:t>
      </w:r>
      <w:r w:rsidRPr="00142B44">
        <w:rPr>
          <w:snapToGrid/>
          <w:szCs w:val="24"/>
        </w:rPr>
        <w:t xml:space="preserve"> Drinking Water Watch database lists Mr. Wadlington as the administrative contact for</w:t>
      </w:r>
      <w:r w:rsidR="00142B44" w:rsidRPr="00142B44">
        <w:rPr>
          <w:snapToGrid/>
          <w:szCs w:val="24"/>
        </w:rPr>
        <w:t xml:space="preserve"> </w:t>
      </w:r>
      <w:r w:rsidRPr="00142B44">
        <w:rPr>
          <w:snapToGrid/>
          <w:szCs w:val="24"/>
        </w:rPr>
        <w:t>Farrar.</w:t>
      </w:r>
      <w:r w:rsidR="009C2144">
        <w:rPr>
          <w:rStyle w:val="FootnoteReference"/>
          <w:snapToGrid/>
          <w:szCs w:val="24"/>
        </w:rPr>
        <w:footnoteReference w:id="3"/>
      </w:r>
      <w:r w:rsidRPr="00142B44">
        <w:rPr>
          <w:snapToGrid/>
          <w:szCs w:val="24"/>
        </w:rPr>
        <w:t xml:space="preserve"> </w:t>
      </w:r>
      <w:r w:rsidR="00142B44" w:rsidRPr="00142B44">
        <w:rPr>
          <w:snapToGrid/>
          <w:szCs w:val="24"/>
        </w:rPr>
        <w:t xml:space="preserve"> </w:t>
      </w:r>
    </w:p>
    <w:p w:rsidR="00602909" w:rsidRPr="00142B44" w:rsidRDefault="00602909" w:rsidP="005B558E">
      <w:pPr>
        <w:autoSpaceDE w:val="0"/>
        <w:autoSpaceDN w:val="0"/>
        <w:adjustRightInd w:val="0"/>
        <w:spacing w:before="120" w:line="360" w:lineRule="auto"/>
        <w:ind w:firstLine="720"/>
        <w:jc w:val="both"/>
        <w:rPr>
          <w:snapToGrid/>
          <w:szCs w:val="24"/>
        </w:rPr>
      </w:pPr>
      <w:r w:rsidRPr="00142B44">
        <w:rPr>
          <w:snapToGrid/>
          <w:szCs w:val="24"/>
        </w:rPr>
        <w:t>TCEQ successfully pursued four enforcement actions against Mr. Wadlington and</w:t>
      </w:r>
      <w:r w:rsidR="00142B44" w:rsidRPr="00142B44">
        <w:rPr>
          <w:snapToGrid/>
          <w:szCs w:val="24"/>
        </w:rPr>
        <w:t xml:space="preserve"> </w:t>
      </w:r>
      <w:r w:rsidRPr="00142B44">
        <w:rPr>
          <w:snapToGrid/>
          <w:szCs w:val="24"/>
        </w:rPr>
        <w:t xml:space="preserve">the PWS associated with Farrar. </w:t>
      </w:r>
      <w:r w:rsidR="005B558E">
        <w:rPr>
          <w:snapToGrid/>
          <w:szCs w:val="24"/>
        </w:rPr>
        <w:t xml:space="preserve"> </w:t>
      </w:r>
      <w:r w:rsidRPr="00142B44">
        <w:rPr>
          <w:snapToGrid/>
          <w:szCs w:val="24"/>
        </w:rPr>
        <w:t>All four enforcement actions were for violations of the Texas</w:t>
      </w:r>
      <w:r w:rsidR="00142B44" w:rsidRPr="00142B44">
        <w:rPr>
          <w:snapToGrid/>
          <w:szCs w:val="24"/>
        </w:rPr>
        <w:t xml:space="preserve"> </w:t>
      </w:r>
      <w:r w:rsidRPr="00142B44">
        <w:rPr>
          <w:snapToGrid/>
          <w:szCs w:val="24"/>
        </w:rPr>
        <w:t>Health and Safety Code.</w:t>
      </w:r>
      <w:r w:rsidR="005B558E">
        <w:rPr>
          <w:rStyle w:val="FootnoteReference"/>
          <w:snapToGrid/>
          <w:szCs w:val="24"/>
        </w:rPr>
        <w:footnoteReference w:id="4"/>
      </w:r>
      <w:r w:rsidRPr="00142B44">
        <w:rPr>
          <w:snapToGrid/>
          <w:szCs w:val="24"/>
        </w:rPr>
        <w:t xml:space="preserve"> </w:t>
      </w:r>
      <w:r w:rsidR="005B558E">
        <w:rPr>
          <w:snapToGrid/>
          <w:szCs w:val="24"/>
        </w:rPr>
        <w:t xml:space="preserve"> </w:t>
      </w:r>
      <w:r w:rsidRPr="00142B44">
        <w:rPr>
          <w:snapToGrid/>
          <w:szCs w:val="24"/>
        </w:rPr>
        <w:t>Three enforcement actions resulted in default orders, one issued in</w:t>
      </w:r>
      <w:r w:rsidR="005B558E">
        <w:rPr>
          <w:snapToGrid/>
          <w:szCs w:val="24"/>
        </w:rPr>
        <w:t xml:space="preserve"> </w:t>
      </w:r>
      <w:r w:rsidRPr="00142B44">
        <w:rPr>
          <w:snapToGrid/>
          <w:szCs w:val="24"/>
        </w:rPr>
        <w:t xml:space="preserve">2012 and two issued in March of 2015. </w:t>
      </w:r>
      <w:r w:rsidR="005B558E">
        <w:rPr>
          <w:snapToGrid/>
          <w:szCs w:val="24"/>
        </w:rPr>
        <w:t xml:space="preserve"> </w:t>
      </w:r>
      <w:r w:rsidRPr="00142B44">
        <w:rPr>
          <w:snapToGrid/>
          <w:szCs w:val="24"/>
        </w:rPr>
        <w:t>The fourth enforcement action was settled, and the</w:t>
      </w:r>
      <w:r w:rsidR="00142B44" w:rsidRPr="00142B44">
        <w:rPr>
          <w:snapToGrid/>
          <w:szCs w:val="24"/>
        </w:rPr>
        <w:t xml:space="preserve"> </w:t>
      </w:r>
      <w:r w:rsidRPr="00142B44">
        <w:rPr>
          <w:snapToGrid/>
          <w:szCs w:val="24"/>
        </w:rPr>
        <w:t xml:space="preserve">settlement agreement </w:t>
      </w:r>
      <w:r w:rsidRPr="00142B44">
        <w:rPr>
          <w:snapToGrid/>
          <w:szCs w:val="24"/>
        </w:rPr>
        <w:lastRenderedPageBreak/>
        <w:t>was approved in</w:t>
      </w:r>
      <w:r w:rsidR="005B558E">
        <w:rPr>
          <w:snapToGrid/>
          <w:szCs w:val="24"/>
        </w:rPr>
        <w:t xml:space="preserve"> </w:t>
      </w:r>
      <w:r w:rsidRPr="00142B44">
        <w:rPr>
          <w:snapToGrid/>
          <w:szCs w:val="24"/>
        </w:rPr>
        <w:t xml:space="preserve">2013. </w:t>
      </w:r>
      <w:r w:rsidR="005B558E">
        <w:rPr>
          <w:snapToGrid/>
          <w:szCs w:val="24"/>
        </w:rPr>
        <w:t xml:space="preserve"> </w:t>
      </w:r>
      <w:r w:rsidRPr="00142B44">
        <w:rPr>
          <w:snapToGrid/>
          <w:szCs w:val="24"/>
        </w:rPr>
        <w:t>Violations date back to 2006 with the last violation</w:t>
      </w:r>
      <w:r w:rsidR="00142B44" w:rsidRPr="00142B44">
        <w:rPr>
          <w:snapToGrid/>
          <w:szCs w:val="24"/>
        </w:rPr>
        <w:t xml:space="preserve"> </w:t>
      </w:r>
      <w:r w:rsidRPr="00142B44">
        <w:rPr>
          <w:snapToGrid/>
          <w:szCs w:val="24"/>
        </w:rPr>
        <w:t>occurring in March 2014.</w:t>
      </w:r>
      <w:r w:rsidR="005B558E">
        <w:rPr>
          <w:rStyle w:val="FootnoteReference"/>
          <w:snapToGrid/>
          <w:szCs w:val="24"/>
        </w:rPr>
        <w:footnoteReference w:id="5"/>
      </w:r>
    </w:p>
    <w:p w:rsidR="005B558E" w:rsidRDefault="00602909" w:rsidP="005B558E">
      <w:pPr>
        <w:autoSpaceDE w:val="0"/>
        <w:autoSpaceDN w:val="0"/>
        <w:adjustRightInd w:val="0"/>
        <w:spacing w:before="120" w:line="360" w:lineRule="auto"/>
        <w:ind w:firstLine="720"/>
        <w:jc w:val="both"/>
        <w:rPr>
          <w:snapToGrid/>
          <w:szCs w:val="24"/>
        </w:rPr>
      </w:pPr>
      <w:r w:rsidRPr="00142B44">
        <w:rPr>
          <w:snapToGrid/>
          <w:szCs w:val="24"/>
        </w:rPr>
        <w:t>On August 28, 2014, Mr. Wadlington, representing Farrar, attempted to sell all of</w:t>
      </w:r>
      <w:r w:rsidR="005B558E">
        <w:rPr>
          <w:snapToGrid/>
          <w:szCs w:val="24"/>
        </w:rPr>
        <w:t xml:space="preserve"> Farrar’</w:t>
      </w:r>
      <w:r w:rsidRPr="00142B44">
        <w:rPr>
          <w:snapToGrid/>
          <w:szCs w:val="24"/>
        </w:rPr>
        <w:t>s property, including the water system, to Simply Aquatics.</w:t>
      </w:r>
      <w:r w:rsidR="005B558E">
        <w:rPr>
          <w:rStyle w:val="FootnoteReference"/>
          <w:snapToGrid/>
          <w:szCs w:val="24"/>
        </w:rPr>
        <w:footnoteReference w:id="6"/>
      </w:r>
      <w:r w:rsidRPr="00142B44">
        <w:rPr>
          <w:snapToGrid/>
          <w:szCs w:val="24"/>
        </w:rPr>
        <w:t xml:space="preserve"> </w:t>
      </w:r>
      <w:r w:rsidR="005B558E">
        <w:rPr>
          <w:snapToGrid/>
          <w:szCs w:val="24"/>
        </w:rPr>
        <w:t xml:space="preserve"> </w:t>
      </w:r>
      <w:r w:rsidRPr="00142B44">
        <w:rPr>
          <w:snapToGrid/>
          <w:szCs w:val="24"/>
        </w:rPr>
        <w:t>A sale of any water system</w:t>
      </w:r>
      <w:r w:rsidR="005B558E">
        <w:rPr>
          <w:snapToGrid/>
          <w:szCs w:val="24"/>
        </w:rPr>
        <w:t xml:space="preserve"> </w:t>
      </w:r>
      <w:r w:rsidRPr="00142B44">
        <w:rPr>
          <w:snapToGrid/>
          <w:szCs w:val="24"/>
        </w:rPr>
        <w:t>required to possess a CCN is void unless done in accordance with Texas Water Code § 13.301.</w:t>
      </w:r>
      <w:r w:rsidR="005B558E">
        <w:rPr>
          <w:snapToGrid/>
          <w:szCs w:val="24"/>
        </w:rPr>
        <w:t xml:space="preserve">  </w:t>
      </w:r>
      <w:r w:rsidRPr="00142B44">
        <w:rPr>
          <w:snapToGrid/>
          <w:szCs w:val="24"/>
        </w:rPr>
        <w:t>After the attempted sale, Simply Aquatics assumed operation of the facility on September 1,</w:t>
      </w:r>
      <w:r w:rsidR="005B558E">
        <w:rPr>
          <w:snapToGrid/>
          <w:szCs w:val="24"/>
        </w:rPr>
        <w:t xml:space="preserve"> </w:t>
      </w:r>
      <w:r w:rsidRPr="00142B44">
        <w:rPr>
          <w:snapToGrid/>
          <w:szCs w:val="24"/>
        </w:rPr>
        <w:t xml:space="preserve">2014. </w:t>
      </w:r>
      <w:r w:rsidR="005B558E">
        <w:rPr>
          <w:snapToGrid/>
          <w:szCs w:val="24"/>
        </w:rPr>
        <w:t xml:space="preserve"> </w:t>
      </w:r>
      <w:r w:rsidRPr="00142B44">
        <w:rPr>
          <w:snapToGrid/>
          <w:szCs w:val="24"/>
        </w:rPr>
        <w:t>Simply Aquatics attempted to cure past violations but was unable to collect rates sufficient</w:t>
      </w:r>
      <w:r w:rsidR="005B558E">
        <w:rPr>
          <w:snapToGrid/>
          <w:szCs w:val="24"/>
        </w:rPr>
        <w:t xml:space="preserve"> </w:t>
      </w:r>
      <w:r w:rsidRPr="00142B44">
        <w:rPr>
          <w:snapToGrid/>
          <w:szCs w:val="24"/>
        </w:rPr>
        <w:t>to invest in repairs.</w:t>
      </w:r>
      <w:r w:rsidR="005B558E">
        <w:rPr>
          <w:snapToGrid/>
          <w:szCs w:val="24"/>
        </w:rPr>
        <w:t xml:space="preserve">  </w:t>
      </w:r>
    </w:p>
    <w:p w:rsidR="00602909" w:rsidRPr="005B558E" w:rsidRDefault="00602909" w:rsidP="005B558E">
      <w:pPr>
        <w:autoSpaceDE w:val="0"/>
        <w:autoSpaceDN w:val="0"/>
        <w:adjustRightInd w:val="0"/>
        <w:spacing w:before="120" w:line="360" w:lineRule="auto"/>
        <w:ind w:firstLine="720"/>
        <w:jc w:val="both"/>
        <w:rPr>
          <w:bCs/>
          <w:snapToGrid/>
          <w:szCs w:val="24"/>
        </w:rPr>
      </w:pPr>
      <w:r w:rsidRPr="00142B44">
        <w:rPr>
          <w:snapToGrid/>
          <w:szCs w:val="24"/>
        </w:rPr>
        <w:t xml:space="preserve">In order to file a rate </w:t>
      </w:r>
      <w:r w:rsidRPr="005B558E">
        <w:rPr>
          <w:bCs/>
          <w:snapToGrid/>
          <w:szCs w:val="24"/>
        </w:rPr>
        <w:t>increase,</w:t>
      </w:r>
      <w:r w:rsidRPr="00142B44">
        <w:rPr>
          <w:b/>
          <w:bCs/>
          <w:snapToGrid/>
          <w:szCs w:val="24"/>
        </w:rPr>
        <w:t xml:space="preserve"> </w:t>
      </w:r>
      <w:r w:rsidRPr="00142B44">
        <w:rPr>
          <w:snapToGrid/>
          <w:szCs w:val="24"/>
        </w:rPr>
        <w:t>Simply Aquatics began paperwork to file an application</w:t>
      </w:r>
      <w:r w:rsidR="005B558E">
        <w:rPr>
          <w:snapToGrid/>
          <w:szCs w:val="24"/>
        </w:rPr>
        <w:t xml:space="preserve"> </w:t>
      </w:r>
      <w:r w:rsidRPr="00142B44">
        <w:rPr>
          <w:snapToGrid/>
          <w:szCs w:val="24"/>
        </w:rPr>
        <w:t>for approval of a sale.</w:t>
      </w:r>
      <w:r w:rsidR="005B558E">
        <w:rPr>
          <w:rStyle w:val="FootnoteReference"/>
          <w:snapToGrid/>
          <w:szCs w:val="24"/>
        </w:rPr>
        <w:footnoteReference w:id="7"/>
      </w:r>
      <w:r w:rsidRPr="00142B44">
        <w:rPr>
          <w:snapToGrid/>
          <w:szCs w:val="24"/>
        </w:rPr>
        <w:t xml:space="preserve"> </w:t>
      </w:r>
      <w:r w:rsidR="005B558E">
        <w:rPr>
          <w:snapToGrid/>
          <w:szCs w:val="24"/>
        </w:rPr>
        <w:t xml:space="preserve"> </w:t>
      </w:r>
      <w:r w:rsidRPr="00142B44">
        <w:rPr>
          <w:snapToGrid/>
          <w:szCs w:val="24"/>
        </w:rPr>
        <w:t>Simply Aquatics could not contact Mr. Wadlington, which prevented</w:t>
      </w:r>
      <w:r w:rsidR="005B558E">
        <w:rPr>
          <w:snapToGrid/>
          <w:szCs w:val="24"/>
        </w:rPr>
        <w:t xml:space="preserve"> </w:t>
      </w:r>
      <w:r w:rsidRPr="00142B44">
        <w:rPr>
          <w:snapToGrid/>
          <w:szCs w:val="24"/>
        </w:rPr>
        <w:t>Simply Aquatics from completing the required application and necessitated their discontinuing</w:t>
      </w:r>
      <w:r w:rsidR="005B558E">
        <w:rPr>
          <w:snapToGrid/>
          <w:szCs w:val="24"/>
        </w:rPr>
        <w:t xml:space="preserve"> </w:t>
      </w:r>
      <w:r w:rsidRPr="00142B44">
        <w:rPr>
          <w:snapToGrid/>
          <w:szCs w:val="24"/>
        </w:rPr>
        <w:t xml:space="preserve">operations. </w:t>
      </w:r>
      <w:r w:rsidR="005B558E">
        <w:rPr>
          <w:snapToGrid/>
          <w:szCs w:val="24"/>
        </w:rPr>
        <w:t xml:space="preserve"> </w:t>
      </w:r>
      <w:r w:rsidRPr="00142B44">
        <w:rPr>
          <w:snapToGrid/>
          <w:szCs w:val="24"/>
        </w:rPr>
        <w:t>In the absence of a completed application, Mr. Wadlington is the holder of CCN</w:t>
      </w:r>
      <w:r w:rsidR="005B558E">
        <w:rPr>
          <w:snapToGrid/>
          <w:szCs w:val="24"/>
        </w:rPr>
        <w:t xml:space="preserve"> No. </w:t>
      </w:r>
      <w:r w:rsidRPr="00142B44">
        <w:rPr>
          <w:snapToGrid/>
          <w:szCs w:val="24"/>
        </w:rPr>
        <w:t xml:space="preserve">12429, </w:t>
      </w:r>
      <w:r w:rsidRPr="005B558E">
        <w:rPr>
          <w:bCs/>
          <w:snapToGrid/>
          <w:szCs w:val="24"/>
        </w:rPr>
        <w:t>despite his sale of all the assets of Farrar.</w:t>
      </w:r>
      <w:r w:rsidR="005B558E">
        <w:rPr>
          <w:bCs/>
          <w:snapToGrid/>
          <w:szCs w:val="24"/>
        </w:rPr>
        <w:t xml:space="preserve">  </w:t>
      </w:r>
    </w:p>
    <w:p w:rsidR="00602909" w:rsidRPr="00142B44" w:rsidRDefault="00602909" w:rsidP="00423C84">
      <w:pPr>
        <w:autoSpaceDE w:val="0"/>
        <w:autoSpaceDN w:val="0"/>
        <w:adjustRightInd w:val="0"/>
        <w:spacing w:before="120" w:line="360" w:lineRule="auto"/>
        <w:ind w:firstLine="720"/>
        <w:jc w:val="both"/>
        <w:rPr>
          <w:snapToGrid/>
          <w:szCs w:val="24"/>
        </w:rPr>
      </w:pPr>
      <w:r w:rsidRPr="00423C84">
        <w:rPr>
          <w:snapToGrid/>
          <w:szCs w:val="24"/>
        </w:rPr>
        <w:t>On July 16, 2015,</w:t>
      </w:r>
      <w:r w:rsidR="005B558E" w:rsidRPr="00423C84">
        <w:rPr>
          <w:snapToGrid/>
          <w:szCs w:val="24"/>
        </w:rPr>
        <w:t xml:space="preserve"> Commission</w:t>
      </w:r>
      <w:r w:rsidRPr="00423C84">
        <w:rPr>
          <w:snapToGrid/>
          <w:szCs w:val="24"/>
        </w:rPr>
        <w:t xml:space="preserve"> Staff filed a petition to revoke Farrar</w:t>
      </w:r>
      <w:r w:rsidR="005B558E" w:rsidRPr="00423C84">
        <w:rPr>
          <w:snapToGrid/>
          <w:szCs w:val="24"/>
        </w:rPr>
        <w:t>’</w:t>
      </w:r>
      <w:r w:rsidRPr="00423C84">
        <w:rPr>
          <w:snapToGrid/>
          <w:szCs w:val="24"/>
        </w:rPr>
        <w:t>s CCN pursuant to Tex.</w:t>
      </w:r>
      <w:r w:rsidR="005B558E" w:rsidRPr="00423C84">
        <w:rPr>
          <w:snapToGrid/>
          <w:szCs w:val="24"/>
        </w:rPr>
        <w:t xml:space="preserve"> </w:t>
      </w:r>
      <w:r w:rsidRPr="00423C84">
        <w:rPr>
          <w:snapToGrid/>
          <w:szCs w:val="24"/>
        </w:rPr>
        <w:t>Water Code Ann. § 13.254 (</w:t>
      </w:r>
      <w:r w:rsidR="005B558E" w:rsidRPr="00423C84">
        <w:rPr>
          <w:snapToGrid/>
          <w:szCs w:val="24"/>
        </w:rPr>
        <w:t xml:space="preserve">West 2007 and Supp. </w:t>
      </w:r>
      <w:r w:rsidRPr="00423C84">
        <w:rPr>
          <w:snapToGrid/>
          <w:szCs w:val="24"/>
        </w:rPr>
        <w:t xml:space="preserve">2014) </w:t>
      </w:r>
      <w:r w:rsidR="005B558E" w:rsidRPr="00423C84">
        <w:rPr>
          <w:snapToGrid/>
          <w:szCs w:val="24"/>
        </w:rPr>
        <w:t xml:space="preserve">(TAC) </w:t>
      </w:r>
      <w:r w:rsidRPr="00423C84">
        <w:rPr>
          <w:snapToGrid/>
          <w:szCs w:val="24"/>
        </w:rPr>
        <w:t>and 16 TAC §</w:t>
      </w:r>
      <w:r w:rsidR="005B558E" w:rsidRPr="00423C84">
        <w:rPr>
          <w:snapToGrid/>
          <w:szCs w:val="24"/>
        </w:rPr>
        <w:t> </w:t>
      </w:r>
      <w:r w:rsidRPr="00423C84">
        <w:rPr>
          <w:snapToGrid/>
          <w:szCs w:val="24"/>
        </w:rPr>
        <w:t xml:space="preserve">24.113. </w:t>
      </w:r>
      <w:r w:rsidR="005B558E" w:rsidRPr="00423C84">
        <w:rPr>
          <w:snapToGrid/>
          <w:szCs w:val="24"/>
        </w:rPr>
        <w:t xml:space="preserve"> Commission </w:t>
      </w:r>
      <w:r w:rsidRPr="00423C84">
        <w:rPr>
          <w:snapToGrid/>
          <w:szCs w:val="24"/>
        </w:rPr>
        <w:t xml:space="preserve">Staff </w:t>
      </w:r>
      <w:r w:rsidRPr="00423C84">
        <w:rPr>
          <w:bCs/>
          <w:snapToGrid/>
          <w:szCs w:val="24"/>
        </w:rPr>
        <w:t>alleged that Farrar</w:t>
      </w:r>
      <w:r w:rsidR="005B558E" w:rsidRPr="00423C84">
        <w:rPr>
          <w:bCs/>
          <w:snapToGrid/>
          <w:szCs w:val="24"/>
        </w:rPr>
        <w:t xml:space="preserve"> </w:t>
      </w:r>
      <w:r w:rsidRPr="00423C84">
        <w:rPr>
          <w:bCs/>
          <w:snapToGrid/>
          <w:szCs w:val="24"/>
        </w:rPr>
        <w:t xml:space="preserve">was been abandoned </w:t>
      </w:r>
      <w:r w:rsidRPr="00423C84">
        <w:rPr>
          <w:snapToGrid/>
          <w:szCs w:val="24"/>
        </w:rPr>
        <w:t xml:space="preserve">by Mr. Wadlington </w:t>
      </w:r>
      <w:r w:rsidRPr="00423C84">
        <w:rPr>
          <w:bCs/>
          <w:snapToGrid/>
          <w:szCs w:val="24"/>
        </w:rPr>
        <w:t>and is incapable of providing continuous and adequate</w:t>
      </w:r>
      <w:r w:rsidR="005B558E" w:rsidRPr="00423C84">
        <w:rPr>
          <w:bCs/>
          <w:snapToGrid/>
          <w:szCs w:val="24"/>
        </w:rPr>
        <w:t xml:space="preserve"> </w:t>
      </w:r>
      <w:r w:rsidRPr="00423C84">
        <w:rPr>
          <w:bCs/>
          <w:snapToGrid/>
          <w:szCs w:val="24"/>
        </w:rPr>
        <w:t xml:space="preserve">service. </w:t>
      </w:r>
      <w:r w:rsidR="005B558E" w:rsidRPr="00423C84">
        <w:rPr>
          <w:bCs/>
          <w:snapToGrid/>
          <w:szCs w:val="24"/>
        </w:rPr>
        <w:t xml:space="preserve"> </w:t>
      </w:r>
      <w:r w:rsidRPr="00423C84">
        <w:rPr>
          <w:bCs/>
          <w:snapToGrid/>
          <w:szCs w:val="24"/>
        </w:rPr>
        <w:t xml:space="preserve">In a separate proceeding, </w:t>
      </w:r>
      <w:r w:rsidR="00423C84" w:rsidRPr="004B1BA3">
        <w:rPr>
          <w:rFonts w:eastAsiaTheme="minorHAnsi"/>
          <w:i/>
          <w:snapToGrid/>
          <w:szCs w:val="24"/>
        </w:rPr>
        <w:t>Petition for an Emergency Order Appointing a Temporary Manager to Farrar Water Supply Corporation Pursuant to Tex. Water Code Ann. § 13.4132 and 16 TAC § 24.142</w:t>
      </w:r>
      <w:r w:rsidR="00423C84">
        <w:rPr>
          <w:rFonts w:eastAsiaTheme="minorHAnsi"/>
          <w:i/>
          <w:snapToGrid/>
          <w:szCs w:val="24"/>
        </w:rPr>
        <w:t xml:space="preserve">, </w:t>
      </w:r>
      <w:r w:rsidRPr="00423C84">
        <w:rPr>
          <w:snapToGrid/>
          <w:szCs w:val="24"/>
        </w:rPr>
        <w:t xml:space="preserve">Docket 44949, </w:t>
      </w:r>
      <w:r w:rsidR="00423C84">
        <w:rPr>
          <w:snapToGrid/>
          <w:szCs w:val="24"/>
        </w:rPr>
        <w:t xml:space="preserve">Emergency Order (Jul. 30, 2015) and Order Affirming Emergency Order (Aug. 17, 2015), </w:t>
      </w:r>
      <w:r w:rsidRPr="00423C84">
        <w:rPr>
          <w:bCs/>
          <w:snapToGrid/>
          <w:szCs w:val="24"/>
        </w:rPr>
        <w:t>the Commission appointed a temporary</w:t>
      </w:r>
      <w:r w:rsidR="00423C84">
        <w:rPr>
          <w:bCs/>
          <w:snapToGrid/>
          <w:szCs w:val="24"/>
        </w:rPr>
        <w:t xml:space="preserve"> </w:t>
      </w:r>
      <w:r w:rsidRPr="00423C84">
        <w:rPr>
          <w:bCs/>
          <w:snapToGrid/>
          <w:szCs w:val="24"/>
        </w:rPr>
        <w:t xml:space="preserve">manager to operate Farrar until another </w:t>
      </w:r>
      <w:r w:rsidRPr="00423C84">
        <w:rPr>
          <w:snapToGrid/>
          <w:szCs w:val="24"/>
        </w:rPr>
        <w:t xml:space="preserve">utility is </w:t>
      </w:r>
      <w:r w:rsidRPr="00423C84">
        <w:rPr>
          <w:bCs/>
          <w:snapToGrid/>
          <w:szCs w:val="24"/>
        </w:rPr>
        <w:t xml:space="preserve">formed or takes over operation </w:t>
      </w:r>
      <w:r w:rsidRPr="00423C84">
        <w:rPr>
          <w:snapToGrid/>
          <w:szCs w:val="24"/>
        </w:rPr>
        <w:t>of the PWS</w:t>
      </w:r>
      <w:r w:rsidR="00423C84">
        <w:rPr>
          <w:snapToGrid/>
          <w:szCs w:val="24"/>
        </w:rPr>
        <w:t xml:space="preserve"> </w:t>
      </w:r>
      <w:r w:rsidRPr="00423C84">
        <w:rPr>
          <w:bCs/>
          <w:snapToGrid/>
          <w:szCs w:val="24"/>
        </w:rPr>
        <w:t>associated</w:t>
      </w:r>
      <w:r w:rsidRPr="00142B44">
        <w:rPr>
          <w:b/>
          <w:bCs/>
          <w:snapToGrid/>
          <w:szCs w:val="24"/>
        </w:rPr>
        <w:t xml:space="preserve"> </w:t>
      </w:r>
      <w:r w:rsidR="00423C84">
        <w:rPr>
          <w:snapToGrid/>
          <w:szCs w:val="24"/>
        </w:rPr>
        <w:t>with Farrar’</w:t>
      </w:r>
      <w:r w:rsidRPr="00142B44">
        <w:rPr>
          <w:snapToGrid/>
          <w:szCs w:val="24"/>
        </w:rPr>
        <w:t>s CCN.</w:t>
      </w:r>
    </w:p>
    <w:p w:rsidR="00602909" w:rsidRDefault="00602909" w:rsidP="00423C84">
      <w:pPr>
        <w:autoSpaceDE w:val="0"/>
        <w:autoSpaceDN w:val="0"/>
        <w:adjustRightInd w:val="0"/>
        <w:spacing w:before="120" w:line="360" w:lineRule="auto"/>
        <w:ind w:firstLine="720"/>
        <w:jc w:val="both"/>
        <w:rPr>
          <w:snapToGrid/>
          <w:szCs w:val="24"/>
        </w:rPr>
      </w:pPr>
      <w:r w:rsidRPr="00142B44">
        <w:rPr>
          <w:snapToGrid/>
          <w:szCs w:val="24"/>
        </w:rPr>
        <w:t>Commission Staff</w:t>
      </w:r>
      <w:r w:rsidR="00423C84">
        <w:rPr>
          <w:snapToGrid/>
          <w:szCs w:val="24"/>
        </w:rPr>
        <w:t>’</w:t>
      </w:r>
      <w:r w:rsidRPr="00142B44">
        <w:rPr>
          <w:snapToGrid/>
          <w:szCs w:val="24"/>
        </w:rPr>
        <w:t xml:space="preserve">s Petition included </w:t>
      </w:r>
      <w:r w:rsidR="00423C84" w:rsidRPr="00142B44">
        <w:rPr>
          <w:snapToGrid/>
          <w:szCs w:val="24"/>
        </w:rPr>
        <w:t>notice of opportunity for hearing and,</w:t>
      </w:r>
      <w:r w:rsidR="00423C84">
        <w:rPr>
          <w:snapToGrid/>
          <w:szCs w:val="24"/>
        </w:rPr>
        <w:t xml:space="preserve"> </w:t>
      </w:r>
      <w:r w:rsidRPr="00142B44">
        <w:rPr>
          <w:snapToGrid/>
          <w:szCs w:val="24"/>
        </w:rPr>
        <w:t xml:space="preserve">pursuant to 16 TAC </w:t>
      </w:r>
      <w:r w:rsidR="00423C84">
        <w:rPr>
          <w:snapToGrid/>
          <w:szCs w:val="24"/>
        </w:rPr>
        <w:t>§ 22.183, notified Farrar in 14-</w:t>
      </w:r>
      <w:r w:rsidRPr="00142B44">
        <w:rPr>
          <w:snapToGrid/>
          <w:szCs w:val="24"/>
        </w:rPr>
        <w:t>point, bolded font that the factual allegations</w:t>
      </w:r>
      <w:r w:rsidR="00423C84">
        <w:rPr>
          <w:snapToGrid/>
          <w:szCs w:val="24"/>
        </w:rPr>
        <w:t xml:space="preserve"> </w:t>
      </w:r>
      <w:r w:rsidRPr="00142B44">
        <w:rPr>
          <w:snapToGrid/>
          <w:szCs w:val="24"/>
        </w:rPr>
        <w:t xml:space="preserve">in the </w:t>
      </w:r>
      <w:r w:rsidR="000524C8">
        <w:rPr>
          <w:snapToGrid/>
          <w:szCs w:val="24"/>
        </w:rPr>
        <w:t>P</w:t>
      </w:r>
      <w:r w:rsidRPr="00142B44">
        <w:rPr>
          <w:snapToGrid/>
          <w:szCs w:val="24"/>
        </w:rPr>
        <w:t>etition could be deemed admitted and the relief sought granted by default if Farrar failed</w:t>
      </w:r>
      <w:r w:rsidR="00423C84">
        <w:rPr>
          <w:snapToGrid/>
          <w:szCs w:val="24"/>
        </w:rPr>
        <w:t xml:space="preserve"> </w:t>
      </w:r>
      <w:r w:rsidRPr="00142B44">
        <w:rPr>
          <w:snapToGrid/>
          <w:szCs w:val="24"/>
        </w:rPr>
        <w:t xml:space="preserve">to request a </w:t>
      </w:r>
      <w:r w:rsidRPr="00142B44">
        <w:rPr>
          <w:snapToGrid/>
          <w:szCs w:val="24"/>
        </w:rPr>
        <w:lastRenderedPageBreak/>
        <w:t xml:space="preserve">hearing within 30 days after service of the Petition and </w:t>
      </w:r>
      <w:r w:rsidR="000524C8" w:rsidRPr="00142B44">
        <w:rPr>
          <w:snapToGrid/>
          <w:szCs w:val="24"/>
        </w:rPr>
        <w:t>notice of opportunity for a</w:t>
      </w:r>
      <w:r w:rsidR="000524C8">
        <w:rPr>
          <w:snapToGrid/>
          <w:szCs w:val="24"/>
        </w:rPr>
        <w:t xml:space="preserve"> </w:t>
      </w:r>
      <w:r w:rsidR="000524C8" w:rsidRPr="00142B44">
        <w:rPr>
          <w:snapToGrid/>
          <w:szCs w:val="24"/>
        </w:rPr>
        <w:t>hearing</w:t>
      </w:r>
      <w:r w:rsidRPr="00142B44">
        <w:rPr>
          <w:snapToGrid/>
          <w:szCs w:val="24"/>
        </w:rPr>
        <w:t>.</w:t>
      </w:r>
      <w:r w:rsidR="000524C8">
        <w:rPr>
          <w:snapToGrid/>
          <w:szCs w:val="24"/>
        </w:rPr>
        <w:t xml:space="preserve">  </w:t>
      </w:r>
      <w:r w:rsidRPr="00142B44">
        <w:rPr>
          <w:snapToGrid/>
          <w:szCs w:val="24"/>
        </w:rPr>
        <w:t>Farrar did not request a hearing on the merits and more than 30 days have passed since</w:t>
      </w:r>
      <w:r w:rsidR="00423C84">
        <w:rPr>
          <w:snapToGrid/>
          <w:szCs w:val="24"/>
        </w:rPr>
        <w:t xml:space="preserve"> </w:t>
      </w:r>
      <w:r w:rsidRPr="00142B44">
        <w:rPr>
          <w:snapToGrid/>
          <w:szCs w:val="24"/>
        </w:rPr>
        <w:t xml:space="preserve">service of the Petition and </w:t>
      </w:r>
      <w:r w:rsidR="00423C84" w:rsidRPr="00142B44">
        <w:rPr>
          <w:snapToGrid/>
          <w:szCs w:val="24"/>
        </w:rPr>
        <w:t>notice of opportunity for hearing was provided</w:t>
      </w:r>
      <w:r w:rsidRPr="00142B44">
        <w:rPr>
          <w:snapToGrid/>
          <w:szCs w:val="24"/>
        </w:rPr>
        <w:t>.</w:t>
      </w:r>
    </w:p>
    <w:p w:rsidR="00602909" w:rsidRPr="00142B44" w:rsidRDefault="00602909" w:rsidP="000524C8">
      <w:pPr>
        <w:autoSpaceDE w:val="0"/>
        <w:autoSpaceDN w:val="0"/>
        <w:adjustRightInd w:val="0"/>
        <w:spacing w:before="120" w:line="360" w:lineRule="auto"/>
        <w:ind w:firstLine="720"/>
        <w:rPr>
          <w:snapToGrid/>
          <w:szCs w:val="24"/>
        </w:rPr>
      </w:pPr>
      <w:r w:rsidRPr="00142B44">
        <w:rPr>
          <w:snapToGrid/>
          <w:szCs w:val="24"/>
        </w:rPr>
        <w:t>The Commission adopts the following findings of fact and conclusions of law:</w:t>
      </w:r>
    </w:p>
    <w:p w:rsidR="00602909" w:rsidRPr="00142B44" w:rsidRDefault="000524C8" w:rsidP="003E2D1A">
      <w:pPr>
        <w:pStyle w:val="Heading1"/>
        <w:spacing w:before="360"/>
        <w:rPr>
          <w:snapToGrid/>
        </w:rPr>
      </w:pPr>
      <w:r>
        <w:rPr>
          <w:snapToGrid/>
        </w:rPr>
        <w:t xml:space="preserve"> </w:t>
      </w:r>
      <w:r w:rsidR="00602909" w:rsidRPr="00142B44">
        <w:rPr>
          <w:snapToGrid/>
        </w:rPr>
        <w:t>Findings of Fact</w:t>
      </w:r>
    </w:p>
    <w:p w:rsidR="00602909" w:rsidRPr="00142B44" w:rsidRDefault="00602909" w:rsidP="000524C8">
      <w:pPr>
        <w:pStyle w:val="FOFNumbered"/>
        <w:rPr>
          <w:snapToGrid/>
        </w:rPr>
      </w:pPr>
      <w:r w:rsidRPr="00142B44">
        <w:rPr>
          <w:snapToGrid/>
        </w:rPr>
        <w:t>Farrar is a retail public utility owned and previously operated by Mr. Rocky Wadlington.</w:t>
      </w:r>
    </w:p>
    <w:p w:rsidR="00602909" w:rsidRPr="00481A63" w:rsidRDefault="00602909" w:rsidP="007F7062">
      <w:pPr>
        <w:pStyle w:val="FOFNumbered"/>
      </w:pPr>
      <w:r w:rsidRPr="00481A63">
        <w:rPr>
          <w:snapToGrid/>
        </w:rPr>
        <w:t>Mr. Wadlington d/b/a Farrar Water Supply Corporation was granted Certificate of</w:t>
      </w:r>
      <w:r w:rsidR="00481A63" w:rsidRPr="00481A63">
        <w:rPr>
          <w:snapToGrid/>
        </w:rPr>
        <w:t xml:space="preserve"> </w:t>
      </w:r>
      <w:r w:rsidRPr="00481A63">
        <w:rPr>
          <w:snapToGrid/>
        </w:rPr>
        <w:t xml:space="preserve">Convenience and Necessity (CCN) </w:t>
      </w:r>
      <w:r w:rsidR="00481A63" w:rsidRPr="00481A63">
        <w:rPr>
          <w:snapToGrid/>
        </w:rPr>
        <w:t xml:space="preserve">No. </w:t>
      </w:r>
      <w:r w:rsidRPr="00481A63">
        <w:rPr>
          <w:snapToGrid/>
        </w:rPr>
        <w:t>12429</w:t>
      </w:r>
      <w:r w:rsidR="00481A63" w:rsidRPr="00481A63">
        <w:rPr>
          <w:snapToGrid/>
        </w:rPr>
        <w:t xml:space="preserve"> by TCEQ</w:t>
      </w:r>
      <w:r w:rsidRPr="00481A63">
        <w:rPr>
          <w:snapToGrid/>
        </w:rPr>
        <w:t>.</w:t>
      </w:r>
      <w:r w:rsidR="00481A63" w:rsidRPr="00481A63">
        <w:rPr>
          <w:snapToGrid/>
        </w:rPr>
        <w:t xml:space="preserve">  </w:t>
      </w:r>
      <w:r w:rsidRPr="00481A63">
        <w:t xml:space="preserve">Farrar is comprised of one </w:t>
      </w:r>
      <w:r w:rsidR="00C27F5A">
        <w:t xml:space="preserve">PWS.  </w:t>
      </w:r>
    </w:p>
    <w:p w:rsidR="00602909" w:rsidRPr="00481A63" w:rsidRDefault="00602909" w:rsidP="00481A63">
      <w:pPr>
        <w:pStyle w:val="FOFNumbered"/>
      </w:pPr>
      <w:r w:rsidRPr="00481A63">
        <w:t>TCEQ successfully pursued four enforcement actions against Mr. Wadlington and</w:t>
      </w:r>
      <w:r w:rsidR="00481A63" w:rsidRPr="00481A63">
        <w:t xml:space="preserve"> </w:t>
      </w:r>
      <w:r w:rsidRPr="00481A63">
        <w:t>the PWS associated with Farrar.</w:t>
      </w:r>
    </w:p>
    <w:p w:rsidR="00602909" w:rsidRPr="00481A63" w:rsidRDefault="00602909" w:rsidP="00481A63">
      <w:pPr>
        <w:pStyle w:val="FOFNumbered"/>
      </w:pPr>
      <w:r w:rsidRPr="00481A63">
        <w:t>All four enforcement actions were for violations of the Texas Health and Safety Code.</w:t>
      </w:r>
    </w:p>
    <w:p w:rsidR="00602909" w:rsidRPr="00142B44" w:rsidRDefault="00602909" w:rsidP="000524C8">
      <w:pPr>
        <w:pStyle w:val="FOFNumbered"/>
        <w:rPr>
          <w:snapToGrid/>
        </w:rPr>
      </w:pPr>
      <w:r w:rsidRPr="00142B44">
        <w:rPr>
          <w:snapToGrid/>
        </w:rPr>
        <w:t>Violations date back to 2006 with the last violation occurring in March 2014.</w:t>
      </w:r>
    </w:p>
    <w:p w:rsidR="00602909" w:rsidRPr="00481A63" w:rsidRDefault="00602909" w:rsidP="00BB7F3A">
      <w:pPr>
        <w:pStyle w:val="FOFNumbered"/>
        <w:rPr>
          <w:snapToGrid/>
        </w:rPr>
      </w:pPr>
      <w:r w:rsidRPr="00481A63">
        <w:rPr>
          <w:snapToGrid/>
        </w:rPr>
        <w:t xml:space="preserve">Both enforcement actions finalized in 2015 resulted in default orders. </w:t>
      </w:r>
      <w:r w:rsidR="00481A63" w:rsidRPr="00481A63">
        <w:rPr>
          <w:snapToGrid/>
        </w:rPr>
        <w:t xml:space="preserve"> </w:t>
      </w:r>
      <w:r w:rsidRPr="00481A63">
        <w:rPr>
          <w:snapToGrid/>
        </w:rPr>
        <w:t>In one of those,</w:t>
      </w:r>
      <w:r w:rsidR="00481A63" w:rsidRPr="00481A63">
        <w:rPr>
          <w:snapToGrid/>
        </w:rPr>
        <w:t xml:space="preserve"> </w:t>
      </w:r>
      <w:r w:rsidRPr="00481A63">
        <w:rPr>
          <w:snapToGrid/>
        </w:rPr>
        <w:t>TCEQ Docket No. 2013-0347-MLM-E, Mr. Wadlington received notice three times,</w:t>
      </w:r>
      <w:r w:rsidR="00481A63" w:rsidRPr="00481A63">
        <w:rPr>
          <w:snapToGrid/>
        </w:rPr>
        <w:t xml:space="preserve"> </w:t>
      </w:r>
      <w:r w:rsidRPr="00481A63">
        <w:rPr>
          <w:snapToGrid/>
        </w:rPr>
        <w:t>signing for the notice all three times, and failed to respond.</w:t>
      </w:r>
    </w:p>
    <w:p w:rsidR="00602909" w:rsidRPr="008471A7" w:rsidRDefault="00602909" w:rsidP="00523E5F">
      <w:pPr>
        <w:pStyle w:val="FOFNumbered"/>
        <w:rPr>
          <w:snapToGrid/>
        </w:rPr>
      </w:pPr>
      <w:r w:rsidRPr="008471A7">
        <w:rPr>
          <w:snapToGrid/>
        </w:rPr>
        <w:t>On August 28, 2014, Mr. Wadlington, representing Farra</w:t>
      </w:r>
      <w:r w:rsidR="008471A7" w:rsidRPr="008471A7">
        <w:rPr>
          <w:snapToGrid/>
        </w:rPr>
        <w:t>r, attempted to sell all</w:t>
      </w:r>
      <w:r w:rsidR="00C27F5A">
        <w:rPr>
          <w:snapToGrid/>
        </w:rPr>
        <w:t xml:space="preserve"> of</w:t>
      </w:r>
      <w:r w:rsidR="008471A7" w:rsidRPr="008471A7">
        <w:rPr>
          <w:snapToGrid/>
        </w:rPr>
        <w:t xml:space="preserve"> Farrar’</w:t>
      </w:r>
      <w:r w:rsidRPr="008471A7">
        <w:rPr>
          <w:snapToGrid/>
        </w:rPr>
        <w:t>s</w:t>
      </w:r>
      <w:r w:rsidR="008471A7" w:rsidRPr="008471A7">
        <w:rPr>
          <w:snapToGrid/>
        </w:rPr>
        <w:t xml:space="preserve"> </w:t>
      </w:r>
      <w:r w:rsidRPr="008471A7">
        <w:rPr>
          <w:snapToGrid/>
        </w:rPr>
        <w:t>property, including the water system, to Simply Aquatics.</w:t>
      </w:r>
    </w:p>
    <w:p w:rsidR="00602909" w:rsidRPr="00142B44" w:rsidRDefault="00602909" w:rsidP="000524C8">
      <w:pPr>
        <w:pStyle w:val="FOFNumbered"/>
        <w:rPr>
          <w:snapToGrid/>
        </w:rPr>
      </w:pPr>
      <w:r w:rsidRPr="00142B44">
        <w:rPr>
          <w:snapToGrid/>
        </w:rPr>
        <w:t>Simply Aquatics assumed operation of the facility on September 1, 2014.</w:t>
      </w:r>
    </w:p>
    <w:p w:rsidR="00602909" w:rsidRPr="008471A7" w:rsidRDefault="00602909" w:rsidP="00450324">
      <w:pPr>
        <w:pStyle w:val="FOFNumbered"/>
        <w:rPr>
          <w:snapToGrid/>
        </w:rPr>
      </w:pPr>
      <w:r w:rsidRPr="008471A7">
        <w:rPr>
          <w:snapToGrid/>
        </w:rPr>
        <w:t>Simply Aquatics attempted to cure past violations</w:t>
      </w:r>
      <w:r w:rsidR="00C27F5A">
        <w:rPr>
          <w:snapToGrid/>
        </w:rPr>
        <w:t>,</w:t>
      </w:r>
      <w:r w:rsidRPr="008471A7">
        <w:rPr>
          <w:snapToGrid/>
        </w:rPr>
        <w:t xml:space="preserve"> but was unable to collect rates</w:t>
      </w:r>
      <w:r w:rsidR="008471A7" w:rsidRPr="008471A7">
        <w:rPr>
          <w:snapToGrid/>
        </w:rPr>
        <w:t xml:space="preserve"> </w:t>
      </w:r>
      <w:r w:rsidRPr="008471A7">
        <w:rPr>
          <w:snapToGrid/>
        </w:rPr>
        <w:t>sufficient to invest in repairs.</w:t>
      </w:r>
    </w:p>
    <w:p w:rsidR="00602909" w:rsidRPr="008471A7" w:rsidRDefault="00602909" w:rsidP="000D3794">
      <w:pPr>
        <w:pStyle w:val="FOFNumbered"/>
        <w:rPr>
          <w:snapToGrid/>
        </w:rPr>
      </w:pPr>
      <w:r w:rsidRPr="008471A7">
        <w:rPr>
          <w:snapToGrid/>
        </w:rPr>
        <w:t>In order to file a rate increase, Simply Aquatics need</w:t>
      </w:r>
      <w:r w:rsidR="008471A7" w:rsidRPr="008471A7">
        <w:rPr>
          <w:snapToGrid/>
        </w:rPr>
        <w:t>ed to obtain the CCN for Farrar’</w:t>
      </w:r>
      <w:r w:rsidRPr="008471A7">
        <w:rPr>
          <w:snapToGrid/>
        </w:rPr>
        <w:t>s</w:t>
      </w:r>
      <w:r w:rsidR="008471A7" w:rsidRPr="008471A7">
        <w:rPr>
          <w:snapToGrid/>
        </w:rPr>
        <w:t xml:space="preserve"> </w:t>
      </w:r>
      <w:r w:rsidRPr="008471A7">
        <w:rPr>
          <w:snapToGrid/>
        </w:rPr>
        <w:t>service area by transfer; however, Simply Aquatics could not contact Mr. Wadlington and</w:t>
      </w:r>
      <w:r w:rsidR="008471A7" w:rsidRPr="008471A7">
        <w:rPr>
          <w:snapToGrid/>
        </w:rPr>
        <w:t xml:space="preserve"> </w:t>
      </w:r>
      <w:r w:rsidRPr="008471A7">
        <w:rPr>
          <w:snapToGrid/>
        </w:rPr>
        <w:t>never received his portion of the application for a sale, transfer, or merger.</w:t>
      </w:r>
    </w:p>
    <w:p w:rsidR="00602909" w:rsidRPr="008471A7" w:rsidRDefault="00602909" w:rsidP="009004DA">
      <w:pPr>
        <w:pStyle w:val="FOFNumbered"/>
        <w:rPr>
          <w:snapToGrid/>
        </w:rPr>
      </w:pPr>
      <w:r w:rsidRPr="008471A7">
        <w:rPr>
          <w:snapToGrid/>
        </w:rPr>
        <w:t>Simply Aquatics notified Commission Staff on July 10, 2015, that they could not</w:t>
      </w:r>
      <w:r w:rsidR="008471A7" w:rsidRPr="008471A7">
        <w:rPr>
          <w:snapToGrid/>
        </w:rPr>
        <w:t xml:space="preserve"> </w:t>
      </w:r>
      <w:r w:rsidRPr="008471A7">
        <w:rPr>
          <w:snapToGrid/>
        </w:rPr>
        <w:t>continue operating Farrar and providing continuous and adequate service.</w:t>
      </w:r>
    </w:p>
    <w:p w:rsidR="00602909" w:rsidRPr="008471A7" w:rsidRDefault="00602909" w:rsidP="00703355">
      <w:pPr>
        <w:pStyle w:val="FOFNumbered"/>
        <w:rPr>
          <w:snapToGrid/>
        </w:rPr>
      </w:pPr>
      <w:r w:rsidRPr="008471A7">
        <w:rPr>
          <w:snapToGrid/>
        </w:rPr>
        <w:t>In the absence of a completed application for sale transfer, or merger, Mr. Wadlington is</w:t>
      </w:r>
      <w:r w:rsidR="008471A7" w:rsidRPr="008471A7">
        <w:rPr>
          <w:snapToGrid/>
        </w:rPr>
        <w:t xml:space="preserve"> </w:t>
      </w:r>
      <w:r w:rsidRPr="008471A7">
        <w:rPr>
          <w:snapToGrid/>
        </w:rPr>
        <w:t xml:space="preserve">the holder of CCN </w:t>
      </w:r>
      <w:r w:rsidR="008471A7">
        <w:rPr>
          <w:snapToGrid/>
        </w:rPr>
        <w:t xml:space="preserve">No. </w:t>
      </w:r>
      <w:r w:rsidRPr="008471A7">
        <w:rPr>
          <w:snapToGrid/>
        </w:rPr>
        <w:t>12429.</w:t>
      </w:r>
    </w:p>
    <w:p w:rsidR="00602909" w:rsidRPr="008471A7" w:rsidRDefault="00602909" w:rsidP="00D01530">
      <w:pPr>
        <w:pStyle w:val="FOFNumbered"/>
        <w:rPr>
          <w:snapToGrid/>
        </w:rPr>
      </w:pPr>
      <w:r w:rsidRPr="008471A7">
        <w:rPr>
          <w:snapToGrid/>
        </w:rPr>
        <w:lastRenderedPageBreak/>
        <w:t xml:space="preserve">On July 30, 2015, in Docket </w:t>
      </w:r>
      <w:r w:rsidR="008471A7" w:rsidRPr="008471A7">
        <w:rPr>
          <w:snapToGrid/>
        </w:rPr>
        <w:t xml:space="preserve">No. </w:t>
      </w:r>
      <w:r w:rsidRPr="008471A7">
        <w:rPr>
          <w:snapToGrid/>
        </w:rPr>
        <w:t>44949, the Commission concluded that Farrar is incapable</w:t>
      </w:r>
      <w:r w:rsidR="008471A7" w:rsidRPr="008471A7">
        <w:rPr>
          <w:snapToGrid/>
        </w:rPr>
        <w:t xml:space="preserve"> </w:t>
      </w:r>
      <w:r w:rsidRPr="008471A7">
        <w:rPr>
          <w:snapToGrid/>
        </w:rPr>
        <w:t>of</w:t>
      </w:r>
      <w:r w:rsidR="008471A7" w:rsidRPr="008471A7">
        <w:rPr>
          <w:snapToGrid/>
        </w:rPr>
        <w:t xml:space="preserve"> </w:t>
      </w:r>
      <w:r w:rsidRPr="008471A7">
        <w:rPr>
          <w:snapToGrid/>
        </w:rPr>
        <w:t>managing and operating as a utility in a way that ensures continuous and adequate service</w:t>
      </w:r>
      <w:r w:rsidR="008471A7" w:rsidRPr="008471A7">
        <w:rPr>
          <w:snapToGrid/>
        </w:rPr>
        <w:t xml:space="preserve"> </w:t>
      </w:r>
      <w:r w:rsidRPr="008471A7">
        <w:rPr>
          <w:snapToGrid/>
        </w:rPr>
        <w:t>in the area covered by CCN No. 12429.</w:t>
      </w:r>
    </w:p>
    <w:p w:rsidR="00602909" w:rsidRPr="008471A7" w:rsidRDefault="00602909" w:rsidP="00CE02C8">
      <w:pPr>
        <w:pStyle w:val="FOFNumbered"/>
        <w:rPr>
          <w:snapToGrid/>
        </w:rPr>
      </w:pPr>
      <w:r w:rsidRPr="008471A7">
        <w:rPr>
          <w:snapToGrid/>
        </w:rPr>
        <w:t xml:space="preserve">On July 30, 2014, in Docket </w:t>
      </w:r>
      <w:r w:rsidR="008471A7" w:rsidRPr="008471A7">
        <w:rPr>
          <w:snapToGrid/>
        </w:rPr>
        <w:t xml:space="preserve">No. </w:t>
      </w:r>
      <w:r w:rsidRPr="008471A7">
        <w:rPr>
          <w:snapToGrid/>
        </w:rPr>
        <w:t>44949, the Commission issued an emergency order</w:t>
      </w:r>
      <w:r w:rsidR="008471A7" w:rsidRPr="008471A7">
        <w:rPr>
          <w:snapToGrid/>
        </w:rPr>
        <w:t xml:space="preserve"> </w:t>
      </w:r>
      <w:r w:rsidRPr="008471A7">
        <w:rPr>
          <w:snapToGrid/>
        </w:rPr>
        <w:t>appointing Matthew Douglas Martin as temporary manager of Farrar to ensure the</w:t>
      </w:r>
      <w:r w:rsidR="008471A7" w:rsidRPr="008471A7">
        <w:rPr>
          <w:snapToGrid/>
        </w:rPr>
        <w:t xml:space="preserve"> </w:t>
      </w:r>
      <w:r w:rsidRPr="008471A7">
        <w:rPr>
          <w:snapToGrid/>
        </w:rPr>
        <w:t>continued operation of the utility and the provision of continuous and adequate services</w:t>
      </w:r>
      <w:r w:rsidR="008471A7" w:rsidRPr="008471A7">
        <w:rPr>
          <w:snapToGrid/>
        </w:rPr>
        <w:t xml:space="preserve"> </w:t>
      </w:r>
      <w:r w:rsidRPr="008471A7">
        <w:rPr>
          <w:snapToGrid/>
        </w:rPr>
        <w:t>to customers.</w:t>
      </w:r>
    </w:p>
    <w:p w:rsidR="00602909" w:rsidRPr="008471A7" w:rsidRDefault="00602909" w:rsidP="00445CC4">
      <w:pPr>
        <w:pStyle w:val="FOFNumbered"/>
        <w:rPr>
          <w:snapToGrid/>
        </w:rPr>
      </w:pPr>
      <w:r w:rsidRPr="008471A7">
        <w:rPr>
          <w:snapToGrid/>
        </w:rPr>
        <w:t>The Commission affirmed its emergency order, after notice and hearing, on August</w:t>
      </w:r>
      <w:r w:rsidR="008471A7" w:rsidRPr="008471A7">
        <w:rPr>
          <w:snapToGrid/>
        </w:rPr>
        <w:t> </w:t>
      </w:r>
      <w:r w:rsidRPr="008471A7">
        <w:rPr>
          <w:snapToGrid/>
        </w:rPr>
        <w:t>18,</w:t>
      </w:r>
      <w:r w:rsidR="008471A7" w:rsidRPr="008471A7">
        <w:rPr>
          <w:snapToGrid/>
        </w:rPr>
        <w:t> </w:t>
      </w:r>
      <w:r w:rsidRPr="008471A7">
        <w:rPr>
          <w:snapToGrid/>
        </w:rPr>
        <w:t>2015.</w:t>
      </w:r>
    </w:p>
    <w:p w:rsidR="00602909" w:rsidRPr="008471A7" w:rsidRDefault="00602909" w:rsidP="00724E75">
      <w:pPr>
        <w:pStyle w:val="FOFNumbered"/>
        <w:rPr>
          <w:snapToGrid/>
        </w:rPr>
      </w:pPr>
      <w:r w:rsidRPr="008471A7">
        <w:rPr>
          <w:snapToGrid/>
        </w:rPr>
        <w:t xml:space="preserve">On July 17, 2015, </w:t>
      </w:r>
      <w:r w:rsidR="008471A7" w:rsidRPr="008471A7">
        <w:rPr>
          <w:snapToGrid/>
        </w:rPr>
        <w:t xml:space="preserve">Commission </w:t>
      </w:r>
      <w:r w:rsidRPr="008471A7">
        <w:rPr>
          <w:snapToGrid/>
        </w:rPr>
        <w:t xml:space="preserve">Staff filed the Petition and </w:t>
      </w:r>
      <w:r w:rsidR="008471A7" w:rsidRPr="008471A7">
        <w:rPr>
          <w:snapToGrid/>
        </w:rPr>
        <w:t xml:space="preserve">provided notice of opportunity for hearing seeking </w:t>
      </w:r>
      <w:r w:rsidR="008471A7">
        <w:rPr>
          <w:snapToGrid/>
        </w:rPr>
        <w:t>revocation of Farrar’</w:t>
      </w:r>
      <w:r w:rsidRPr="008471A7">
        <w:rPr>
          <w:snapToGrid/>
        </w:rPr>
        <w:t>s CCN</w:t>
      </w:r>
      <w:r w:rsidR="008471A7">
        <w:rPr>
          <w:snapToGrid/>
        </w:rPr>
        <w:t xml:space="preserve"> No. 12429</w:t>
      </w:r>
      <w:r w:rsidRPr="008471A7">
        <w:rPr>
          <w:snapToGrid/>
        </w:rPr>
        <w:t>.</w:t>
      </w:r>
    </w:p>
    <w:p w:rsidR="00602909" w:rsidRPr="008471A7" w:rsidRDefault="00602909" w:rsidP="00E1133C">
      <w:pPr>
        <w:pStyle w:val="FOFNumbered"/>
        <w:rPr>
          <w:snapToGrid/>
        </w:rPr>
      </w:pPr>
      <w:r w:rsidRPr="008471A7">
        <w:rPr>
          <w:snapToGrid/>
        </w:rPr>
        <w:t>The Petition included the required disclosure in at</w:t>
      </w:r>
      <w:r w:rsidR="008471A7" w:rsidRPr="008471A7">
        <w:rPr>
          <w:snapToGrid/>
        </w:rPr>
        <w:t xml:space="preserve"> </w:t>
      </w:r>
      <w:r w:rsidRPr="008471A7">
        <w:rPr>
          <w:snapToGrid/>
        </w:rPr>
        <w:t xml:space="preserve">least </w:t>
      </w:r>
      <w:r w:rsidR="008471A7">
        <w:rPr>
          <w:snapToGrid/>
        </w:rPr>
        <w:t>12</w:t>
      </w:r>
      <w:r w:rsidRPr="008471A7">
        <w:rPr>
          <w:snapToGrid/>
        </w:rPr>
        <w:t>-point, bold-face type.</w:t>
      </w:r>
    </w:p>
    <w:p w:rsidR="00602909" w:rsidRPr="008471A7" w:rsidRDefault="00602909" w:rsidP="006C3731">
      <w:pPr>
        <w:pStyle w:val="FOFNumbered"/>
        <w:rPr>
          <w:snapToGrid/>
        </w:rPr>
      </w:pPr>
      <w:r w:rsidRPr="008471A7">
        <w:rPr>
          <w:snapToGrid/>
        </w:rPr>
        <w:t>The Petition was sent by certified mail to the</w:t>
      </w:r>
      <w:r w:rsidR="008471A7" w:rsidRPr="008471A7">
        <w:rPr>
          <w:snapToGrid/>
        </w:rPr>
        <w:t xml:space="preserve"> </w:t>
      </w:r>
      <w:r w:rsidRPr="008471A7">
        <w:rPr>
          <w:snapToGrid/>
        </w:rPr>
        <w:t>owner of Farrar</w:t>
      </w:r>
      <w:r w:rsidR="008471A7" w:rsidRPr="008471A7">
        <w:rPr>
          <w:snapToGrid/>
        </w:rPr>
        <w:t>’</w:t>
      </w:r>
      <w:r w:rsidRPr="008471A7">
        <w:rPr>
          <w:snapToGrid/>
        </w:rPr>
        <w:t xml:space="preserve">s last </w:t>
      </w:r>
      <w:r w:rsidR="008471A7" w:rsidRPr="008471A7">
        <w:rPr>
          <w:snapToGrid/>
        </w:rPr>
        <w:t>known address in the Commission’</w:t>
      </w:r>
      <w:r w:rsidRPr="008471A7">
        <w:rPr>
          <w:snapToGrid/>
        </w:rPr>
        <w:t>s records and the address used</w:t>
      </w:r>
      <w:r w:rsidR="008471A7" w:rsidRPr="008471A7">
        <w:rPr>
          <w:snapToGrid/>
        </w:rPr>
        <w:t xml:space="preserve"> </w:t>
      </w:r>
      <w:r w:rsidRPr="008471A7">
        <w:rPr>
          <w:snapToGrid/>
        </w:rPr>
        <w:t>in TCEQ proceedings.</w:t>
      </w:r>
    </w:p>
    <w:p w:rsidR="008471A7" w:rsidRPr="00142B44" w:rsidRDefault="00602909" w:rsidP="008471A7">
      <w:pPr>
        <w:pStyle w:val="FOFNumbered"/>
        <w:rPr>
          <w:snapToGrid/>
        </w:rPr>
      </w:pPr>
      <w:r w:rsidRPr="00142B44">
        <w:rPr>
          <w:snapToGrid/>
        </w:rPr>
        <w:t>More than 30 days have passed since service of the Petition</w:t>
      </w:r>
      <w:r w:rsidR="008471A7">
        <w:rPr>
          <w:snapToGrid/>
        </w:rPr>
        <w:t>.</w:t>
      </w:r>
    </w:p>
    <w:p w:rsidR="00602909" w:rsidRPr="00142B44" w:rsidRDefault="00602909" w:rsidP="000524C8">
      <w:pPr>
        <w:pStyle w:val="FOFNumbered"/>
        <w:rPr>
          <w:snapToGrid/>
        </w:rPr>
      </w:pPr>
      <w:r w:rsidRPr="00142B44">
        <w:rPr>
          <w:snapToGrid/>
        </w:rPr>
        <w:t xml:space="preserve">Farrar </w:t>
      </w:r>
      <w:r w:rsidR="008471A7">
        <w:rPr>
          <w:snapToGrid/>
        </w:rPr>
        <w:t xml:space="preserve">did not request </w:t>
      </w:r>
      <w:r w:rsidRPr="00142B44">
        <w:rPr>
          <w:snapToGrid/>
        </w:rPr>
        <w:t>a hearing on the merits.</w:t>
      </w:r>
    </w:p>
    <w:p w:rsidR="00602909" w:rsidRPr="00142B44" w:rsidRDefault="008471A7" w:rsidP="003E2D1A">
      <w:pPr>
        <w:pStyle w:val="Heading1"/>
        <w:spacing w:before="360"/>
        <w:rPr>
          <w:snapToGrid/>
        </w:rPr>
      </w:pPr>
      <w:r>
        <w:rPr>
          <w:snapToGrid/>
        </w:rPr>
        <w:t xml:space="preserve"> </w:t>
      </w:r>
      <w:r w:rsidR="00602909" w:rsidRPr="00142B44">
        <w:rPr>
          <w:snapToGrid/>
        </w:rPr>
        <w:t>Conclusions of Law</w:t>
      </w:r>
    </w:p>
    <w:p w:rsidR="00602909" w:rsidRPr="00142B44" w:rsidRDefault="00602909" w:rsidP="008471A7">
      <w:pPr>
        <w:pStyle w:val="COLNumbered"/>
        <w:ind w:left="720" w:hanging="720"/>
        <w:rPr>
          <w:snapToGrid/>
        </w:rPr>
      </w:pPr>
      <w:r w:rsidRPr="00142B44">
        <w:rPr>
          <w:snapToGrid/>
        </w:rPr>
        <w:t>16 TAC § 24.3(</w:t>
      </w:r>
      <w:r w:rsidR="00C46CAD">
        <w:rPr>
          <w:snapToGrid/>
        </w:rPr>
        <w:t>15</w:t>
      </w:r>
      <w:r w:rsidRPr="00142B44">
        <w:rPr>
          <w:snapToGrid/>
        </w:rPr>
        <w:t xml:space="preserve">) defines a CCN </w:t>
      </w:r>
      <w:r w:rsidR="00C46CAD">
        <w:rPr>
          <w:snapToGrid/>
        </w:rPr>
        <w:t xml:space="preserve">as </w:t>
      </w:r>
      <w:r w:rsidRPr="00142B44">
        <w:rPr>
          <w:snapToGrid/>
        </w:rPr>
        <w:t xml:space="preserve">a permit issued by the </w:t>
      </w:r>
      <w:r w:rsidR="00C46CAD">
        <w:rPr>
          <w:snapToGrid/>
        </w:rPr>
        <w:t>C</w:t>
      </w:r>
      <w:r w:rsidRPr="00142B44">
        <w:rPr>
          <w:snapToGrid/>
        </w:rPr>
        <w:t>ommission which authorizes</w:t>
      </w:r>
      <w:r w:rsidR="008471A7">
        <w:rPr>
          <w:snapToGrid/>
        </w:rPr>
        <w:t xml:space="preserve"> </w:t>
      </w:r>
      <w:r w:rsidRPr="00142B44">
        <w:rPr>
          <w:snapToGrid/>
        </w:rPr>
        <w:t>and obligates a retail public utility to furnish, make available, render, or extend</w:t>
      </w:r>
      <w:r w:rsidR="008471A7">
        <w:rPr>
          <w:snapToGrid/>
        </w:rPr>
        <w:t xml:space="preserve"> </w:t>
      </w:r>
      <w:r w:rsidRPr="00142B44">
        <w:rPr>
          <w:snapToGrid/>
        </w:rPr>
        <w:t>continuous and adequate retail water or sewer service to a specified geographic area.</w:t>
      </w:r>
    </w:p>
    <w:p w:rsidR="00602909" w:rsidRPr="002D6404" w:rsidRDefault="00602909" w:rsidP="00B224E7">
      <w:pPr>
        <w:pStyle w:val="COLNumbered"/>
        <w:ind w:left="720" w:hanging="720"/>
        <w:rPr>
          <w:snapToGrid/>
        </w:rPr>
      </w:pPr>
      <w:r w:rsidRPr="002D6404">
        <w:rPr>
          <w:snapToGrid/>
        </w:rPr>
        <w:t>16 TAC § 24.3(</w:t>
      </w:r>
      <w:r w:rsidR="002D6404">
        <w:rPr>
          <w:snapToGrid/>
        </w:rPr>
        <w:t>73</w:t>
      </w:r>
      <w:r w:rsidRPr="002D6404">
        <w:rPr>
          <w:snapToGrid/>
        </w:rPr>
        <w:t xml:space="preserve">) defines a </w:t>
      </w:r>
      <w:r w:rsidR="002D6404">
        <w:rPr>
          <w:snapToGrid/>
        </w:rPr>
        <w:t xml:space="preserve">water and sewer </w:t>
      </w:r>
      <w:r w:rsidRPr="002D6404">
        <w:rPr>
          <w:snapToGrid/>
        </w:rPr>
        <w:t>utility as any person corporation, public</w:t>
      </w:r>
      <w:r w:rsidR="002D6404" w:rsidRPr="002D6404">
        <w:rPr>
          <w:snapToGrid/>
        </w:rPr>
        <w:t xml:space="preserve"> </w:t>
      </w:r>
      <w:r w:rsidRPr="002D6404">
        <w:rPr>
          <w:snapToGrid/>
        </w:rPr>
        <w:t>utility, water supply or sewer service corporation, municipality, political subdivision or</w:t>
      </w:r>
      <w:r w:rsidR="002D6404" w:rsidRPr="002D6404">
        <w:rPr>
          <w:snapToGrid/>
        </w:rPr>
        <w:t xml:space="preserve"> </w:t>
      </w:r>
      <w:r w:rsidRPr="002D6404">
        <w:rPr>
          <w:snapToGrid/>
        </w:rPr>
        <w:t>agency operating, maintaining, or controlling in this state facilities for providing potable</w:t>
      </w:r>
      <w:r w:rsidR="002D6404" w:rsidRPr="002D6404">
        <w:rPr>
          <w:snapToGrid/>
        </w:rPr>
        <w:t xml:space="preserve"> </w:t>
      </w:r>
      <w:r w:rsidRPr="002D6404">
        <w:rPr>
          <w:snapToGrid/>
        </w:rPr>
        <w:t>water service or sewer service, or both for compensation</w:t>
      </w:r>
      <w:r w:rsidR="002D6404">
        <w:rPr>
          <w:snapToGrid/>
        </w:rPr>
        <w:t>.</w:t>
      </w:r>
    </w:p>
    <w:p w:rsidR="00602909" w:rsidRPr="002D6404" w:rsidRDefault="002D6404" w:rsidP="002D6404">
      <w:pPr>
        <w:pStyle w:val="COLNumbered"/>
        <w:ind w:left="720" w:hanging="720"/>
        <w:rPr>
          <w:snapToGrid/>
        </w:rPr>
      </w:pPr>
      <w:r w:rsidRPr="002D6404">
        <w:rPr>
          <w:snapToGrid/>
        </w:rPr>
        <w:t>TWC</w:t>
      </w:r>
      <w:r w:rsidR="00602909" w:rsidRPr="002D6404">
        <w:rPr>
          <w:snapToGrid/>
        </w:rPr>
        <w:t xml:space="preserve"> § 13.250 and 16 TAC § 24.114 require a retail</w:t>
      </w:r>
      <w:r w:rsidRPr="002D6404">
        <w:rPr>
          <w:snapToGrid/>
        </w:rPr>
        <w:t xml:space="preserve"> </w:t>
      </w:r>
      <w:r w:rsidR="00602909" w:rsidRPr="002D6404">
        <w:rPr>
          <w:snapToGrid/>
        </w:rPr>
        <w:t>public utility t</w:t>
      </w:r>
      <w:r>
        <w:rPr>
          <w:snapToGrid/>
        </w:rPr>
        <w:t xml:space="preserve">hat possesses a CCN to provide </w:t>
      </w:r>
      <w:r w:rsidR="00602909" w:rsidRPr="002D6404">
        <w:rPr>
          <w:snapToGrid/>
        </w:rPr>
        <w:t>continuous and adequate service.</w:t>
      </w:r>
    </w:p>
    <w:p w:rsidR="00602909" w:rsidRPr="002D6404" w:rsidRDefault="002D6404" w:rsidP="002D6404">
      <w:pPr>
        <w:pStyle w:val="COLNumbered"/>
        <w:ind w:left="720" w:hanging="720"/>
        <w:rPr>
          <w:snapToGrid/>
        </w:rPr>
      </w:pPr>
      <w:r w:rsidRPr="002D6404">
        <w:rPr>
          <w:snapToGrid/>
        </w:rPr>
        <w:lastRenderedPageBreak/>
        <w:t>If the C</w:t>
      </w:r>
      <w:r w:rsidR="00602909" w:rsidRPr="002D6404">
        <w:rPr>
          <w:snapToGrid/>
        </w:rPr>
        <w:t>ommission finds that a retail public utility that possesses a CCN has never</w:t>
      </w:r>
      <w:r w:rsidRPr="002D6404">
        <w:rPr>
          <w:snapToGrid/>
        </w:rPr>
        <w:t xml:space="preserve"> </w:t>
      </w:r>
      <w:r w:rsidR="00602909" w:rsidRPr="002D6404">
        <w:rPr>
          <w:snapToGrid/>
        </w:rPr>
        <w:t>provided, is no longer providing, is incapable of providing, or has failed to provide</w:t>
      </w:r>
      <w:r w:rsidRPr="002D6404">
        <w:rPr>
          <w:snapToGrid/>
        </w:rPr>
        <w:t xml:space="preserve"> </w:t>
      </w:r>
      <w:r w:rsidR="00602909" w:rsidRPr="002D6404">
        <w:rPr>
          <w:snapToGrid/>
        </w:rPr>
        <w:t>continuous and adequate service in the area, or part of the area, covered by the</w:t>
      </w:r>
      <w:r w:rsidRPr="002D6404">
        <w:rPr>
          <w:snapToGrid/>
        </w:rPr>
        <w:t xml:space="preserve"> </w:t>
      </w:r>
      <w:r w:rsidR="00602909" w:rsidRPr="002D6404">
        <w:rPr>
          <w:snapToGrid/>
        </w:rPr>
        <w:t xml:space="preserve">certificate in violation of </w:t>
      </w:r>
      <w:r w:rsidRPr="002D6404">
        <w:rPr>
          <w:snapToGrid/>
        </w:rPr>
        <w:t>TWC</w:t>
      </w:r>
      <w:r w:rsidR="00602909" w:rsidRPr="002D6404">
        <w:rPr>
          <w:snapToGrid/>
        </w:rPr>
        <w:t xml:space="preserve"> § 13.250 and 16</w:t>
      </w:r>
      <w:r w:rsidRPr="002D6404">
        <w:rPr>
          <w:snapToGrid/>
        </w:rPr>
        <w:t xml:space="preserve"> </w:t>
      </w:r>
      <w:r w:rsidR="00602909" w:rsidRPr="002D6404">
        <w:rPr>
          <w:snapToGrid/>
        </w:rPr>
        <w:t xml:space="preserve">TAC § 24.114, </w:t>
      </w:r>
      <w:r w:rsidR="00602909" w:rsidRPr="002D6404">
        <w:rPr>
          <w:bCs/>
          <w:snapToGrid/>
        </w:rPr>
        <w:t xml:space="preserve">the Commission </w:t>
      </w:r>
      <w:r w:rsidR="00602909" w:rsidRPr="002D6404">
        <w:rPr>
          <w:snapToGrid/>
        </w:rPr>
        <w:t xml:space="preserve">may revoke the CCN pursuant to </w:t>
      </w:r>
      <w:r w:rsidRPr="002D6404">
        <w:rPr>
          <w:snapToGrid/>
        </w:rPr>
        <w:t xml:space="preserve">TWC </w:t>
      </w:r>
      <w:r w:rsidR="00602909" w:rsidRPr="002D6404">
        <w:rPr>
          <w:snapToGrid/>
        </w:rPr>
        <w:t>§ 13.254.</w:t>
      </w:r>
    </w:p>
    <w:p w:rsidR="00602909" w:rsidRPr="00534A09" w:rsidRDefault="00602909" w:rsidP="00534A09">
      <w:pPr>
        <w:pStyle w:val="COLNumbered"/>
        <w:ind w:left="720" w:hanging="720"/>
        <w:rPr>
          <w:snapToGrid/>
        </w:rPr>
      </w:pPr>
      <w:r w:rsidRPr="00534A09">
        <w:rPr>
          <w:snapToGrid/>
        </w:rPr>
        <w:t xml:space="preserve">Farrar failed </w:t>
      </w:r>
      <w:r w:rsidRPr="00534A09">
        <w:rPr>
          <w:bCs/>
          <w:snapToGrid/>
        </w:rPr>
        <w:t xml:space="preserve">to meet the performance requirements </w:t>
      </w:r>
      <w:r w:rsidRPr="00534A09">
        <w:rPr>
          <w:snapToGrid/>
        </w:rPr>
        <w:t xml:space="preserve">for a CCN holder in </w:t>
      </w:r>
      <w:r w:rsidR="00534A09" w:rsidRPr="00534A09">
        <w:rPr>
          <w:snapToGrid/>
        </w:rPr>
        <w:t>TWC</w:t>
      </w:r>
      <w:r w:rsidRPr="00534A09">
        <w:rPr>
          <w:snapToGrid/>
        </w:rPr>
        <w:t xml:space="preserve"> § 13.250 and 16 TAC § 24.114.</w:t>
      </w:r>
    </w:p>
    <w:p w:rsidR="00602909" w:rsidRPr="007B172F" w:rsidRDefault="00602909" w:rsidP="007B172F">
      <w:pPr>
        <w:pStyle w:val="COLNumbered"/>
        <w:ind w:left="720" w:hanging="720"/>
        <w:rPr>
          <w:snapToGrid/>
        </w:rPr>
      </w:pPr>
      <w:r w:rsidRPr="007B172F">
        <w:rPr>
          <w:bCs/>
          <w:snapToGrid/>
        </w:rPr>
        <w:t xml:space="preserve">Farrar is incapable </w:t>
      </w:r>
      <w:r w:rsidRPr="007B172F">
        <w:rPr>
          <w:snapToGrid/>
        </w:rPr>
        <w:t xml:space="preserve">of providing </w:t>
      </w:r>
      <w:r w:rsidRPr="007B172F">
        <w:rPr>
          <w:bCs/>
          <w:snapToGrid/>
        </w:rPr>
        <w:t xml:space="preserve">continuous and adequate service in </w:t>
      </w:r>
      <w:r w:rsidRPr="007B172F">
        <w:rPr>
          <w:snapToGrid/>
        </w:rPr>
        <w:t>the area covered by</w:t>
      </w:r>
      <w:r w:rsidR="007B172F" w:rsidRPr="007B172F">
        <w:rPr>
          <w:snapToGrid/>
        </w:rPr>
        <w:t xml:space="preserve"> </w:t>
      </w:r>
      <w:r w:rsidRPr="007B172F">
        <w:rPr>
          <w:snapToGrid/>
        </w:rPr>
        <w:t>CCN No. 12429.</w:t>
      </w:r>
    </w:p>
    <w:p w:rsidR="00602909" w:rsidRPr="008C45D2" w:rsidRDefault="00C27F5A" w:rsidP="00B14973">
      <w:pPr>
        <w:pStyle w:val="COLNumbered"/>
        <w:ind w:left="720" w:hanging="720"/>
        <w:rPr>
          <w:snapToGrid/>
        </w:rPr>
      </w:pPr>
      <w:r w:rsidRPr="00CB16CB">
        <w:rPr>
          <w:snapToGrid/>
          <w:color w:val="000000"/>
          <w:szCs w:val="22"/>
        </w:rPr>
        <w:t xml:space="preserve">Issuance of a default order against </w:t>
      </w:r>
      <w:r>
        <w:rPr>
          <w:snapToGrid/>
          <w:color w:val="000000"/>
          <w:szCs w:val="22"/>
        </w:rPr>
        <w:t xml:space="preserve">Farrar </w:t>
      </w:r>
      <w:r w:rsidRPr="00CB16CB">
        <w:rPr>
          <w:snapToGrid/>
          <w:color w:val="000000"/>
          <w:szCs w:val="22"/>
        </w:rPr>
        <w:t xml:space="preserve">in this Petition is appropriate because </w:t>
      </w:r>
      <w:r>
        <w:rPr>
          <w:snapToGrid/>
          <w:color w:val="000000"/>
          <w:szCs w:val="22"/>
        </w:rPr>
        <w:t>Farrar</w:t>
      </w:r>
      <w:r w:rsidRPr="00CB16CB">
        <w:rPr>
          <w:snapToGrid/>
          <w:color w:val="000000"/>
          <w:szCs w:val="22"/>
        </w:rPr>
        <w:t xml:space="preserve"> failed to request a hearing within 30 days of service of notice of an opportunity for a hearing, as provided in 16 TAC § 22.183(a</w:t>
      </w:r>
      <w:r>
        <w:rPr>
          <w:snapToGrid/>
          <w:color w:val="000000"/>
          <w:szCs w:val="22"/>
        </w:rPr>
        <w:t>)</w:t>
      </w:r>
      <w:r w:rsidR="00602909" w:rsidRPr="008C45D2">
        <w:rPr>
          <w:snapToGrid/>
        </w:rPr>
        <w:t>.</w:t>
      </w:r>
    </w:p>
    <w:p w:rsidR="00602909" w:rsidRPr="008C45D2" w:rsidRDefault="00602909" w:rsidP="008C45D2">
      <w:pPr>
        <w:pStyle w:val="COLNumbered"/>
        <w:ind w:left="720" w:hanging="720"/>
        <w:rPr>
          <w:snapToGrid/>
        </w:rPr>
      </w:pPr>
      <w:r w:rsidRPr="008C45D2">
        <w:rPr>
          <w:snapToGrid/>
        </w:rPr>
        <w:t>Pursuant to 16 TAC § 22.183, the requirements for disposition by default have been met</w:t>
      </w:r>
      <w:r w:rsidR="008C45D2" w:rsidRPr="008C45D2">
        <w:rPr>
          <w:snapToGrid/>
        </w:rPr>
        <w:t xml:space="preserve"> </w:t>
      </w:r>
      <w:r w:rsidRPr="008C45D2">
        <w:rPr>
          <w:snapToGrid/>
        </w:rPr>
        <w:t>in this proceeding.</w:t>
      </w:r>
    </w:p>
    <w:p w:rsidR="00602909" w:rsidRPr="00142B44" w:rsidRDefault="00130DD4" w:rsidP="003E2D1A">
      <w:pPr>
        <w:pStyle w:val="Heading1"/>
        <w:spacing w:before="360"/>
        <w:rPr>
          <w:bCs/>
          <w:snapToGrid/>
        </w:rPr>
      </w:pPr>
      <w:r>
        <w:rPr>
          <w:snapToGrid/>
        </w:rPr>
        <w:t xml:space="preserve"> </w:t>
      </w:r>
      <w:r w:rsidR="00602909" w:rsidRPr="00142B44">
        <w:rPr>
          <w:snapToGrid/>
        </w:rPr>
        <w:t xml:space="preserve">Ordering </w:t>
      </w:r>
      <w:r w:rsidR="00602909" w:rsidRPr="00142B44">
        <w:rPr>
          <w:bCs/>
          <w:snapToGrid/>
        </w:rPr>
        <w:t>Paragraphs</w:t>
      </w:r>
    </w:p>
    <w:p w:rsidR="00602909" w:rsidRPr="00142B44" w:rsidRDefault="00602909" w:rsidP="00130DD4">
      <w:pPr>
        <w:autoSpaceDE w:val="0"/>
        <w:autoSpaceDN w:val="0"/>
        <w:adjustRightInd w:val="0"/>
        <w:spacing w:line="360" w:lineRule="auto"/>
        <w:ind w:firstLine="720"/>
        <w:jc w:val="both"/>
        <w:rPr>
          <w:snapToGrid/>
          <w:szCs w:val="24"/>
        </w:rPr>
      </w:pPr>
      <w:r w:rsidRPr="00142B44">
        <w:rPr>
          <w:snapToGrid/>
          <w:szCs w:val="24"/>
        </w:rPr>
        <w:t>In accordance with these findings of fact and conclusions of law, the Commission issues</w:t>
      </w:r>
      <w:r w:rsidR="00130DD4">
        <w:rPr>
          <w:snapToGrid/>
          <w:szCs w:val="24"/>
        </w:rPr>
        <w:t xml:space="preserve"> </w:t>
      </w:r>
      <w:r w:rsidRPr="00142B44">
        <w:rPr>
          <w:snapToGrid/>
          <w:szCs w:val="24"/>
        </w:rPr>
        <w:t>the following order:</w:t>
      </w:r>
    </w:p>
    <w:p w:rsidR="00602909" w:rsidRPr="0058157D" w:rsidRDefault="0058157D" w:rsidP="0058157D">
      <w:pPr>
        <w:pStyle w:val="OrderingNumbered"/>
        <w:numPr>
          <w:ilvl w:val="3"/>
          <w:numId w:val="26"/>
        </w:numPr>
        <w:tabs>
          <w:tab w:val="clear" w:pos="360"/>
          <w:tab w:val="num" w:pos="720"/>
        </w:tabs>
        <w:rPr>
          <w:snapToGrid/>
        </w:rPr>
      </w:pPr>
      <w:r w:rsidRPr="00CB16CB">
        <w:rPr>
          <w:snapToGrid/>
        </w:rPr>
        <w:t>Commission Staff’s Petition is granted</w:t>
      </w:r>
      <w:r w:rsidR="00602909" w:rsidRPr="0058157D">
        <w:rPr>
          <w:snapToGrid/>
        </w:rPr>
        <w:t>.</w:t>
      </w:r>
    </w:p>
    <w:p w:rsidR="00602909" w:rsidRPr="0058157D" w:rsidRDefault="0058157D" w:rsidP="0058157D">
      <w:pPr>
        <w:pStyle w:val="OrderingNumbered"/>
        <w:numPr>
          <w:ilvl w:val="3"/>
          <w:numId w:val="26"/>
        </w:numPr>
        <w:tabs>
          <w:tab w:val="clear" w:pos="360"/>
          <w:tab w:val="num" w:pos="720"/>
        </w:tabs>
        <w:rPr>
          <w:snapToGrid/>
        </w:rPr>
      </w:pPr>
      <w:r>
        <w:rPr>
          <w:snapToGrid/>
        </w:rPr>
        <w:t>Farrar’</w:t>
      </w:r>
      <w:r w:rsidR="00602909" w:rsidRPr="0058157D">
        <w:rPr>
          <w:snapToGrid/>
        </w:rPr>
        <w:t>s CCN No. 12429 is revoked.</w:t>
      </w:r>
    </w:p>
    <w:p w:rsidR="0058157D" w:rsidRPr="00CB16CB" w:rsidRDefault="0058157D" w:rsidP="0058157D">
      <w:pPr>
        <w:pStyle w:val="OrderingNumbered"/>
        <w:numPr>
          <w:ilvl w:val="3"/>
          <w:numId w:val="27"/>
        </w:numPr>
        <w:tabs>
          <w:tab w:val="clear" w:pos="360"/>
          <w:tab w:val="num" w:pos="720"/>
        </w:tabs>
        <w:ind w:left="720" w:hanging="720"/>
        <w:rPr>
          <w:sz w:val="16"/>
        </w:rPr>
      </w:pPr>
      <w:r w:rsidRPr="00CB16CB">
        <w:rPr>
          <w:snapToGrid/>
        </w:rPr>
        <w:t>All other motions, requests for entry of specific findings of fact and conclusions of law, and any other request for general or specific relief, if not expressly granted herein, are denied.</w:t>
      </w:r>
    </w:p>
    <w:p w:rsidR="00643447" w:rsidRDefault="00643447" w:rsidP="00643447">
      <w:pPr>
        <w:pStyle w:val="SignatureBlockDate"/>
        <w:spacing w:before="0" w:after="0"/>
        <w:ind w:left="720" w:firstLine="0"/>
      </w:pPr>
    </w:p>
    <w:p w:rsidR="0058157D" w:rsidRPr="00CB16CB" w:rsidRDefault="0058157D" w:rsidP="00643447">
      <w:pPr>
        <w:pStyle w:val="SignatureBlockDate"/>
        <w:spacing w:before="0"/>
        <w:ind w:left="720" w:firstLine="0"/>
      </w:pPr>
      <w:r w:rsidRPr="00CB16CB">
        <w:t xml:space="preserve">SIGNED AT AUSTIN, TEXAS the ______ day of </w:t>
      </w:r>
      <w:r w:rsidR="0004627E">
        <w:t>November</w:t>
      </w:r>
      <w:r w:rsidRPr="00CB16CB">
        <w:t xml:space="preserve"> 2015.</w:t>
      </w:r>
    </w:p>
    <w:tbl>
      <w:tblPr>
        <w:tblW w:w="0" w:type="auto"/>
        <w:jc w:val="right"/>
        <w:tblCellMar>
          <w:left w:w="0" w:type="dxa"/>
          <w:right w:w="0" w:type="dxa"/>
        </w:tblCellMar>
        <w:tblLook w:val="01E0" w:firstRow="1" w:lastRow="1" w:firstColumn="1" w:lastColumn="1" w:noHBand="0" w:noVBand="0"/>
      </w:tblPr>
      <w:tblGrid>
        <w:gridCol w:w="5521"/>
      </w:tblGrid>
      <w:tr w:rsidR="0058157D" w:rsidRPr="00CB16CB" w:rsidTr="00380E36">
        <w:trPr>
          <w:cantSplit/>
          <w:jc w:val="right"/>
        </w:trPr>
        <w:tc>
          <w:tcPr>
            <w:tcW w:w="0" w:type="auto"/>
          </w:tcPr>
          <w:p w:rsidR="0058157D" w:rsidRPr="00CB16CB" w:rsidRDefault="0058157D" w:rsidP="00380E36">
            <w:pPr>
              <w:keepNext/>
              <w:keepLines/>
              <w:rPr>
                <w:rFonts w:eastAsia="SimSun"/>
                <w:b/>
                <w:szCs w:val="24"/>
              </w:rPr>
            </w:pPr>
            <w:r w:rsidRPr="00CB16CB">
              <w:rPr>
                <w:rFonts w:eastAsia="SimSun"/>
                <w:b/>
                <w:szCs w:val="24"/>
              </w:rPr>
              <w:t>PUBLIC UTILITY COMMISSION OF TEXAS</w:t>
            </w:r>
          </w:p>
        </w:tc>
      </w:tr>
      <w:tr w:rsidR="0058157D" w:rsidRPr="00CB16CB" w:rsidTr="00380E36">
        <w:trPr>
          <w:cantSplit/>
          <w:jc w:val="right"/>
        </w:trPr>
        <w:tc>
          <w:tcPr>
            <w:tcW w:w="0" w:type="auto"/>
            <w:tcBorders>
              <w:bottom w:val="single" w:sz="4" w:space="0" w:color="auto"/>
            </w:tcBorders>
          </w:tcPr>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tc>
      </w:tr>
      <w:tr w:rsidR="0058157D" w:rsidRPr="00CB16CB" w:rsidTr="00380E36">
        <w:trPr>
          <w:cantSplit/>
          <w:jc w:val="right"/>
        </w:trPr>
        <w:tc>
          <w:tcPr>
            <w:tcW w:w="0" w:type="auto"/>
            <w:tcBorders>
              <w:top w:val="single" w:sz="4" w:space="0" w:color="auto"/>
            </w:tcBorders>
          </w:tcPr>
          <w:p w:rsidR="0058157D" w:rsidRPr="00CB16CB" w:rsidRDefault="0058157D" w:rsidP="00380E36">
            <w:pPr>
              <w:keepNext/>
              <w:keepLines/>
              <w:rPr>
                <w:rFonts w:eastAsia="SimSun"/>
                <w:b/>
                <w:szCs w:val="24"/>
              </w:rPr>
            </w:pPr>
            <w:r w:rsidRPr="00CB16CB">
              <w:rPr>
                <w:rFonts w:eastAsia="SimSun"/>
                <w:b/>
                <w:szCs w:val="24"/>
              </w:rPr>
              <w:t>DONNA L. NELSON, CHAIRMAN</w:t>
            </w:r>
          </w:p>
        </w:tc>
      </w:tr>
      <w:tr w:rsidR="0058157D" w:rsidRPr="00CB16CB" w:rsidTr="00380E36">
        <w:trPr>
          <w:cantSplit/>
          <w:jc w:val="right"/>
        </w:trPr>
        <w:tc>
          <w:tcPr>
            <w:tcW w:w="0" w:type="auto"/>
            <w:tcBorders>
              <w:bottom w:val="single" w:sz="4" w:space="0" w:color="auto"/>
            </w:tcBorders>
          </w:tcPr>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tc>
      </w:tr>
      <w:tr w:rsidR="0058157D" w:rsidRPr="00CB16CB" w:rsidTr="00380E36">
        <w:trPr>
          <w:cantSplit/>
          <w:jc w:val="right"/>
        </w:trPr>
        <w:tc>
          <w:tcPr>
            <w:tcW w:w="0" w:type="auto"/>
            <w:tcBorders>
              <w:top w:val="single" w:sz="4" w:space="0" w:color="auto"/>
            </w:tcBorders>
          </w:tcPr>
          <w:p w:rsidR="0058157D" w:rsidRPr="00CB16CB" w:rsidRDefault="0058157D" w:rsidP="00380E36">
            <w:pPr>
              <w:keepNext/>
              <w:keepLines/>
              <w:rPr>
                <w:rFonts w:eastAsia="SimSun"/>
                <w:b/>
                <w:szCs w:val="24"/>
              </w:rPr>
            </w:pPr>
            <w:r w:rsidRPr="00CB16CB">
              <w:rPr>
                <w:rFonts w:eastAsia="SimSun"/>
                <w:b/>
                <w:szCs w:val="24"/>
              </w:rPr>
              <w:t>KENNETH W. ANDERSON, JR., COMMISSIONER</w:t>
            </w:r>
          </w:p>
        </w:tc>
      </w:tr>
      <w:tr w:rsidR="0058157D" w:rsidRPr="00CB16CB" w:rsidTr="00380E36">
        <w:trPr>
          <w:cantSplit/>
          <w:jc w:val="right"/>
        </w:trPr>
        <w:tc>
          <w:tcPr>
            <w:tcW w:w="0" w:type="auto"/>
            <w:tcBorders>
              <w:bottom w:val="single" w:sz="4" w:space="0" w:color="auto"/>
            </w:tcBorders>
          </w:tcPr>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tc>
      </w:tr>
      <w:tr w:rsidR="0058157D" w:rsidRPr="00CB16CB" w:rsidTr="00380E36">
        <w:trPr>
          <w:cantSplit/>
          <w:jc w:val="right"/>
        </w:trPr>
        <w:tc>
          <w:tcPr>
            <w:tcW w:w="0" w:type="auto"/>
            <w:tcBorders>
              <w:top w:val="single" w:sz="4" w:space="0" w:color="auto"/>
            </w:tcBorders>
          </w:tcPr>
          <w:p w:rsidR="0058157D" w:rsidRPr="00CB16CB" w:rsidRDefault="0058157D" w:rsidP="00380E36">
            <w:pPr>
              <w:rPr>
                <w:rFonts w:eastAsia="SimSun"/>
                <w:b/>
                <w:szCs w:val="24"/>
              </w:rPr>
            </w:pPr>
            <w:r w:rsidRPr="00CB16CB">
              <w:rPr>
                <w:rFonts w:eastAsia="SimSun"/>
                <w:b/>
                <w:szCs w:val="24"/>
              </w:rPr>
              <w:t>BRANDY MARTY MARQUEZ, COMMISSIONER</w:t>
            </w:r>
          </w:p>
        </w:tc>
      </w:tr>
    </w:tbl>
    <w:p w:rsidR="0058157D" w:rsidRDefault="00643447" w:rsidP="0058157D">
      <w:pPr>
        <w:pStyle w:val="FilePath"/>
        <w:spacing w:before="960"/>
      </w:pPr>
      <w:fldSimple w:instr=" FILENAME  \p  \* MERGEFORMAT ">
        <w:r w:rsidR="00314D34" w:rsidRPr="00314D34">
          <w:rPr>
            <w:noProof/>
            <w:szCs w:val="16"/>
          </w:rPr>
          <w:t>q</w:t>
        </w:r>
        <w:r w:rsidR="00314D34">
          <w:rPr>
            <w:noProof/>
          </w:rPr>
          <w:t>:\cadm\orders\final\44000\44948fo.docx</w:t>
        </w:r>
      </w:fldSimple>
    </w:p>
    <w:p w:rsidR="00FD6764" w:rsidRPr="00142B44" w:rsidRDefault="00FD6764" w:rsidP="00142B44">
      <w:pPr>
        <w:pStyle w:val="BodyText"/>
        <w:rPr>
          <w:szCs w:val="24"/>
        </w:rPr>
      </w:pPr>
    </w:p>
    <w:p w:rsidR="00AD3AF7" w:rsidRPr="00142B44" w:rsidRDefault="00AD3AF7" w:rsidP="00142B44">
      <w:pPr>
        <w:spacing w:line="360" w:lineRule="auto"/>
        <w:rPr>
          <w:szCs w:val="24"/>
        </w:rPr>
      </w:pPr>
    </w:p>
    <w:sectPr w:rsidR="00AD3AF7" w:rsidRPr="00142B44"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8E8" w:rsidRDefault="00A018E8">
      <w:r>
        <w:separator/>
      </w:r>
    </w:p>
  </w:endnote>
  <w:endnote w:type="continuationSeparator" w:id="0">
    <w:p w:rsidR="00A018E8" w:rsidRDefault="00A0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8E8" w:rsidRDefault="00A018E8">
      <w:r>
        <w:separator/>
      </w:r>
    </w:p>
  </w:footnote>
  <w:footnote w:type="continuationSeparator" w:id="0">
    <w:p w:rsidR="00A018E8" w:rsidRDefault="00A018E8">
      <w:r>
        <w:continuationSeparator/>
      </w:r>
    </w:p>
  </w:footnote>
  <w:footnote w:id="1">
    <w:p w:rsidR="00A81630" w:rsidRPr="00A81630" w:rsidRDefault="00A81630" w:rsidP="005B558E">
      <w:pPr>
        <w:pStyle w:val="FootnoteText"/>
        <w:spacing w:before="0" w:after="120"/>
      </w:pPr>
      <w:r>
        <w:rPr>
          <w:rStyle w:val="FootnoteReference"/>
        </w:rPr>
        <w:footnoteRef/>
      </w:r>
      <w:r>
        <w:t xml:space="preserve"> </w:t>
      </w:r>
      <w:r>
        <w:rPr>
          <w:i/>
        </w:rPr>
        <w:t xml:space="preserve">See </w:t>
      </w:r>
      <w:r>
        <w:t xml:space="preserve">Affidavit of Patricia Garcia (Attachment 5 to Commission Staff’s </w:t>
      </w:r>
      <w:r w:rsidR="00423C84">
        <w:t>P</w:t>
      </w:r>
      <w:r>
        <w:t>etition).</w:t>
      </w:r>
    </w:p>
  </w:footnote>
  <w:footnote w:id="2">
    <w:p w:rsidR="009C2144" w:rsidRPr="009C2144" w:rsidRDefault="009C2144" w:rsidP="005B558E">
      <w:pPr>
        <w:pStyle w:val="FootnoteText"/>
        <w:spacing w:before="0" w:after="120"/>
      </w:pPr>
      <w:r w:rsidRPr="009C2144">
        <w:rPr>
          <w:rStyle w:val="FootnoteReference"/>
        </w:rPr>
        <w:footnoteRef/>
      </w:r>
      <w:r w:rsidRPr="009C2144">
        <w:t xml:space="preserve"> </w:t>
      </w:r>
      <w:r w:rsidRPr="00654A60">
        <w:rPr>
          <w:snapToGrid/>
        </w:rPr>
        <w:t xml:space="preserve">30 Tex. Admin. Code § </w:t>
      </w:r>
      <w:r w:rsidRPr="00654A60">
        <w:rPr>
          <w:bCs/>
          <w:snapToGrid/>
        </w:rPr>
        <w:t>290.38(66) (West 2008 &amp; Supp. 2014) (TAC).</w:t>
      </w:r>
    </w:p>
  </w:footnote>
  <w:footnote w:id="3">
    <w:p w:rsidR="009C2144" w:rsidRPr="00654A60" w:rsidRDefault="009C2144" w:rsidP="005B558E">
      <w:pPr>
        <w:autoSpaceDE w:val="0"/>
        <w:autoSpaceDN w:val="0"/>
        <w:adjustRightInd w:val="0"/>
        <w:spacing w:after="120"/>
        <w:ind w:firstLine="720"/>
        <w:contextualSpacing/>
        <w:rPr>
          <w:bCs/>
          <w:snapToGrid/>
          <w:sz w:val="20"/>
        </w:rPr>
      </w:pPr>
      <w:r w:rsidRPr="00654A60">
        <w:rPr>
          <w:rStyle w:val="FootnoteReference"/>
          <w:sz w:val="20"/>
        </w:rPr>
        <w:footnoteRef/>
      </w:r>
      <w:r w:rsidRPr="00654A60">
        <w:rPr>
          <w:sz w:val="20"/>
        </w:rPr>
        <w:t xml:space="preserve"> </w:t>
      </w:r>
      <w:r w:rsidRPr="00654A60">
        <w:rPr>
          <w:bCs/>
          <w:i/>
          <w:snapToGrid/>
          <w:sz w:val="20"/>
        </w:rPr>
        <w:t>See</w:t>
      </w:r>
      <w:r w:rsidRPr="00654A60">
        <w:rPr>
          <w:b/>
          <w:bCs/>
          <w:snapToGrid/>
          <w:sz w:val="20"/>
        </w:rPr>
        <w:t xml:space="preserve"> </w:t>
      </w:r>
      <w:hyperlink r:id="rId1" w:history="1">
        <w:r w:rsidRPr="00654A60">
          <w:rPr>
            <w:rStyle w:val="Hyperlink"/>
            <w:bCs/>
            <w:snapToGrid/>
            <w:color w:val="auto"/>
            <w:sz w:val="20"/>
            <w:u w:val="none"/>
          </w:rPr>
          <w:t>http://dww.tceq.state.tx.us/DWW/JSP/WaterSystemDetail.jsp?tinwsys_is_number=4320&amp;tinwsys_st</w:t>
        </w:r>
      </w:hyperlink>
    </w:p>
    <w:p w:rsidR="009C2144" w:rsidRPr="00654A60" w:rsidRDefault="009C2144" w:rsidP="005B558E">
      <w:pPr>
        <w:autoSpaceDE w:val="0"/>
        <w:autoSpaceDN w:val="0"/>
        <w:adjustRightInd w:val="0"/>
        <w:spacing w:after="120"/>
        <w:ind w:firstLine="720"/>
        <w:contextualSpacing/>
        <w:rPr>
          <w:sz w:val="20"/>
        </w:rPr>
      </w:pPr>
      <w:r w:rsidRPr="00654A60">
        <w:rPr>
          <w:bCs/>
          <w:snapToGrid/>
          <w:sz w:val="20"/>
        </w:rPr>
        <w:t>_code=TX&amp;wsnumber=TX1470007%20%20%20DWWState=TX</w:t>
      </w:r>
    </w:p>
  </w:footnote>
  <w:footnote w:id="4">
    <w:p w:rsidR="005B558E" w:rsidRPr="00654A60" w:rsidRDefault="005B558E" w:rsidP="005B558E">
      <w:pPr>
        <w:pStyle w:val="FootnoteText"/>
        <w:spacing w:after="120"/>
      </w:pPr>
      <w:r w:rsidRPr="00654A60">
        <w:rPr>
          <w:rStyle w:val="FootnoteReference"/>
        </w:rPr>
        <w:footnoteRef/>
      </w:r>
      <w:r w:rsidRPr="00654A60">
        <w:t xml:space="preserve"> Tex. Health &amp; Safety Code Ann. §§ 341.01-.092.</w:t>
      </w:r>
    </w:p>
  </w:footnote>
  <w:footnote w:id="5">
    <w:p w:rsidR="005B558E" w:rsidRPr="00423C84" w:rsidRDefault="005B558E" w:rsidP="000524C8">
      <w:pPr>
        <w:autoSpaceDE w:val="0"/>
        <w:autoSpaceDN w:val="0"/>
        <w:adjustRightInd w:val="0"/>
        <w:ind w:firstLine="720"/>
        <w:jc w:val="both"/>
        <w:rPr>
          <w:sz w:val="20"/>
        </w:rPr>
      </w:pPr>
      <w:r w:rsidRPr="00423C84">
        <w:rPr>
          <w:rStyle w:val="FootnoteReference"/>
          <w:sz w:val="20"/>
        </w:rPr>
        <w:footnoteRef/>
      </w:r>
      <w:r w:rsidRPr="00423C84">
        <w:rPr>
          <w:sz w:val="20"/>
        </w:rPr>
        <w:t xml:space="preserve"> </w:t>
      </w:r>
      <w:r w:rsidR="00423C84" w:rsidRPr="00423C84">
        <w:rPr>
          <w:snapToGrid/>
          <w:sz w:val="20"/>
        </w:rPr>
        <w:t>TCEQ Dockets 2011-1230-PWS-E, 2012-1590-PWS-E, 2013-0347-MLM-E, and 2014-0360-PWS-E (Attachment</w:t>
      </w:r>
      <w:r w:rsidR="00423C84">
        <w:rPr>
          <w:snapToGrid/>
          <w:sz w:val="20"/>
        </w:rPr>
        <w:t xml:space="preserve"> </w:t>
      </w:r>
      <w:r w:rsidR="00423C84" w:rsidRPr="00423C84">
        <w:rPr>
          <w:snapToGrid/>
          <w:sz w:val="20"/>
        </w:rPr>
        <w:t xml:space="preserve">3 </w:t>
      </w:r>
      <w:r w:rsidR="00423C84">
        <w:rPr>
          <w:snapToGrid/>
          <w:sz w:val="20"/>
        </w:rPr>
        <w:t>to</w:t>
      </w:r>
      <w:r w:rsidR="00423C84" w:rsidRPr="00423C84">
        <w:rPr>
          <w:snapToGrid/>
          <w:sz w:val="20"/>
        </w:rPr>
        <w:t xml:space="preserve"> Commission Staff</w:t>
      </w:r>
      <w:r w:rsidR="00423C84">
        <w:rPr>
          <w:snapToGrid/>
          <w:sz w:val="20"/>
        </w:rPr>
        <w:t>’</w:t>
      </w:r>
      <w:r w:rsidR="00423C84" w:rsidRPr="00423C84">
        <w:rPr>
          <w:snapToGrid/>
          <w:sz w:val="20"/>
        </w:rPr>
        <w:t>s Petition).</w:t>
      </w:r>
    </w:p>
  </w:footnote>
  <w:footnote w:id="6">
    <w:p w:rsidR="005B558E" w:rsidRPr="000524C8" w:rsidRDefault="005B558E">
      <w:pPr>
        <w:pStyle w:val="FootnoteText"/>
      </w:pPr>
      <w:r w:rsidRPr="000524C8">
        <w:rPr>
          <w:rStyle w:val="FootnoteReference"/>
        </w:rPr>
        <w:footnoteRef/>
      </w:r>
      <w:r w:rsidRPr="000524C8">
        <w:t xml:space="preserve"> </w:t>
      </w:r>
      <w:r w:rsidR="000524C8" w:rsidRPr="000524C8">
        <w:rPr>
          <w:i/>
          <w:iCs/>
          <w:snapToGrid/>
        </w:rPr>
        <w:t xml:space="preserve">See </w:t>
      </w:r>
      <w:r w:rsidR="000524C8" w:rsidRPr="000524C8">
        <w:rPr>
          <w:snapToGrid/>
        </w:rPr>
        <w:t xml:space="preserve">the Purchase Agreement (Attachment 4 </w:t>
      </w:r>
      <w:r w:rsidR="000524C8">
        <w:rPr>
          <w:snapToGrid/>
        </w:rPr>
        <w:t>to</w:t>
      </w:r>
      <w:r w:rsidR="000524C8" w:rsidRPr="000524C8">
        <w:rPr>
          <w:snapToGrid/>
        </w:rPr>
        <w:t xml:space="preserve"> Commission Staff</w:t>
      </w:r>
      <w:r w:rsidR="000524C8">
        <w:rPr>
          <w:snapToGrid/>
        </w:rPr>
        <w:t>’</w:t>
      </w:r>
      <w:r w:rsidR="000524C8" w:rsidRPr="000524C8">
        <w:rPr>
          <w:snapToGrid/>
        </w:rPr>
        <w:t>s Petition</w:t>
      </w:r>
      <w:r w:rsidR="000524C8">
        <w:rPr>
          <w:snapToGrid/>
        </w:rPr>
        <w:t>).</w:t>
      </w:r>
    </w:p>
  </w:footnote>
  <w:footnote w:id="7">
    <w:p w:rsidR="005B558E" w:rsidRPr="000524C8" w:rsidRDefault="005B558E">
      <w:pPr>
        <w:pStyle w:val="FootnoteText"/>
      </w:pPr>
      <w:r w:rsidRPr="000524C8">
        <w:rPr>
          <w:rStyle w:val="FootnoteReference"/>
        </w:rPr>
        <w:footnoteRef/>
      </w:r>
      <w:r w:rsidRPr="000524C8">
        <w:t xml:space="preserve"> </w:t>
      </w:r>
      <w:r w:rsidR="000524C8" w:rsidRPr="000524C8">
        <w:rPr>
          <w:snapToGrid/>
        </w:rPr>
        <w:t>TWC § 13.301(g) permits the utility commission to approve a sale even if the applicant failed to file the application prior to the sale, as required by TWC § 13.301(a), if the Commission determines that the proposed transaction serves the public interest</w:t>
      </w:r>
      <w:r w:rsidR="000524C8">
        <w:rPr>
          <w:snapToGrid/>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314D34">
    <w:pPr>
      <w:pStyle w:val="Header"/>
      <w:tabs>
        <w:tab w:val="clear" w:pos="4320"/>
        <w:tab w:val="clear" w:pos="8640"/>
        <w:tab w:val="center" w:pos="4770"/>
        <w:tab w:val="right" w:pos="9360"/>
      </w:tabs>
      <w:rPr>
        <w:rStyle w:val="PageNumber"/>
      </w:rPr>
    </w:pPr>
    <w:r>
      <w:t xml:space="preserve">Docket No. </w:t>
    </w:r>
    <w:r w:rsidR="005B558E">
      <w:t>44948</w:t>
    </w:r>
    <w:r>
      <w:tab/>
    </w:r>
    <w:r w:rsidR="005B558E">
      <w:t>Default</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A73FF3">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73FF3">
      <w:rPr>
        <w:rStyle w:val="PageNumber"/>
        <w:noProof/>
      </w:rPr>
      <w:t>6</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188C5C95"/>
    <w:multiLevelType w:val="multilevel"/>
    <w:tmpl w:val="3B767B46"/>
    <w:lvl w:ilvl="0">
      <w:start w:val="1"/>
      <w:numFmt w:val="upperRoman"/>
      <w:suff w:val="space"/>
      <w:lvlText w:val="%1."/>
      <w:lvlJc w:val="center"/>
      <w:pPr>
        <w:ind w:left="0" w:firstLine="288"/>
      </w:pPr>
      <w:rPr>
        <w:rFonts w:hint="default"/>
      </w:rPr>
    </w:lvl>
    <w:lvl w:ilvl="1">
      <w:start w:val="1"/>
      <w:numFmt w:val="upperLetter"/>
      <w:suff w:val="space"/>
      <w:lvlText w:val="%2."/>
      <w:lvlJc w:val="center"/>
      <w:pPr>
        <w:ind w:left="0" w:firstLine="0"/>
      </w:pPr>
      <w:rPr>
        <w:rFonts w:hint="default"/>
      </w:rPr>
    </w:lvl>
    <w:lvl w:ilvl="2">
      <w:start w:val="1"/>
      <w:numFmt w:val="decimal"/>
      <w:lvlText w:val="%3."/>
      <w:lvlJc w:val="left"/>
      <w:pPr>
        <w:tabs>
          <w:tab w:val="num" w:pos="360"/>
        </w:tabs>
        <w:ind w:left="0" w:firstLine="0"/>
      </w:pPr>
      <w:rPr>
        <w:rFonts w:hint="default"/>
      </w:rPr>
    </w:lvl>
    <w:lvl w:ilvl="3">
      <w:start w:val="3"/>
      <w:numFmt w:val="decimal"/>
      <w:lvlText w:val="%4."/>
      <w:lvlJc w:val="left"/>
      <w:pPr>
        <w:tabs>
          <w:tab w:val="num" w:pos="360"/>
        </w:tabs>
        <w:ind w:left="0" w:firstLine="0"/>
      </w:pPr>
      <w:rPr>
        <w:rFonts w:hint="default"/>
        <w:sz w:val="24"/>
        <w:szCs w:val="24"/>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4E8E5AFD"/>
    <w:multiLevelType w:val="multilevel"/>
    <w:tmpl w:val="D25815CA"/>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pStyle w:val="Heading1"/>
      <w:suff w:val="space"/>
      <w:lvlText w:val="%1."/>
      <w:lvlJc w:val="center"/>
      <w:pPr>
        <w:ind w:left="4302"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F553E9F"/>
    <w:multiLevelType w:val="multilevel"/>
    <w:tmpl w:val="37B690D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7"/>
  </w:num>
  <w:num w:numId="3">
    <w:abstractNumId w:val="7"/>
  </w:num>
  <w:num w:numId="4">
    <w:abstractNumId w:val="7"/>
  </w:num>
  <w:num w:numId="5">
    <w:abstractNumId w:val="0"/>
  </w:num>
  <w:num w:numId="6">
    <w:abstractNumId w:val="6"/>
  </w:num>
  <w:num w:numId="7">
    <w:abstractNumId w:val="6"/>
    <w:lvlOverride w:ilvl="0">
      <w:startOverride w:val="1"/>
    </w:lvlOverride>
  </w:num>
  <w:num w:numId="8">
    <w:abstractNumId w:val="1"/>
  </w:num>
  <w:num w:numId="9">
    <w:abstractNumId w:val="2"/>
  </w:num>
  <w:num w:numId="10">
    <w:abstractNumId w:val="7"/>
  </w:num>
  <w:num w:numId="11">
    <w:abstractNumId w:val="7"/>
  </w:num>
  <w:num w:numId="12">
    <w:abstractNumId w:val="2"/>
  </w:num>
  <w:num w:numId="13">
    <w:abstractNumId w:val="7"/>
  </w:num>
  <w:num w:numId="14">
    <w:abstractNumId w:val="2"/>
  </w:num>
  <w:num w:numId="15">
    <w:abstractNumId w:val="4"/>
  </w:num>
  <w:num w:numId="16">
    <w:abstractNumId w:val="4"/>
  </w:num>
  <w:num w:numId="17">
    <w:abstractNumId w:val="4"/>
  </w:num>
  <w:num w:numId="18">
    <w:abstractNumId w:val="4"/>
  </w:num>
  <w:num w:numId="19">
    <w:abstractNumId w:val="7"/>
  </w:num>
  <w:num w:numId="20">
    <w:abstractNumId w:val="2"/>
  </w:num>
  <w:num w:numId="21">
    <w:abstractNumId w:val="4"/>
  </w:num>
  <w:num w:numId="22">
    <w:abstractNumId w:val="4"/>
  </w:num>
  <w:num w:numId="23">
    <w:abstractNumId w:val="4"/>
  </w:num>
  <w:num w:numId="24">
    <w:abstractNumId w:val="4"/>
  </w:num>
  <w:num w:numId="25">
    <w:abstractNumId w:val="8"/>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E8"/>
    <w:rsid w:val="00040455"/>
    <w:rsid w:val="0004627E"/>
    <w:rsid w:val="000524C8"/>
    <w:rsid w:val="00077D4A"/>
    <w:rsid w:val="000812EE"/>
    <w:rsid w:val="000C1AB7"/>
    <w:rsid w:val="0010502B"/>
    <w:rsid w:val="00130DD4"/>
    <w:rsid w:val="00142B44"/>
    <w:rsid w:val="001B2DCC"/>
    <w:rsid w:val="001F7869"/>
    <w:rsid w:val="002868A2"/>
    <w:rsid w:val="00297463"/>
    <w:rsid w:val="002A1501"/>
    <w:rsid w:val="002C2B5C"/>
    <w:rsid w:val="002D6404"/>
    <w:rsid w:val="00314D34"/>
    <w:rsid w:val="0036472C"/>
    <w:rsid w:val="00376FC3"/>
    <w:rsid w:val="003B45AE"/>
    <w:rsid w:val="003E1BD1"/>
    <w:rsid w:val="003E2D1A"/>
    <w:rsid w:val="003E3C10"/>
    <w:rsid w:val="00415C67"/>
    <w:rsid w:val="00423C84"/>
    <w:rsid w:val="00481A63"/>
    <w:rsid w:val="004B1C7B"/>
    <w:rsid w:val="004C31B3"/>
    <w:rsid w:val="00534A09"/>
    <w:rsid w:val="00574A9E"/>
    <w:rsid w:val="00580522"/>
    <w:rsid w:val="0058157D"/>
    <w:rsid w:val="005B5386"/>
    <w:rsid w:val="005B558E"/>
    <w:rsid w:val="00602909"/>
    <w:rsid w:val="00643447"/>
    <w:rsid w:val="00654A60"/>
    <w:rsid w:val="006633C6"/>
    <w:rsid w:val="00680DE9"/>
    <w:rsid w:val="006E2930"/>
    <w:rsid w:val="00772C9D"/>
    <w:rsid w:val="007B172F"/>
    <w:rsid w:val="007C59E3"/>
    <w:rsid w:val="00806FE6"/>
    <w:rsid w:val="008439DC"/>
    <w:rsid w:val="008471A7"/>
    <w:rsid w:val="00852E35"/>
    <w:rsid w:val="00896CE7"/>
    <w:rsid w:val="008A1D27"/>
    <w:rsid w:val="008C45D2"/>
    <w:rsid w:val="008D3357"/>
    <w:rsid w:val="008F66B2"/>
    <w:rsid w:val="00967322"/>
    <w:rsid w:val="00977223"/>
    <w:rsid w:val="009A287F"/>
    <w:rsid w:val="009B61FA"/>
    <w:rsid w:val="009C2144"/>
    <w:rsid w:val="009E2EC7"/>
    <w:rsid w:val="00A018E8"/>
    <w:rsid w:val="00A73FF3"/>
    <w:rsid w:val="00A81630"/>
    <w:rsid w:val="00AD3AF7"/>
    <w:rsid w:val="00B16C4B"/>
    <w:rsid w:val="00BB22CB"/>
    <w:rsid w:val="00C27F5A"/>
    <w:rsid w:val="00C36161"/>
    <w:rsid w:val="00C36761"/>
    <w:rsid w:val="00C46CAD"/>
    <w:rsid w:val="00CD78C8"/>
    <w:rsid w:val="00D0614C"/>
    <w:rsid w:val="00D0672D"/>
    <w:rsid w:val="00D10BD6"/>
    <w:rsid w:val="00D21D1F"/>
    <w:rsid w:val="00D276F2"/>
    <w:rsid w:val="00DB4B7E"/>
    <w:rsid w:val="00E0317C"/>
    <w:rsid w:val="00E0440D"/>
    <w:rsid w:val="00F46A0E"/>
    <w:rsid w:val="00F50902"/>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59BD353-A362-4E5F-9D38-8B2C018D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ind w:left="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styleId="Hyperlink">
    <w:name w:val="Hyperlink"/>
    <w:basedOn w:val="DefaultParagraphFont"/>
    <w:rsid w:val="009C2144"/>
    <w:rPr>
      <w:color w:val="0563C1" w:themeColor="hyperlink"/>
      <w:u w:val="single"/>
    </w:rPr>
  </w:style>
  <w:style w:type="character" w:styleId="FollowedHyperlink">
    <w:name w:val="FollowedHyperlink"/>
    <w:basedOn w:val="DefaultParagraphFont"/>
    <w:rsid w:val="009C2144"/>
    <w:rPr>
      <w:color w:val="954F72" w:themeColor="followedHyperlink"/>
      <w:u w:val="single"/>
    </w:rPr>
  </w:style>
  <w:style w:type="paragraph" w:customStyle="1" w:styleId="SignatureBlockDate">
    <w:name w:val="Signature Block Date"/>
    <w:basedOn w:val="Normal"/>
    <w:link w:val="SignatureBlockDateChar"/>
    <w:qFormat/>
    <w:rsid w:val="0058157D"/>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58157D"/>
    <w:rPr>
      <w:rFonts w:eastAsia="SimSun"/>
      <w:b/>
      <w:sz w:val="24"/>
      <w:szCs w:val="24"/>
      <w:lang w:eastAsia="zh-CN"/>
    </w:rPr>
  </w:style>
  <w:style w:type="paragraph" w:customStyle="1" w:styleId="FilePath">
    <w:name w:val="File Path"/>
    <w:basedOn w:val="Normal"/>
    <w:link w:val="FilePathChar"/>
    <w:qFormat/>
    <w:rsid w:val="0058157D"/>
    <w:pPr>
      <w:spacing w:before="120"/>
      <w:jc w:val="both"/>
    </w:pPr>
    <w:rPr>
      <w:snapToGrid/>
      <w:sz w:val="16"/>
      <w:lang w:eastAsia="zh-TW"/>
    </w:rPr>
  </w:style>
  <w:style w:type="character" w:customStyle="1" w:styleId="FilePathChar">
    <w:name w:val="File Path Char"/>
    <w:basedOn w:val="DefaultParagraphFont"/>
    <w:link w:val="FilePath"/>
    <w:rsid w:val="0058157D"/>
    <w:rPr>
      <w:sz w:val="16"/>
      <w:lang w:eastAsia="zh-TW"/>
    </w:rPr>
  </w:style>
  <w:style w:type="paragraph" w:styleId="BalloonText">
    <w:name w:val="Balloon Text"/>
    <w:basedOn w:val="Normal"/>
    <w:link w:val="BalloonTextChar"/>
    <w:rsid w:val="001B2DCC"/>
    <w:rPr>
      <w:rFonts w:ascii="Segoe UI" w:hAnsi="Segoe UI" w:cs="Segoe UI"/>
      <w:sz w:val="18"/>
      <w:szCs w:val="18"/>
    </w:rPr>
  </w:style>
  <w:style w:type="character" w:customStyle="1" w:styleId="BalloonTextChar">
    <w:name w:val="Balloon Text Char"/>
    <w:basedOn w:val="DefaultParagraphFont"/>
    <w:link w:val="BalloonText"/>
    <w:rsid w:val="001B2DCC"/>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ww.tceq.state.tx.us/DWW/JSP/WaterSystemDetail.jsp?tinwsys_is_number=4320&amp;tinwsys_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D7967-DF05-4765-91DF-32F9296E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2</TotalTime>
  <Pages>6</Pages>
  <Words>1481</Words>
  <Characters>7672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Roundtree-Williams, Keva</cp:lastModifiedBy>
  <cp:revision>5</cp:revision>
  <cp:lastPrinted>2015-10-22T21:02:00Z</cp:lastPrinted>
  <dcterms:created xsi:type="dcterms:W3CDTF">2015-11-16T15:51:00Z</dcterms:created>
  <dcterms:modified xsi:type="dcterms:W3CDTF">2015-11-19T14:41:00Z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