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Pr="00A60161" w:rsidRDefault="00A02161" w:rsidP="007572FC">
      <w:pPr>
        <w:pStyle w:val="Docketnumber"/>
      </w:pPr>
      <w:bookmarkStart w:id="0" w:name="_GoBack"/>
      <w:bookmarkEnd w:id="0"/>
      <w:r w:rsidRPr="00A60161">
        <w:t>PUC DOCKET NO. 44809</w:t>
      </w:r>
      <w:r w:rsidRPr="00A60161">
        <w:br/>
        <w:t xml:space="preserve">SOAH DOCKET NO. </w:t>
      </w:r>
      <w:r w:rsidR="007572FC" w:rsidRPr="00A60161">
        <w:t>473-16-</w:t>
      </w:r>
      <w:r w:rsidRPr="00A60161">
        <w:t>1848.WS</w:t>
      </w:r>
    </w:p>
    <w:tbl>
      <w:tblPr>
        <w:tblStyle w:val="TableGrid"/>
        <w:tblW w:w="9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360"/>
        <w:gridCol w:w="4392"/>
      </w:tblGrid>
      <w:tr w:rsidR="007572FC" w:rsidRPr="00A60161" w:rsidTr="00455EFB">
        <w:tc>
          <w:tcPr>
            <w:tcW w:w="4500" w:type="dxa"/>
          </w:tcPr>
          <w:p w:rsidR="007572FC" w:rsidRPr="00A60161" w:rsidRDefault="00A02161" w:rsidP="00A02161">
            <w:pPr>
              <w:pStyle w:val="Docketstyle"/>
            </w:pPr>
            <w:r w:rsidRPr="00A60161">
              <w:t>APPLICATION OF QUADVEST, LP FOR A RATE/TARIFF CHANGE</w:t>
            </w:r>
          </w:p>
        </w:tc>
        <w:tc>
          <w:tcPr>
            <w:tcW w:w="360" w:type="dxa"/>
          </w:tcPr>
          <w:p w:rsidR="007572FC" w:rsidRPr="00A60161" w:rsidRDefault="001E360C" w:rsidP="001E360C">
            <w:pPr>
              <w:pStyle w:val="Docketstyle"/>
            </w:pPr>
            <w:r w:rsidRPr="00A60161">
              <w:t>§</w:t>
            </w:r>
          </w:p>
          <w:p w:rsidR="001E360C" w:rsidRPr="00A60161" w:rsidRDefault="001E360C" w:rsidP="001E360C">
            <w:pPr>
              <w:pStyle w:val="Docketstyle"/>
            </w:pPr>
            <w:r w:rsidRPr="00A60161">
              <w:t>§</w:t>
            </w:r>
          </w:p>
          <w:p w:rsidR="001E360C" w:rsidRPr="00A60161" w:rsidRDefault="001E360C" w:rsidP="001E360C">
            <w:pPr>
              <w:pStyle w:val="Docketstyle"/>
            </w:pPr>
            <w:r w:rsidRPr="00A60161">
              <w:t>§</w:t>
            </w:r>
          </w:p>
        </w:tc>
        <w:tc>
          <w:tcPr>
            <w:tcW w:w="4392" w:type="dxa"/>
          </w:tcPr>
          <w:p w:rsidR="007572FC" w:rsidRPr="00A60161" w:rsidRDefault="001E360C" w:rsidP="001E360C">
            <w:pPr>
              <w:pStyle w:val="DocketstylePUC"/>
            </w:pPr>
            <w:r w:rsidRPr="00A60161">
              <w:t>PUBLIC UTILITY COMMISSION</w:t>
            </w:r>
          </w:p>
          <w:p w:rsidR="001E360C" w:rsidRPr="00A60161" w:rsidRDefault="001E360C" w:rsidP="001E360C">
            <w:pPr>
              <w:pStyle w:val="DocketstylePUC"/>
            </w:pPr>
          </w:p>
          <w:p w:rsidR="001E360C" w:rsidRPr="00A60161" w:rsidRDefault="001E360C" w:rsidP="001E360C">
            <w:pPr>
              <w:pStyle w:val="DocketstylePUC"/>
            </w:pPr>
            <w:r w:rsidRPr="00A60161">
              <w:t>OF TEXAS</w:t>
            </w:r>
          </w:p>
        </w:tc>
      </w:tr>
    </w:tbl>
    <w:p w:rsidR="007572FC" w:rsidRPr="00A60161" w:rsidRDefault="00C54659" w:rsidP="00C54659">
      <w:pPr>
        <w:pStyle w:val="Titleoforder"/>
      </w:pPr>
      <w:r w:rsidRPr="00A60161">
        <w:t>ORDER</w:t>
      </w:r>
    </w:p>
    <w:p w:rsidR="00266F9F" w:rsidRPr="00A60161" w:rsidRDefault="00A60161" w:rsidP="00266F9F">
      <w:pPr>
        <w:pStyle w:val="BodyText"/>
      </w:pPr>
      <w:r>
        <w:rPr>
          <w:rFonts w:eastAsia="Times New Roman"/>
          <w:color w:val="000000"/>
        </w:rPr>
        <w:t xml:space="preserve">This Order addresses the application of Quadvest for a two-phase increase in water rates charged to customers in Aransas, Brazoria, Fort Bend, Harris, Jackson, Liberty, Matagorda, Montgomery, Waller, and Walker counties.  The Phase I rates were effective August 8, 2015.  Quadvest withdrew its request for Phase II rates, proposed to be effective on January 1, 2016. A </w:t>
      </w:r>
      <w:r w:rsidR="004C5D60">
        <w:rPr>
          <w:rFonts w:eastAsia="Times New Roman"/>
          <w:color w:val="000000"/>
        </w:rPr>
        <w:t>settlement agreement</w:t>
      </w:r>
      <w:r>
        <w:rPr>
          <w:rFonts w:eastAsia="Times New Roman"/>
          <w:color w:val="000000"/>
        </w:rPr>
        <w:t xml:space="preserve"> was executed that resolves all iss</w:t>
      </w:r>
      <w:r w:rsidR="00F6390A">
        <w:rPr>
          <w:rFonts w:eastAsia="Times New Roman"/>
          <w:color w:val="000000"/>
        </w:rPr>
        <w:t>ues among the parties. Quadvest’</w:t>
      </w:r>
      <w:r>
        <w:rPr>
          <w:rFonts w:eastAsia="Times New Roman"/>
          <w:color w:val="000000"/>
        </w:rPr>
        <w:t xml:space="preserve">s application is approved solely to the extent consistent with the </w:t>
      </w:r>
      <w:r w:rsidR="004C5D60">
        <w:rPr>
          <w:rFonts w:eastAsia="Times New Roman"/>
          <w:color w:val="000000"/>
        </w:rPr>
        <w:t>settlement agreement</w:t>
      </w:r>
      <w:r w:rsidR="00677B5E" w:rsidRPr="00A60161">
        <w:t>.</w:t>
      </w:r>
    </w:p>
    <w:p w:rsidR="008D1724" w:rsidRPr="00A60161" w:rsidRDefault="008D1724" w:rsidP="00EE5DDA">
      <w:pPr>
        <w:pStyle w:val="BodyText"/>
      </w:pPr>
      <w:r w:rsidRPr="00A60161">
        <w:t>The Commission adopts the following findings of fact and conclusions of law</w:t>
      </w:r>
      <w:r w:rsidR="001B585A" w:rsidRPr="00A60161">
        <w:t>:</w:t>
      </w:r>
    </w:p>
    <w:p w:rsidR="008D1724" w:rsidRPr="00A60161" w:rsidRDefault="00EE5DDA" w:rsidP="008D1724">
      <w:pPr>
        <w:pStyle w:val="Heading1"/>
        <w:rPr>
          <w:rFonts w:cs="Times New Roman"/>
          <w:szCs w:val="24"/>
        </w:rPr>
      </w:pPr>
      <w:r w:rsidRPr="00A60161">
        <w:rPr>
          <w:rFonts w:cs="Times New Roman"/>
          <w:szCs w:val="24"/>
        </w:rPr>
        <w:t>Findings of Fact</w:t>
      </w:r>
    </w:p>
    <w:p w:rsidR="001B585A" w:rsidRPr="00A60161" w:rsidRDefault="001B585A" w:rsidP="001B585A">
      <w:pPr>
        <w:pStyle w:val="Heading7"/>
        <w:rPr>
          <w:rFonts w:eastAsia="Arial" w:cs="Times New Roman"/>
        </w:rPr>
      </w:pPr>
      <w:r w:rsidRPr="00A60161">
        <w:rPr>
          <w:rFonts w:eastAsia="Arial" w:cs="Times New Roman"/>
        </w:rPr>
        <w:t xml:space="preserve">Procedural History </w:t>
      </w:r>
    </w:p>
    <w:p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 xml:space="preserve">On June 5, 2015, Quadvest filed an application requesting rate and tariff changes. </w:t>
      </w:r>
      <w:r w:rsidR="00E546B9">
        <w:rPr>
          <w:szCs w:val="24"/>
        </w:rPr>
        <w:t>Quadvest s</w:t>
      </w:r>
      <w:r w:rsidR="00EA5227">
        <w:rPr>
          <w:szCs w:val="24"/>
        </w:rPr>
        <w:t>ought</w:t>
      </w:r>
      <w:r w:rsidRPr="00A60161">
        <w:rPr>
          <w:szCs w:val="24"/>
        </w:rPr>
        <w:t xml:space="preserve"> an overall revenue increase of $1,001,860, to be implemented in two phases</w:t>
      </w:r>
      <w:r w:rsidR="00E546B9">
        <w:rPr>
          <w:szCs w:val="24"/>
        </w:rPr>
        <w:t xml:space="preserve">.  </w:t>
      </w:r>
      <w:r w:rsidRPr="00A60161">
        <w:rPr>
          <w:szCs w:val="24"/>
        </w:rPr>
        <w:t xml:space="preserve">Phase I would </w:t>
      </w:r>
      <w:r w:rsidR="00EA5227">
        <w:rPr>
          <w:szCs w:val="24"/>
        </w:rPr>
        <w:t xml:space="preserve">have </w:t>
      </w:r>
      <w:r w:rsidRPr="00A60161">
        <w:rPr>
          <w:szCs w:val="24"/>
        </w:rPr>
        <w:t>increase</w:t>
      </w:r>
      <w:r w:rsidR="00EA5227">
        <w:rPr>
          <w:szCs w:val="24"/>
        </w:rPr>
        <w:t>d</w:t>
      </w:r>
      <w:r w:rsidRPr="00A60161">
        <w:rPr>
          <w:szCs w:val="24"/>
        </w:rPr>
        <w:t xml:space="preserve"> the revenues by $632,932 per year</w:t>
      </w:r>
      <w:r w:rsidR="004C5D60">
        <w:rPr>
          <w:szCs w:val="24"/>
        </w:rPr>
        <w:t>,</w:t>
      </w:r>
      <w:r w:rsidRPr="00A60161">
        <w:rPr>
          <w:szCs w:val="24"/>
        </w:rPr>
        <w:t xml:space="preserve"> and Phase II would</w:t>
      </w:r>
      <w:r w:rsidR="00EA5227">
        <w:rPr>
          <w:szCs w:val="24"/>
        </w:rPr>
        <w:t xml:space="preserve"> </w:t>
      </w:r>
      <w:r w:rsidR="00EA5227">
        <w:rPr>
          <w:szCs w:val="24"/>
        </w:rPr>
        <w:lastRenderedPageBreak/>
        <w:t>have</w:t>
      </w:r>
      <w:r w:rsidRPr="00A60161">
        <w:rPr>
          <w:szCs w:val="24"/>
        </w:rPr>
        <w:t xml:space="preserve"> increase</w:t>
      </w:r>
      <w:r w:rsidR="00EA5227">
        <w:rPr>
          <w:szCs w:val="24"/>
        </w:rPr>
        <w:t>d</w:t>
      </w:r>
      <w:r w:rsidRPr="00A60161">
        <w:rPr>
          <w:szCs w:val="24"/>
        </w:rPr>
        <w:t xml:space="preserve"> the revenues an additional $368,928 per year for a total revenue requirement of $7,044,989, inclusive of volumetric revenues.</w:t>
      </w:r>
      <w:r w:rsidR="00E546B9">
        <w:rPr>
          <w:szCs w:val="24"/>
        </w:rPr>
        <w:t xml:space="preserve"> </w:t>
      </w:r>
      <w:r w:rsidRPr="00A60161">
        <w:rPr>
          <w:szCs w:val="24"/>
        </w:rPr>
        <w:t xml:space="preserve"> </w:t>
      </w:r>
      <w:r w:rsidR="00DC0A95" w:rsidRPr="00A60161">
        <w:rPr>
          <w:szCs w:val="24"/>
        </w:rPr>
        <w:t xml:space="preserve">Phase II rates </w:t>
      </w:r>
      <w:r w:rsidR="00EA5227">
        <w:rPr>
          <w:szCs w:val="24"/>
        </w:rPr>
        <w:t xml:space="preserve">would have </w:t>
      </w:r>
      <w:r w:rsidR="00DC0A95" w:rsidRPr="00A60161">
        <w:rPr>
          <w:szCs w:val="24"/>
        </w:rPr>
        <w:t>involved an alternative rate mechanism to recover costs associated with capital improvements made after the close of the test year in this case.</w:t>
      </w:r>
      <w:r w:rsidR="00DC0A95">
        <w:rPr>
          <w:szCs w:val="24"/>
        </w:rPr>
        <w:t xml:space="preserve">  </w:t>
      </w:r>
      <w:r w:rsidRPr="00A60161">
        <w:rPr>
          <w:szCs w:val="24"/>
        </w:rPr>
        <w:t>The 12-month</w:t>
      </w:r>
      <w:r w:rsidR="00E546B9">
        <w:rPr>
          <w:szCs w:val="24"/>
        </w:rPr>
        <w:t xml:space="preserve"> test year employed in </w:t>
      </w:r>
      <w:r w:rsidR="00DC0A95">
        <w:rPr>
          <w:szCs w:val="24"/>
        </w:rPr>
        <w:t>the application</w:t>
      </w:r>
      <w:r w:rsidRPr="00A60161">
        <w:rPr>
          <w:szCs w:val="24"/>
        </w:rPr>
        <w:t xml:space="preserve"> ended on December</w:t>
      </w:r>
      <w:r w:rsidR="00DC0A95">
        <w:rPr>
          <w:szCs w:val="24"/>
        </w:rPr>
        <w:t> </w:t>
      </w:r>
      <w:r w:rsidRPr="00A60161">
        <w:rPr>
          <w:szCs w:val="24"/>
        </w:rPr>
        <w:t>31,</w:t>
      </w:r>
      <w:r w:rsidR="00DC0A95">
        <w:rPr>
          <w:szCs w:val="24"/>
        </w:rPr>
        <w:t> </w:t>
      </w:r>
      <w:r w:rsidRPr="00A60161">
        <w:rPr>
          <w:szCs w:val="24"/>
        </w:rPr>
        <w:t>2014.</w:t>
      </w:r>
    </w:p>
    <w:p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>Quadvest mailed notice of the proposed rate change to all of its customers on or about June</w:t>
      </w:r>
      <w:r w:rsidR="00E546B9">
        <w:rPr>
          <w:szCs w:val="24"/>
        </w:rPr>
        <w:t> </w:t>
      </w:r>
      <w:r w:rsidRPr="00A60161">
        <w:rPr>
          <w:szCs w:val="24"/>
        </w:rPr>
        <w:t>5, 2016.</w:t>
      </w:r>
    </w:p>
    <w:p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 xml:space="preserve">On July 31, 2015, Commission Staff </w:t>
      </w:r>
      <w:r w:rsidR="005973CD">
        <w:rPr>
          <w:szCs w:val="24"/>
        </w:rPr>
        <w:t>recommended</w:t>
      </w:r>
      <w:r w:rsidRPr="00A60161">
        <w:rPr>
          <w:szCs w:val="24"/>
        </w:rPr>
        <w:t xml:space="preserve"> </w:t>
      </w:r>
      <w:r w:rsidR="00E546B9">
        <w:rPr>
          <w:szCs w:val="24"/>
        </w:rPr>
        <w:t>that</w:t>
      </w:r>
      <w:r w:rsidRPr="00A60161">
        <w:rPr>
          <w:szCs w:val="24"/>
        </w:rPr>
        <w:t xml:space="preserve"> Quad</w:t>
      </w:r>
      <w:r w:rsidR="005973CD">
        <w:rPr>
          <w:szCs w:val="24"/>
        </w:rPr>
        <w:t>vest’</w:t>
      </w:r>
      <w:r w:rsidRPr="00A60161">
        <w:rPr>
          <w:szCs w:val="24"/>
        </w:rPr>
        <w:t xml:space="preserve">s </w:t>
      </w:r>
      <w:r w:rsidR="00E546B9">
        <w:rPr>
          <w:szCs w:val="24"/>
        </w:rPr>
        <w:t xml:space="preserve">application be found </w:t>
      </w:r>
      <w:r w:rsidRPr="00A60161">
        <w:rPr>
          <w:szCs w:val="24"/>
        </w:rPr>
        <w:t>administratively complete.</w:t>
      </w:r>
    </w:p>
    <w:p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>On December 4, 2015, Commission Staff requested that the case be referred to the State Offi</w:t>
      </w:r>
      <w:r w:rsidR="00E546B9">
        <w:rPr>
          <w:szCs w:val="24"/>
        </w:rPr>
        <w:t>ce of Administrative Hearings (SOAH</w:t>
      </w:r>
      <w:r w:rsidRPr="00A60161">
        <w:rPr>
          <w:szCs w:val="24"/>
        </w:rPr>
        <w:t>).</w:t>
      </w:r>
    </w:p>
    <w:p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 xml:space="preserve">On January 12, 2016, the Commission referred this case to SOAH for </w:t>
      </w:r>
      <w:r w:rsidR="00427340">
        <w:rPr>
          <w:szCs w:val="24"/>
        </w:rPr>
        <w:t xml:space="preserve">further </w:t>
      </w:r>
      <w:r w:rsidRPr="00A60161">
        <w:rPr>
          <w:szCs w:val="24"/>
        </w:rPr>
        <w:t>processing.</w:t>
      </w:r>
    </w:p>
    <w:p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 xml:space="preserve">On January 15, 2016, </w:t>
      </w:r>
      <w:r w:rsidR="00427340">
        <w:rPr>
          <w:szCs w:val="24"/>
        </w:rPr>
        <w:t>SOAH issued</w:t>
      </w:r>
      <w:r w:rsidRPr="00A60161">
        <w:rPr>
          <w:szCs w:val="24"/>
        </w:rPr>
        <w:t xml:space="preserve"> Order No. 1, </w:t>
      </w:r>
      <w:r w:rsidR="00427340">
        <w:rPr>
          <w:szCs w:val="24"/>
        </w:rPr>
        <w:t>establishing</w:t>
      </w:r>
      <w:r w:rsidRPr="00A60161">
        <w:rPr>
          <w:szCs w:val="24"/>
        </w:rPr>
        <w:t xml:space="preserve"> jurisdiction over the case, </w:t>
      </w:r>
      <w:r w:rsidR="00427340">
        <w:rPr>
          <w:szCs w:val="24"/>
        </w:rPr>
        <w:t>setting</w:t>
      </w:r>
      <w:r w:rsidRPr="00A60161">
        <w:rPr>
          <w:szCs w:val="24"/>
        </w:rPr>
        <w:t xml:space="preserve"> a date for a prehearing conference</w:t>
      </w:r>
      <w:r w:rsidR="00427340">
        <w:rPr>
          <w:szCs w:val="24"/>
        </w:rPr>
        <w:t>,</w:t>
      </w:r>
      <w:r w:rsidRPr="00A60161">
        <w:rPr>
          <w:szCs w:val="24"/>
        </w:rPr>
        <w:t xml:space="preserve"> and </w:t>
      </w:r>
      <w:r w:rsidR="00427340">
        <w:rPr>
          <w:szCs w:val="24"/>
        </w:rPr>
        <w:t>permitting</w:t>
      </w:r>
      <w:r w:rsidRPr="00A60161">
        <w:rPr>
          <w:szCs w:val="24"/>
        </w:rPr>
        <w:t xml:space="preserve"> discovery.</w:t>
      </w:r>
    </w:p>
    <w:p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>On January 22 and 25, 2016, Quadvest sent notice of the prehearing conference to its customers.</w:t>
      </w:r>
    </w:p>
    <w:p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lastRenderedPageBreak/>
        <w:t>On February 2, 2016, SOAH convened a prehearing conference</w:t>
      </w:r>
      <w:r w:rsidR="00427340">
        <w:rPr>
          <w:szCs w:val="24"/>
        </w:rPr>
        <w:t xml:space="preserve"> in which </w:t>
      </w:r>
      <w:r w:rsidRPr="00A60161">
        <w:rPr>
          <w:szCs w:val="24"/>
        </w:rPr>
        <w:t xml:space="preserve">Quadvest, </w:t>
      </w:r>
      <w:r w:rsidR="00427340">
        <w:rPr>
          <w:szCs w:val="24"/>
        </w:rPr>
        <w:t xml:space="preserve">Commission </w:t>
      </w:r>
      <w:r w:rsidRPr="00A60161">
        <w:rPr>
          <w:szCs w:val="24"/>
        </w:rPr>
        <w:t xml:space="preserve">Staff, and </w:t>
      </w:r>
      <w:r w:rsidR="00EA5227">
        <w:rPr>
          <w:szCs w:val="24"/>
        </w:rPr>
        <w:t xml:space="preserve">the </w:t>
      </w:r>
      <w:r w:rsidR="00427340">
        <w:rPr>
          <w:szCs w:val="24"/>
        </w:rPr>
        <w:t>Office of Public Utility Counsel</w:t>
      </w:r>
      <w:r w:rsidRPr="00A60161">
        <w:rPr>
          <w:szCs w:val="24"/>
        </w:rPr>
        <w:t xml:space="preserve"> </w:t>
      </w:r>
      <w:r w:rsidR="00D77321">
        <w:rPr>
          <w:szCs w:val="24"/>
        </w:rPr>
        <w:t xml:space="preserve">(OPUC) </w:t>
      </w:r>
      <w:r w:rsidRPr="00A60161">
        <w:rPr>
          <w:szCs w:val="24"/>
        </w:rPr>
        <w:t>appeared.</w:t>
      </w:r>
    </w:p>
    <w:p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 xml:space="preserve">On February 22, 2016, Quadvest filed </w:t>
      </w:r>
      <w:r w:rsidR="00427340" w:rsidRPr="00A60161">
        <w:rPr>
          <w:szCs w:val="24"/>
        </w:rPr>
        <w:t>direct testimony</w:t>
      </w:r>
      <w:r w:rsidRPr="00A60161">
        <w:rPr>
          <w:szCs w:val="24"/>
        </w:rPr>
        <w:t>.</w:t>
      </w:r>
    </w:p>
    <w:p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 xml:space="preserve">On February 29, 2016, </w:t>
      </w:r>
      <w:r w:rsidR="000E65CB" w:rsidRPr="00A60161">
        <w:rPr>
          <w:szCs w:val="24"/>
        </w:rPr>
        <w:t xml:space="preserve">SOAH </w:t>
      </w:r>
      <w:r w:rsidRPr="00A60161">
        <w:rPr>
          <w:szCs w:val="24"/>
        </w:rPr>
        <w:t>issued Order No. 2</w:t>
      </w:r>
      <w:r w:rsidR="000E65CB">
        <w:rPr>
          <w:szCs w:val="24"/>
        </w:rPr>
        <w:t>,</w:t>
      </w:r>
      <w:r w:rsidRPr="00A60161">
        <w:rPr>
          <w:szCs w:val="24"/>
        </w:rPr>
        <w:t xml:space="preserve"> </w:t>
      </w:r>
      <w:r w:rsidR="000E65CB" w:rsidRPr="00A60161">
        <w:rPr>
          <w:szCs w:val="24"/>
        </w:rPr>
        <w:t xml:space="preserve">extending </w:t>
      </w:r>
      <w:r w:rsidR="000E65CB">
        <w:rPr>
          <w:szCs w:val="24"/>
        </w:rPr>
        <w:t xml:space="preserve">the </w:t>
      </w:r>
      <w:r w:rsidR="000E65CB" w:rsidRPr="00A60161">
        <w:rPr>
          <w:szCs w:val="24"/>
        </w:rPr>
        <w:t>deadline to intervene</w:t>
      </w:r>
      <w:r w:rsidR="000E65CB">
        <w:rPr>
          <w:szCs w:val="24"/>
        </w:rPr>
        <w:t xml:space="preserve"> to March 15, 2016</w:t>
      </w:r>
      <w:r w:rsidR="000E65CB" w:rsidRPr="00A60161">
        <w:rPr>
          <w:szCs w:val="24"/>
        </w:rPr>
        <w:t xml:space="preserve">, adopting </w:t>
      </w:r>
      <w:r w:rsidR="000E65CB">
        <w:rPr>
          <w:szCs w:val="24"/>
        </w:rPr>
        <w:t xml:space="preserve">a </w:t>
      </w:r>
      <w:r w:rsidR="000E65CB" w:rsidRPr="00A60161">
        <w:rPr>
          <w:szCs w:val="24"/>
        </w:rPr>
        <w:t xml:space="preserve">procedural schedule, issuing </w:t>
      </w:r>
      <w:r w:rsidR="000E65CB">
        <w:rPr>
          <w:szCs w:val="24"/>
        </w:rPr>
        <w:t xml:space="preserve">a </w:t>
      </w:r>
      <w:r w:rsidR="000E65CB" w:rsidRPr="00A60161">
        <w:rPr>
          <w:szCs w:val="24"/>
        </w:rPr>
        <w:t xml:space="preserve">protective order, and </w:t>
      </w:r>
      <w:r w:rsidR="000E65CB">
        <w:rPr>
          <w:szCs w:val="24"/>
        </w:rPr>
        <w:t>scheduling</w:t>
      </w:r>
      <w:r w:rsidR="000E65CB" w:rsidRPr="00A60161">
        <w:rPr>
          <w:szCs w:val="24"/>
        </w:rPr>
        <w:t xml:space="preserve"> </w:t>
      </w:r>
      <w:r w:rsidR="000E65CB">
        <w:rPr>
          <w:szCs w:val="24"/>
        </w:rPr>
        <w:t>a</w:t>
      </w:r>
      <w:r w:rsidR="000E65CB" w:rsidRPr="00A60161">
        <w:rPr>
          <w:szCs w:val="24"/>
        </w:rPr>
        <w:t xml:space="preserve"> hearing on the merits</w:t>
      </w:r>
      <w:r w:rsidR="000E65CB">
        <w:rPr>
          <w:szCs w:val="24"/>
        </w:rPr>
        <w:t xml:space="preserve"> for May 24-26, 2016.  </w:t>
      </w:r>
    </w:p>
    <w:p w:rsidR="001B585A" w:rsidRPr="00A60161" w:rsidRDefault="001B585A" w:rsidP="004735E2">
      <w:pPr>
        <w:pStyle w:val="FOFNumbered"/>
        <w:rPr>
          <w:spacing w:val="1"/>
          <w:szCs w:val="24"/>
        </w:rPr>
      </w:pPr>
      <w:r w:rsidRPr="00A60161">
        <w:rPr>
          <w:szCs w:val="24"/>
        </w:rPr>
        <w:t xml:space="preserve">On February 29, 2016, Quadvest mailed supplemental notice to customers with </w:t>
      </w:r>
      <w:r w:rsidRPr="00A60161">
        <w:rPr>
          <w:spacing w:val="1"/>
          <w:szCs w:val="24"/>
        </w:rPr>
        <w:t>instructions on how to intervene</w:t>
      </w:r>
      <w:r w:rsidR="0027142E">
        <w:rPr>
          <w:spacing w:val="1"/>
          <w:szCs w:val="24"/>
        </w:rPr>
        <w:t>.</w:t>
      </w:r>
    </w:p>
    <w:p w:rsidR="001B585A" w:rsidRPr="00A60161" w:rsidRDefault="00D77321" w:rsidP="001B585A">
      <w:pPr>
        <w:pStyle w:val="FOFNumbered"/>
        <w:rPr>
          <w:szCs w:val="24"/>
        </w:rPr>
      </w:pPr>
      <w:r>
        <w:rPr>
          <w:szCs w:val="24"/>
        </w:rPr>
        <w:t>Motion</w:t>
      </w:r>
      <w:r w:rsidR="005973CD">
        <w:rPr>
          <w:szCs w:val="24"/>
        </w:rPr>
        <w:t>s</w:t>
      </w:r>
      <w:r>
        <w:rPr>
          <w:szCs w:val="24"/>
        </w:rPr>
        <w:t xml:space="preserve"> to intervene were filed by</w:t>
      </w:r>
      <w:r w:rsidR="001B585A" w:rsidRPr="00A60161">
        <w:rPr>
          <w:szCs w:val="24"/>
        </w:rPr>
        <w:t xml:space="preserve"> OPUC</w:t>
      </w:r>
      <w:r>
        <w:rPr>
          <w:szCs w:val="24"/>
        </w:rPr>
        <w:t xml:space="preserve">, </w:t>
      </w:r>
      <w:r w:rsidR="001B585A" w:rsidRPr="00A60161">
        <w:rPr>
          <w:szCs w:val="24"/>
        </w:rPr>
        <w:t>True Vine Missionary Baptist Church</w:t>
      </w:r>
      <w:r>
        <w:rPr>
          <w:szCs w:val="24"/>
        </w:rPr>
        <w:t xml:space="preserve">, Tommie Breedlove, </w:t>
      </w:r>
      <w:r w:rsidR="001B585A" w:rsidRPr="00A60161">
        <w:rPr>
          <w:szCs w:val="24"/>
        </w:rPr>
        <w:t xml:space="preserve">and Rogelio </w:t>
      </w:r>
      <w:r>
        <w:rPr>
          <w:szCs w:val="24"/>
        </w:rPr>
        <w:t>Malvaiz.</w:t>
      </w:r>
    </w:p>
    <w:p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 xml:space="preserve">On April 1, 2016, </w:t>
      </w:r>
      <w:r w:rsidR="00E63B70">
        <w:rPr>
          <w:szCs w:val="24"/>
        </w:rPr>
        <w:t>SOAH</w:t>
      </w:r>
      <w:r w:rsidRPr="00A60161">
        <w:rPr>
          <w:szCs w:val="24"/>
        </w:rPr>
        <w:t xml:space="preserve"> issued Order No</w:t>
      </w:r>
      <w:r w:rsidR="00E63B70">
        <w:rPr>
          <w:szCs w:val="24"/>
        </w:rPr>
        <w:t>.</w:t>
      </w:r>
      <w:r w:rsidRPr="00A60161">
        <w:rPr>
          <w:szCs w:val="24"/>
        </w:rPr>
        <w:t xml:space="preserve"> 4</w:t>
      </w:r>
      <w:r w:rsidR="00E63B70">
        <w:rPr>
          <w:szCs w:val="24"/>
        </w:rPr>
        <w:t xml:space="preserve">, </w:t>
      </w:r>
      <w:r w:rsidR="00E63B70" w:rsidRPr="00A60161">
        <w:rPr>
          <w:szCs w:val="24"/>
        </w:rPr>
        <w:t xml:space="preserve">regarding statement of position or direct testimony </w:t>
      </w:r>
      <w:r w:rsidR="00125709">
        <w:rPr>
          <w:szCs w:val="24"/>
        </w:rPr>
        <w:t xml:space="preserve">filings </w:t>
      </w:r>
      <w:r w:rsidR="00E63B70" w:rsidRPr="00A60161">
        <w:rPr>
          <w:szCs w:val="24"/>
        </w:rPr>
        <w:t xml:space="preserve">by intervenors and attendance at </w:t>
      </w:r>
      <w:r w:rsidR="00125709">
        <w:rPr>
          <w:szCs w:val="24"/>
        </w:rPr>
        <w:t xml:space="preserve">the </w:t>
      </w:r>
      <w:r w:rsidR="00E63B70" w:rsidRPr="00A60161">
        <w:rPr>
          <w:szCs w:val="24"/>
        </w:rPr>
        <w:t>settlement conference</w:t>
      </w:r>
      <w:r w:rsidRPr="00A60161">
        <w:rPr>
          <w:szCs w:val="24"/>
        </w:rPr>
        <w:t>.</w:t>
      </w:r>
    </w:p>
    <w:p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 xml:space="preserve">True Vine filed </w:t>
      </w:r>
      <w:r w:rsidR="00DC0A95">
        <w:rPr>
          <w:szCs w:val="24"/>
        </w:rPr>
        <w:t>a</w:t>
      </w:r>
      <w:r w:rsidRPr="00A60161">
        <w:rPr>
          <w:szCs w:val="24"/>
        </w:rPr>
        <w:t xml:space="preserve"> statement of position with </w:t>
      </w:r>
      <w:r w:rsidR="00693664">
        <w:rPr>
          <w:szCs w:val="24"/>
        </w:rPr>
        <w:t>a</w:t>
      </w:r>
      <w:r w:rsidRPr="00A60161">
        <w:rPr>
          <w:szCs w:val="24"/>
        </w:rPr>
        <w:t xml:space="preserve"> request to intervene.</w:t>
      </w:r>
    </w:p>
    <w:p w:rsidR="001B585A" w:rsidRPr="00A60161" w:rsidRDefault="00693664" w:rsidP="001B585A">
      <w:pPr>
        <w:pStyle w:val="FOFNumbered"/>
        <w:rPr>
          <w:szCs w:val="24"/>
        </w:rPr>
      </w:pPr>
      <w:r>
        <w:rPr>
          <w:szCs w:val="24"/>
        </w:rPr>
        <w:t xml:space="preserve">On April 6, 2016, </w:t>
      </w:r>
      <w:r w:rsidR="001B585A" w:rsidRPr="00A60161">
        <w:rPr>
          <w:szCs w:val="24"/>
        </w:rPr>
        <w:t xml:space="preserve">OPUC filed </w:t>
      </w:r>
      <w:r w:rsidRPr="00A60161">
        <w:rPr>
          <w:szCs w:val="24"/>
        </w:rPr>
        <w:t>direct testimony</w:t>
      </w:r>
      <w:r>
        <w:rPr>
          <w:szCs w:val="24"/>
        </w:rPr>
        <w:t>.  On the same date, intervenor Malvaiz filed a statement of position.</w:t>
      </w:r>
    </w:p>
    <w:p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>A settlement conference was convened on April 11, 2016.</w:t>
      </w:r>
    </w:p>
    <w:p w:rsidR="001B585A" w:rsidRPr="00A60161" w:rsidRDefault="00693664" w:rsidP="001B585A">
      <w:pPr>
        <w:pStyle w:val="FOFNumbered"/>
        <w:rPr>
          <w:szCs w:val="24"/>
        </w:rPr>
      </w:pPr>
      <w:r>
        <w:rPr>
          <w:szCs w:val="24"/>
        </w:rPr>
        <w:lastRenderedPageBreak/>
        <w:t xml:space="preserve">On April 11, 2016, </w:t>
      </w:r>
      <w:r w:rsidR="001B585A" w:rsidRPr="00A60161">
        <w:rPr>
          <w:szCs w:val="24"/>
        </w:rPr>
        <w:t xml:space="preserve">Quadvest, Commission Staff, OPUC, Breedlove, and Malvaiz appeared at the </w:t>
      </w:r>
      <w:r w:rsidRPr="00A60161">
        <w:rPr>
          <w:szCs w:val="24"/>
        </w:rPr>
        <w:t>settlement conference</w:t>
      </w:r>
      <w:r w:rsidR="001B585A" w:rsidRPr="00A60161">
        <w:rPr>
          <w:szCs w:val="24"/>
        </w:rPr>
        <w:t xml:space="preserve">. At the settlement conference, Breedlove and Malvaiz announced that they no longer wished to be parties to </w:t>
      </w:r>
      <w:r>
        <w:rPr>
          <w:szCs w:val="24"/>
        </w:rPr>
        <w:t>this</w:t>
      </w:r>
      <w:r w:rsidR="001B585A" w:rsidRPr="00A60161">
        <w:rPr>
          <w:szCs w:val="24"/>
        </w:rPr>
        <w:t xml:space="preserve"> case.</w:t>
      </w:r>
    </w:p>
    <w:p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 xml:space="preserve">On April 25, 2016, SOAH issued Order No. 5, </w:t>
      </w:r>
      <w:r w:rsidR="00693664">
        <w:rPr>
          <w:szCs w:val="24"/>
        </w:rPr>
        <w:t>granting the interventions of</w:t>
      </w:r>
      <w:r w:rsidRPr="00A60161">
        <w:rPr>
          <w:szCs w:val="24"/>
        </w:rPr>
        <w:t xml:space="preserve"> OPUC and True Vine.</w:t>
      </w:r>
    </w:p>
    <w:p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 xml:space="preserve">On May 5, 2016, Breedlove filed </w:t>
      </w:r>
      <w:r w:rsidR="00EC1525">
        <w:rPr>
          <w:szCs w:val="24"/>
        </w:rPr>
        <w:t>a</w:t>
      </w:r>
      <w:r w:rsidR="000B7A9E">
        <w:rPr>
          <w:szCs w:val="24"/>
        </w:rPr>
        <w:t xml:space="preserve"> plaintiff</w:t>
      </w:r>
      <w:r w:rsidR="00EC1525">
        <w:rPr>
          <w:szCs w:val="24"/>
        </w:rPr>
        <w:t>’s</w:t>
      </w:r>
      <w:r w:rsidR="000B7A9E" w:rsidRPr="00A60161">
        <w:rPr>
          <w:szCs w:val="24"/>
        </w:rPr>
        <w:t xml:space="preserve"> rebuttal</w:t>
      </w:r>
      <w:r w:rsidRPr="00A60161">
        <w:rPr>
          <w:szCs w:val="24"/>
        </w:rPr>
        <w:t>, asking to be reinstated as an intervenor in this proceeding.</w:t>
      </w:r>
    </w:p>
    <w:p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 xml:space="preserve">On May 10, 2016, SOAH issued Order No. 6, setting a prehearing conference to determine whether Breedlove should be </w:t>
      </w:r>
      <w:r w:rsidR="005973CD">
        <w:rPr>
          <w:szCs w:val="24"/>
        </w:rPr>
        <w:t>reinstated as an intervenor</w:t>
      </w:r>
      <w:r w:rsidRPr="00A60161">
        <w:rPr>
          <w:szCs w:val="24"/>
        </w:rPr>
        <w:t>.</w:t>
      </w:r>
    </w:p>
    <w:p w:rsidR="001B585A" w:rsidRPr="00A60161" w:rsidRDefault="001B585A" w:rsidP="001B585A">
      <w:pPr>
        <w:pStyle w:val="FOFNumbered"/>
        <w:rPr>
          <w:spacing w:val="-1"/>
          <w:szCs w:val="24"/>
        </w:rPr>
      </w:pPr>
      <w:r w:rsidRPr="00A60161">
        <w:rPr>
          <w:spacing w:val="-1"/>
          <w:szCs w:val="24"/>
        </w:rPr>
        <w:t xml:space="preserve">On May 11, 2016, Commission Staff filed </w:t>
      </w:r>
      <w:r w:rsidR="00EC1525" w:rsidRPr="00A60161">
        <w:rPr>
          <w:spacing w:val="-1"/>
          <w:szCs w:val="24"/>
        </w:rPr>
        <w:t>direct testimony</w:t>
      </w:r>
      <w:r w:rsidRPr="00A60161">
        <w:rPr>
          <w:spacing w:val="-1"/>
          <w:szCs w:val="24"/>
        </w:rPr>
        <w:t>.</w:t>
      </w:r>
    </w:p>
    <w:p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 xml:space="preserve">On May 18, 2016, a prehearing conference was convened. </w:t>
      </w:r>
      <w:r w:rsidR="00EC1525">
        <w:rPr>
          <w:szCs w:val="24"/>
        </w:rPr>
        <w:t xml:space="preserve"> </w:t>
      </w:r>
      <w:r w:rsidRPr="00A60161">
        <w:rPr>
          <w:szCs w:val="24"/>
        </w:rPr>
        <w:t>Quadvest, Commission Staff, and OPUC announced that they did not object to the reinstatement of Breedlove as an intervenor.</w:t>
      </w:r>
    </w:p>
    <w:p w:rsidR="001B585A" w:rsidRPr="00A60161" w:rsidRDefault="00EC1525" w:rsidP="001B585A">
      <w:pPr>
        <w:pStyle w:val="FOFNumbered"/>
        <w:rPr>
          <w:spacing w:val="-1"/>
          <w:szCs w:val="24"/>
        </w:rPr>
      </w:pPr>
      <w:r>
        <w:rPr>
          <w:spacing w:val="-1"/>
          <w:szCs w:val="24"/>
        </w:rPr>
        <w:t xml:space="preserve">On May 18, 2016, </w:t>
      </w:r>
      <w:r w:rsidR="001B585A" w:rsidRPr="00A60161">
        <w:rPr>
          <w:spacing w:val="-1"/>
          <w:szCs w:val="24"/>
        </w:rPr>
        <w:t>Quadvest filed rebuttal testimony.</w:t>
      </w:r>
    </w:p>
    <w:p w:rsidR="001B585A" w:rsidRPr="00A60161" w:rsidRDefault="001B585A" w:rsidP="001B585A">
      <w:pPr>
        <w:pStyle w:val="FOFNumbered"/>
        <w:rPr>
          <w:spacing w:val="-1"/>
          <w:szCs w:val="24"/>
        </w:rPr>
      </w:pPr>
      <w:r w:rsidRPr="00A60161">
        <w:rPr>
          <w:spacing w:val="-1"/>
          <w:szCs w:val="24"/>
        </w:rPr>
        <w:t xml:space="preserve">On May 19, 2016, SOAH issued Order No. 7, reinstating </w:t>
      </w:r>
      <w:r w:rsidR="00EC1525">
        <w:rPr>
          <w:spacing w:val="-1"/>
          <w:szCs w:val="24"/>
        </w:rPr>
        <w:t>Breedlove as an intervenor</w:t>
      </w:r>
      <w:r w:rsidRPr="00A60161">
        <w:rPr>
          <w:spacing w:val="-1"/>
          <w:szCs w:val="24"/>
        </w:rPr>
        <w:t>.</w:t>
      </w:r>
    </w:p>
    <w:p w:rsidR="001B585A" w:rsidRPr="00A60161" w:rsidRDefault="001B585A" w:rsidP="001B585A">
      <w:pPr>
        <w:pStyle w:val="FOFNumbered"/>
        <w:rPr>
          <w:spacing w:val="-2"/>
          <w:szCs w:val="24"/>
        </w:rPr>
      </w:pPr>
      <w:r w:rsidRPr="00A60161">
        <w:rPr>
          <w:spacing w:val="-2"/>
          <w:szCs w:val="24"/>
        </w:rPr>
        <w:t xml:space="preserve">On May 24, 2016, a prehearing conference was convened </w:t>
      </w:r>
      <w:r w:rsidR="00EC1525">
        <w:rPr>
          <w:spacing w:val="-2"/>
          <w:szCs w:val="24"/>
        </w:rPr>
        <w:t>at</w:t>
      </w:r>
      <w:r w:rsidRPr="00A60161">
        <w:rPr>
          <w:spacing w:val="-2"/>
          <w:szCs w:val="24"/>
        </w:rPr>
        <w:t xml:space="preserve"> which the parties announced a unanimous settlement</w:t>
      </w:r>
      <w:r w:rsidR="00EC1525">
        <w:rPr>
          <w:spacing w:val="-2"/>
          <w:szCs w:val="24"/>
        </w:rPr>
        <w:t xml:space="preserve"> had been reached</w:t>
      </w:r>
      <w:r w:rsidRPr="00A60161">
        <w:rPr>
          <w:spacing w:val="-2"/>
          <w:szCs w:val="24"/>
        </w:rPr>
        <w:t xml:space="preserve">. </w:t>
      </w:r>
      <w:r w:rsidR="005973CD">
        <w:rPr>
          <w:spacing w:val="-2"/>
          <w:szCs w:val="24"/>
        </w:rPr>
        <w:t xml:space="preserve"> </w:t>
      </w:r>
      <w:r w:rsidRPr="00A60161">
        <w:rPr>
          <w:spacing w:val="-2"/>
          <w:szCs w:val="24"/>
        </w:rPr>
        <w:lastRenderedPageBreak/>
        <w:t xml:space="preserve">Commission Staff, OPUC, and Breedlove appeared at the prehearing </w:t>
      </w:r>
      <w:r w:rsidR="004C5D60">
        <w:rPr>
          <w:spacing w:val="-2"/>
          <w:szCs w:val="24"/>
        </w:rPr>
        <w:t xml:space="preserve">conference </w:t>
      </w:r>
      <w:r w:rsidRPr="00A60161">
        <w:rPr>
          <w:spacing w:val="-2"/>
          <w:szCs w:val="24"/>
        </w:rPr>
        <w:t xml:space="preserve">and announced agreement with the </w:t>
      </w:r>
      <w:r w:rsidR="00EC1525">
        <w:rPr>
          <w:spacing w:val="-2"/>
          <w:szCs w:val="24"/>
        </w:rPr>
        <w:t>settlement</w:t>
      </w:r>
      <w:r w:rsidRPr="00A60161">
        <w:rPr>
          <w:spacing w:val="-2"/>
          <w:szCs w:val="24"/>
        </w:rPr>
        <w:t>.</w:t>
      </w:r>
      <w:r w:rsidR="005973CD">
        <w:rPr>
          <w:spacing w:val="-2"/>
          <w:szCs w:val="24"/>
        </w:rPr>
        <w:t xml:space="preserve"> </w:t>
      </w:r>
      <w:r w:rsidRPr="00A60161">
        <w:rPr>
          <w:spacing w:val="-2"/>
          <w:szCs w:val="24"/>
        </w:rPr>
        <w:t xml:space="preserve"> True Vine, which was not present at the prehearing conference, was contacted </w:t>
      </w:r>
      <w:r w:rsidR="004C5D60">
        <w:rPr>
          <w:spacing w:val="-2"/>
          <w:szCs w:val="24"/>
        </w:rPr>
        <w:t>via</w:t>
      </w:r>
      <w:r w:rsidRPr="00A60161">
        <w:rPr>
          <w:spacing w:val="-2"/>
          <w:szCs w:val="24"/>
        </w:rPr>
        <w:t xml:space="preserve"> telephone to determine whether it was in agreement with the settlement. </w:t>
      </w:r>
      <w:r w:rsidR="00EC1525">
        <w:rPr>
          <w:spacing w:val="-2"/>
          <w:szCs w:val="24"/>
        </w:rPr>
        <w:t xml:space="preserve"> </w:t>
      </w:r>
      <w:r w:rsidRPr="00A60161">
        <w:rPr>
          <w:spacing w:val="-2"/>
          <w:szCs w:val="24"/>
        </w:rPr>
        <w:t xml:space="preserve">True Vine, through its duly authorized representative, Lyndia Clark, represented that it approved of the </w:t>
      </w:r>
      <w:r w:rsidR="00EC1525">
        <w:rPr>
          <w:spacing w:val="-2"/>
          <w:szCs w:val="24"/>
        </w:rPr>
        <w:t>settlement</w:t>
      </w:r>
      <w:r w:rsidRPr="00A60161">
        <w:rPr>
          <w:spacing w:val="-2"/>
          <w:szCs w:val="24"/>
        </w:rPr>
        <w:t>.</w:t>
      </w:r>
    </w:p>
    <w:p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 xml:space="preserve">On May 24, 2016, Quadvest withdrew </w:t>
      </w:r>
      <w:r w:rsidR="00DC0A95">
        <w:rPr>
          <w:szCs w:val="24"/>
        </w:rPr>
        <w:t>the</w:t>
      </w:r>
      <w:r w:rsidRPr="00A60161">
        <w:rPr>
          <w:szCs w:val="24"/>
        </w:rPr>
        <w:t xml:space="preserve"> request for Phase II rates</w:t>
      </w:r>
      <w:r w:rsidR="00EC1525">
        <w:rPr>
          <w:szCs w:val="24"/>
        </w:rPr>
        <w:t>,</w:t>
      </w:r>
      <w:r w:rsidRPr="00A60161">
        <w:rPr>
          <w:szCs w:val="24"/>
        </w:rPr>
        <w:t xml:space="preserve"> reserving its right to request recovery of the associated investment i</w:t>
      </w:r>
      <w:r w:rsidR="00EC1525">
        <w:rPr>
          <w:szCs w:val="24"/>
        </w:rPr>
        <w:t>n a future proceeding.</w:t>
      </w:r>
      <w:r w:rsidRPr="00A60161">
        <w:rPr>
          <w:szCs w:val="24"/>
        </w:rPr>
        <w:t xml:space="preserve"> </w:t>
      </w:r>
      <w:r w:rsidR="00EC1525">
        <w:rPr>
          <w:szCs w:val="24"/>
        </w:rPr>
        <w:t xml:space="preserve"> </w:t>
      </w:r>
    </w:p>
    <w:p w:rsidR="001B585A" w:rsidRPr="00A60161" w:rsidRDefault="001B585A" w:rsidP="00094637">
      <w:pPr>
        <w:pStyle w:val="FOFNumbered"/>
        <w:rPr>
          <w:color w:val="000000"/>
          <w:spacing w:val="2"/>
          <w:szCs w:val="24"/>
        </w:rPr>
      </w:pPr>
      <w:r w:rsidRPr="00A60161">
        <w:rPr>
          <w:color w:val="000000"/>
          <w:szCs w:val="24"/>
        </w:rPr>
        <w:t xml:space="preserve">On May 31, 2016, SOAH </w:t>
      </w:r>
      <w:r w:rsidR="005973CD">
        <w:rPr>
          <w:color w:val="000000"/>
          <w:szCs w:val="24"/>
        </w:rPr>
        <w:t xml:space="preserve">issued </w:t>
      </w:r>
      <w:r w:rsidRPr="00A60161">
        <w:rPr>
          <w:color w:val="000000"/>
          <w:szCs w:val="24"/>
        </w:rPr>
        <w:t>Order No. 8</w:t>
      </w:r>
      <w:r w:rsidR="005973CD">
        <w:rPr>
          <w:color w:val="000000"/>
          <w:szCs w:val="24"/>
        </w:rPr>
        <w:t xml:space="preserve">, granting </w:t>
      </w:r>
      <w:r w:rsidRPr="00A60161">
        <w:rPr>
          <w:color w:val="000000"/>
          <w:szCs w:val="24"/>
        </w:rPr>
        <w:t xml:space="preserve">interim rates and </w:t>
      </w:r>
      <w:r w:rsidR="005973CD">
        <w:rPr>
          <w:color w:val="000000"/>
          <w:szCs w:val="24"/>
        </w:rPr>
        <w:t xml:space="preserve">authorizing </w:t>
      </w:r>
      <w:r w:rsidRPr="00A60161">
        <w:rPr>
          <w:color w:val="000000"/>
          <w:szCs w:val="24"/>
        </w:rPr>
        <w:t xml:space="preserve">Quadvest </w:t>
      </w:r>
      <w:r w:rsidRPr="00A60161">
        <w:rPr>
          <w:color w:val="000000"/>
          <w:spacing w:val="2"/>
          <w:szCs w:val="24"/>
        </w:rPr>
        <w:t>to institute those rates effective June 1, 2016.</w:t>
      </w:r>
    </w:p>
    <w:p w:rsidR="001B585A" w:rsidRPr="00A60161" w:rsidRDefault="001B585A" w:rsidP="00AD6AC4">
      <w:pPr>
        <w:pStyle w:val="FOFNumbered"/>
        <w:rPr>
          <w:color w:val="000000"/>
          <w:szCs w:val="24"/>
        </w:rPr>
      </w:pPr>
      <w:r w:rsidRPr="00A60161">
        <w:rPr>
          <w:color w:val="000000"/>
          <w:szCs w:val="24"/>
        </w:rPr>
        <w:t xml:space="preserve">On October 31, 2016, Quadvest filed a notice of stipulation and </w:t>
      </w:r>
      <w:r w:rsidR="004C5D60">
        <w:rPr>
          <w:color w:val="000000"/>
          <w:szCs w:val="24"/>
        </w:rPr>
        <w:t xml:space="preserve">a </w:t>
      </w:r>
      <w:r w:rsidRPr="00A60161">
        <w:rPr>
          <w:color w:val="000000"/>
          <w:szCs w:val="24"/>
        </w:rPr>
        <w:t xml:space="preserve">motion to admit evidence and to remand the proceeding to the Commission, with attachments consisting of the </w:t>
      </w:r>
      <w:r w:rsidR="005973CD">
        <w:rPr>
          <w:color w:val="000000"/>
          <w:szCs w:val="24"/>
        </w:rPr>
        <w:t>agreement</w:t>
      </w:r>
      <w:r w:rsidRPr="00A60161">
        <w:rPr>
          <w:color w:val="000000"/>
          <w:szCs w:val="24"/>
        </w:rPr>
        <w:t xml:space="preserve">, agreed proposed tariff, proposed final order, and testimonies of Commission Staff and Quadvest in support of the </w:t>
      </w:r>
      <w:r w:rsidR="005973CD">
        <w:rPr>
          <w:color w:val="000000"/>
          <w:szCs w:val="24"/>
        </w:rPr>
        <w:t>agreement</w:t>
      </w:r>
      <w:r w:rsidRPr="00A60161">
        <w:rPr>
          <w:color w:val="000000"/>
          <w:szCs w:val="24"/>
        </w:rPr>
        <w:t>.</w:t>
      </w:r>
    </w:p>
    <w:p w:rsidR="001B585A" w:rsidRPr="00A60161" w:rsidRDefault="001B585A" w:rsidP="001B585A">
      <w:pPr>
        <w:pStyle w:val="FOFNumbered"/>
        <w:rPr>
          <w:color w:val="000000"/>
          <w:szCs w:val="24"/>
        </w:rPr>
      </w:pPr>
      <w:r w:rsidRPr="00A60161">
        <w:rPr>
          <w:color w:val="000000"/>
          <w:szCs w:val="24"/>
        </w:rPr>
        <w:t>On November</w:t>
      </w:r>
      <w:r w:rsidR="00C34993">
        <w:rPr>
          <w:color w:val="000000"/>
          <w:szCs w:val="24"/>
        </w:rPr>
        <w:t xml:space="preserve"> </w:t>
      </w:r>
      <w:r w:rsidRPr="00A60161">
        <w:rPr>
          <w:color w:val="000000"/>
          <w:szCs w:val="24"/>
        </w:rPr>
        <w:t xml:space="preserve">17, 2016, SOAH issued Order No. 9, correcting </w:t>
      </w:r>
      <w:r w:rsidR="0099213C" w:rsidRPr="00A60161">
        <w:rPr>
          <w:color w:val="000000"/>
          <w:szCs w:val="24"/>
        </w:rPr>
        <w:t>an administrative error in the interim tariff, admitting evidence, dismissing the case from the SOAH docket, and remanding the case to the Commission.</w:t>
      </w:r>
    </w:p>
    <w:p w:rsidR="001B585A" w:rsidRPr="00A60161" w:rsidRDefault="001B585A" w:rsidP="0099213C">
      <w:pPr>
        <w:pStyle w:val="Heading7"/>
        <w:rPr>
          <w:rFonts w:eastAsia="Times New Roman" w:cs="Times New Roman"/>
        </w:rPr>
      </w:pPr>
      <w:r w:rsidRPr="00A60161">
        <w:rPr>
          <w:rFonts w:eastAsia="Times New Roman" w:cs="Times New Roman"/>
        </w:rPr>
        <w:lastRenderedPageBreak/>
        <w:t xml:space="preserve">Description of the </w:t>
      </w:r>
      <w:r w:rsidR="00A53ECB">
        <w:rPr>
          <w:rFonts w:eastAsia="Times New Roman" w:cs="Times New Roman"/>
        </w:rPr>
        <w:t>Agreement</w:t>
      </w:r>
      <w:r w:rsidRPr="00A60161">
        <w:rPr>
          <w:rFonts w:eastAsia="Times New Roman" w:cs="Times New Roman"/>
        </w:rPr>
        <w:t xml:space="preserve"> </w:t>
      </w:r>
    </w:p>
    <w:p w:rsidR="001B585A" w:rsidRPr="00A60161" w:rsidRDefault="001B585A" w:rsidP="0099213C">
      <w:pPr>
        <w:pStyle w:val="FOFNumbered"/>
        <w:rPr>
          <w:szCs w:val="24"/>
        </w:rPr>
      </w:pPr>
      <w:r w:rsidRPr="00A60161">
        <w:rPr>
          <w:szCs w:val="24"/>
        </w:rPr>
        <w:t xml:space="preserve">The parties </w:t>
      </w:r>
      <w:r w:rsidR="00A53ECB">
        <w:rPr>
          <w:szCs w:val="24"/>
        </w:rPr>
        <w:t>agreed</w:t>
      </w:r>
      <w:r w:rsidRPr="00A60161">
        <w:rPr>
          <w:szCs w:val="24"/>
        </w:rPr>
        <w:t xml:space="preserve"> that Quadvest should be allowed an increase to its revenue </w:t>
      </w:r>
      <w:r w:rsidRPr="00A60161">
        <w:rPr>
          <w:szCs w:val="24"/>
        </w:rPr>
        <w:br/>
        <w:t>requirement</w:t>
      </w:r>
      <w:r w:rsidR="0099213C" w:rsidRPr="00A60161">
        <w:rPr>
          <w:szCs w:val="24"/>
        </w:rPr>
        <w:t xml:space="preserve"> of $360,000</w:t>
      </w:r>
      <w:r w:rsidRPr="00A60161">
        <w:rPr>
          <w:szCs w:val="24"/>
        </w:rPr>
        <w:t>.</w:t>
      </w:r>
    </w:p>
    <w:p w:rsidR="001B585A" w:rsidRDefault="001B585A" w:rsidP="004D716B">
      <w:pPr>
        <w:pStyle w:val="FOFNumbered"/>
        <w:spacing w:after="120"/>
        <w:rPr>
          <w:spacing w:val="2"/>
          <w:szCs w:val="24"/>
        </w:rPr>
      </w:pPr>
      <w:r w:rsidRPr="00A60161">
        <w:rPr>
          <w:szCs w:val="24"/>
        </w:rPr>
        <w:t xml:space="preserve">The parties further </w:t>
      </w:r>
      <w:r w:rsidR="00A53ECB">
        <w:rPr>
          <w:szCs w:val="24"/>
        </w:rPr>
        <w:t>agreed</w:t>
      </w:r>
      <w:r w:rsidRPr="00A60161">
        <w:rPr>
          <w:szCs w:val="24"/>
        </w:rPr>
        <w:t xml:space="preserve"> that this revenue requirement would result in the following</w:t>
      </w:r>
      <w:r w:rsidR="0099213C" w:rsidRPr="00A60161">
        <w:rPr>
          <w:szCs w:val="24"/>
        </w:rPr>
        <w:t xml:space="preserve"> </w:t>
      </w:r>
      <w:r w:rsidRPr="00A60161">
        <w:rPr>
          <w:spacing w:val="2"/>
          <w:szCs w:val="24"/>
        </w:rPr>
        <w:t>base rates for the first four meter equivalents:</w:t>
      </w:r>
    </w:p>
    <w:p w:rsidR="004D716B" w:rsidRDefault="004D716B" w:rsidP="004D716B">
      <w:pPr>
        <w:pStyle w:val="FOFNumbered"/>
        <w:numPr>
          <w:ilvl w:val="0"/>
          <w:numId w:val="0"/>
        </w:numPr>
        <w:spacing w:before="0" w:line="240" w:lineRule="auto"/>
        <w:ind w:left="1440"/>
        <w:rPr>
          <w:spacing w:val="2"/>
          <w:szCs w:val="24"/>
        </w:rPr>
      </w:pPr>
      <w:r>
        <w:rPr>
          <w:spacing w:val="2"/>
          <w:szCs w:val="24"/>
        </w:rPr>
        <w:t>5/8” or ¾”</w:t>
      </w:r>
      <w:r>
        <w:rPr>
          <w:spacing w:val="2"/>
          <w:szCs w:val="24"/>
        </w:rPr>
        <w:tab/>
        <w:t>$</w:t>
      </w:r>
      <w:r w:rsidR="00B961B5">
        <w:rPr>
          <w:spacing w:val="2"/>
          <w:szCs w:val="24"/>
        </w:rPr>
        <w:t xml:space="preserve"> </w:t>
      </w:r>
      <w:r>
        <w:rPr>
          <w:spacing w:val="2"/>
          <w:szCs w:val="24"/>
        </w:rPr>
        <w:t>28.75 (includes 0 gallons)</w:t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  <w:t xml:space="preserve"> 4”</w:t>
      </w:r>
      <w:r>
        <w:rPr>
          <w:spacing w:val="2"/>
          <w:szCs w:val="24"/>
        </w:rPr>
        <w:tab/>
        <w:t>$   718.75</w:t>
      </w:r>
    </w:p>
    <w:p w:rsidR="004D716B" w:rsidRDefault="004D716B" w:rsidP="004D716B">
      <w:pPr>
        <w:pStyle w:val="FOFNumbered"/>
        <w:numPr>
          <w:ilvl w:val="0"/>
          <w:numId w:val="0"/>
        </w:numPr>
        <w:spacing w:before="0" w:line="240" w:lineRule="auto"/>
        <w:ind w:left="1440"/>
        <w:rPr>
          <w:spacing w:val="2"/>
          <w:szCs w:val="24"/>
        </w:rPr>
      </w:pPr>
      <w:r>
        <w:rPr>
          <w:spacing w:val="2"/>
          <w:szCs w:val="24"/>
        </w:rPr>
        <w:t>1”</w:t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  <w:t>$</w:t>
      </w:r>
      <w:r w:rsidR="00B961B5">
        <w:rPr>
          <w:spacing w:val="2"/>
          <w:szCs w:val="24"/>
        </w:rPr>
        <w:t xml:space="preserve"> 71.88</w:t>
      </w:r>
      <w:r w:rsidR="00B961B5">
        <w:rPr>
          <w:spacing w:val="2"/>
          <w:szCs w:val="24"/>
        </w:rPr>
        <w:tab/>
      </w:r>
      <w:r w:rsidR="00B961B5">
        <w:rPr>
          <w:spacing w:val="2"/>
          <w:szCs w:val="24"/>
        </w:rPr>
        <w:tab/>
      </w:r>
      <w:r w:rsidR="00B961B5">
        <w:rPr>
          <w:spacing w:val="2"/>
          <w:szCs w:val="24"/>
        </w:rPr>
        <w:tab/>
      </w:r>
      <w:r w:rsidR="00B961B5">
        <w:rPr>
          <w:spacing w:val="2"/>
          <w:szCs w:val="24"/>
        </w:rPr>
        <w:tab/>
        <w:t xml:space="preserve"> </w:t>
      </w:r>
      <w:r>
        <w:rPr>
          <w:spacing w:val="2"/>
          <w:szCs w:val="24"/>
        </w:rPr>
        <w:t>6”</w:t>
      </w:r>
      <w:r>
        <w:rPr>
          <w:spacing w:val="2"/>
          <w:szCs w:val="24"/>
        </w:rPr>
        <w:tab/>
        <w:t>$1,43</w:t>
      </w:r>
      <w:r w:rsidR="004D0DFD">
        <w:rPr>
          <w:spacing w:val="2"/>
          <w:szCs w:val="24"/>
        </w:rPr>
        <w:t>7</w:t>
      </w:r>
      <w:r>
        <w:rPr>
          <w:spacing w:val="2"/>
          <w:szCs w:val="24"/>
        </w:rPr>
        <w:t>.50</w:t>
      </w:r>
    </w:p>
    <w:p w:rsidR="004D716B" w:rsidRDefault="004D716B" w:rsidP="004D716B">
      <w:pPr>
        <w:pStyle w:val="FOFNumbered"/>
        <w:numPr>
          <w:ilvl w:val="0"/>
          <w:numId w:val="0"/>
        </w:numPr>
        <w:spacing w:before="0" w:line="240" w:lineRule="auto"/>
        <w:ind w:left="1440"/>
        <w:rPr>
          <w:spacing w:val="2"/>
          <w:szCs w:val="24"/>
        </w:rPr>
      </w:pPr>
      <w:r>
        <w:rPr>
          <w:spacing w:val="2"/>
          <w:szCs w:val="24"/>
        </w:rPr>
        <w:t>1½”</w:t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  <w:t>$143.75</w:t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  <w:t xml:space="preserve"> 8”</w:t>
      </w:r>
      <w:r>
        <w:rPr>
          <w:spacing w:val="2"/>
          <w:szCs w:val="24"/>
        </w:rPr>
        <w:tab/>
        <w:t>$2,300.00</w:t>
      </w:r>
    </w:p>
    <w:p w:rsidR="004D716B" w:rsidRDefault="004D716B" w:rsidP="004D716B">
      <w:pPr>
        <w:pStyle w:val="FOFNumbered"/>
        <w:numPr>
          <w:ilvl w:val="0"/>
          <w:numId w:val="0"/>
        </w:numPr>
        <w:spacing w:before="0" w:line="240" w:lineRule="auto"/>
        <w:ind w:left="1440"/>
        <w:rPr>
          <w:spacing w:val="2"/>
          <w:szCs w:val="24"/>
        </w:rPr>
      </w:pPr>
      <w:r>
        <w:rPr>
          <w:spacing w:val="2"/>
          <w:szCs w:val="24"/>
        </w:rPr>
        <w:t>2”</w:t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  <w:t>$230.00</w:t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  <w:t>10”</w:t>
      </w:r>
      <w:r>
        <w:rPr>
          <w:spacing w:val="2"/>
          <w:szCs w:val="24"/>
        </w:rPr>
        <w:tab/>
        <w:t>$3,306.20</w:t>
      </w:r>
    </w:p>
    <w:p w:rsidR="004D716B" w:rsidRDefault="004D716B" w:rsidP="004D716B">
      <w:pPr>
        <w:pStyle w:val="FOFNumbered"/>
        <w:numPr>
          <w:ilvl w:val="0"/>
          <w:numId w:val="0"/>
        </w:numPr>
        <w:spacing w:before="0" w:line="240" w:lineRule="auto"/>
        <w:ind w:left="1440"/>
        <w:rPr>
          <w:spacing w:val="2"/>
          <w:szCs w:val="24"/>
        </w:rPr>
      </w:pPr>
      <w:r>
        <w:rPr>
          <w:spacing w:val="2"/>
          <w:szCs w:val="24"/>
        </w:rPr>
        <w:t>3”</w:t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  <w:t>$431.25</w:t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  <w:t>12”</w:t>
      </w:r>
      <w:r>
        <w:rPr>
          <w:spacing w:val="2"/>
          <w:szCs w:val="24"/>
        </w:rPr>
        <w:tab/>
        <w:t>$6,181.20</w:t>
      </w:r>
    </w:p>
    <w:p w:rsidR="001B585A" w:rsidRPr="00A60161" w:rsidRDefault="001B585A" w:rsidP="009B6C2E">
      <w:pPr>
        <w:spacing w:before="240" w:after="120" w:line="360" w:lineRule="auto"/>
        <w:ind w:left="720"/>
        <w:textAlignment w:val="baseline"/>
        <w:rPr>
          <w:rFonts w:eastAsia="Times New Roman"/>
          <w:color w:val="000000"/>
          <w:spacing w:val="1"/>
        </w:rPr>
      </w:pPr>
      <w:r w:rsidRPr="00A60161">
        <w:rPr>
          <w:rFonts w:eastAsia="Times New Roman"/>
          <w:color w:val="000000"/>
          <w:spacing w:val="1"/>
        </w:rPr>
        <w:t>And the following rate tiers:</w:t>
      </w:r>
    </w:p>
    <w:p w:rsidR="001B585A" w:rsidRPr="00A60161" w:rsidRDefault="001B585A" w:rsidP="004D716B">
      <w:pPr>
        <w:ind w:left="720"/>
        <w:textAlignment w:val="baseline"/>
        <w:rPr>
          <w:rFonts w:eastAsia="Times New Roman"/>
          <w:color w:val="000000"/>
        </w:rPr>
      </w:pPr>
      <w:r w:rsidRPr="00A53ECB">
        <w:rPr>
          <w:rFonts w:eastAsia="Times New Roman"/>
          <w:color w:val="000000"/>
        </w:rPr>
        <w:t>$1.75</w:t>
      </w:r>
      <w:r w:rsidRPr="00A60161">
        <w:rPr>
          <w:rFonts w:eastAsia="Times New Roman"/>
          <w:color w:val="000000"/>
        </w:rPr>
        <w:t xml:space="preserve"> per 1</w:t>
      </w:r>
      <w:r w:rsidR="00A53ECB">
        <w:rPr>
          <w:rFonts w:eastAsia="Times New Roman"/>
          <w:color w:val="000000"/>
        </w:rPr>
        <w:t>,</w:t>
      </w:r>
      <w:r w:rsidRPr="00A60161">
        <w:rPr>
          <w:rFonts w:eastAsia="Times New Roman"/>
          <w:color w:val="000000"/>
        </w:rPr>
        <w:t>000 gallons for the first 10,000 gallons</w:t>
      </w:r>
    </w:p>
    <w:p w:rsidR="008C3F0B" w:rsidRDefault="0099213C" w:rsidP="004D716B">
      <w:pPr>
        <w:ind w:left="720" w:right="2808"/>
        <w:jc w:val="both"/>
        <w:textAlignment w:val="baseline"/>
        <w:rPr>
          <w:rFonts w:eastAsia="Times New Roman"/>
          <w:color w:val="000000"/>
        </w:rPr>
      </w:pPr>
      <w:r w:rsidRPr="00A53ECB">
        <w:rPr>
          <w:rFonts w:eastAsia="Times New Roman"/>
          <w:color w:val="000000"/>
        </w:rPr>
        <w:t>$2.00</w:t>
      </w:r>
      <w:r w:rsidRPr="00A60161">
        <w:rPr>
          <w:rFonts w:eastAsia="Times New Roman"/>
          <w:color w:val="000000"/>
        </w:rPr>
        <w:t xml:space="preserve"> per 1,000 gallons from 10,001 to 20,000 gallons</w:t>
      </w:r>
    </w:p>
    <w:p w:rsidR="008C3F0B" w:rsidRDefault="0099213C" w:rsidP="004D716B">
      <w:pPr>
        <w:ind w:left="720" w:right="2808"/>
        <w:jc w:val="both"/>
        <w:textAlignment w:val="baseline"/>
        <w:rPr>
          <w:rFonts w:eastAsia="Times New Roman"/>
          <w:color w:val="000000"/>
        </w:rPr>
      </w:pPr>
      <w:r w:rsidRPr="00A53ECB">
        <w:rPr>
          <w:rFonts w:eastAsia="Times New Roman"/>
          <w:color w:val="000000"/>
        </w:rPr>
        <w:t>$2</w:t>
      </w:r>
      <w:r w:rsidR="00A53ECB">
        <w:rPr>
          <w:rFonts w:eastAsia="Times New Roman"/>
          <w:color w:val="000000"/>
        </w:rPr>
        <w:t>.</w:t>
      </w:r>
      <w:r w:rsidRPr="00A53ECB">
        <w:rPr>
          <w:rFonts w:eastAsia="Times New Roman"/>
          <w:color w:val="000000"/>
        </w:rPr>
        <w:t>25</w:t>
      </w:r>
      <w:r w:rsidRPr="00A60161">
        <w:rPr>
          <w:rFonts w:eastAsia="Times New Roman"/>
          <w:color w:val="000000"/>
        </w:rPr>
        <w:t xml:space="preserve"> per 1,000 gallons from 20,001 to 30,000 gallons </w:t>
      </w:r>
    </w:p>
    <w:p w:rsidR="0099213C" w:rsidRPr="00A60161" w:rsidRDefault="0099213C" w:rsidP="004D716B">
      <w:pPr>
        <w:ind w:left="720" w:right="2808"/>
        <w:jc w:val="both"/>
        <w:textAlignment w:val="baseline"/>
        <w:rPr>
          <w:rFonts w:eastAsia="Times New Roman"/>
          <w:color w:val="000000"/>
          <w:u w:val="single"/>
        </w:rPr>
      </w:pPr>
      <w:r w:rsidRPr="00A53ECB">
        <w:rPr>
          <w:rFonts w:eastAsia="Times New Roman"/>
          <w:color w:val="000000"/>
        </w:rPr>
        <w:t>$2.93</w:t>
      </w:r>
      <w:r w:rsidRPr="00A60161">
        <w:rPr>
          <w:rFonts w:eastAsia="Times New Roman"/>
          <w:color w:val="000000"/>
        </w:rPr>
        <w:t xml:space="preserve"> per 1,000 gallons thereafter</w:t>
      </w:r>
    </w:p>
    <w:p w:rsidR="0099213C" w:rsidRPr="00A53ECB" w:rsidRDefault="00705670" w:rsidP="00A53ECB">
      <w:pPr>
        <w:pStyle w:val="FOFNumbered"/>
        <w:spacing w:before="360"/>
      </w:pPr>
      <w:r>
        <w:t xml:space="preserve">The parties agreed that the </w:t>
      </w:r>
      <w:r w:rsidR="0099213C" w:rsidRPr="00A53ECB">
        <w:t xml:space="preserve">retail water utility rates contained in Section 1.0 of the agreed proposed tariff included </w:t>
      </w:r>
      <w:r w:rsidR="00A53ECB" w:rsidRPr="00A53ECB">
        <w:t xml:space="preserve">with this Order as Attachment 1 </w:t>
      </w:r>
      <w:r>
        <w:t xml:space="preserve">are </w:t>
      </w:r>
      <w:r w:rsidR="0099213C" w:rsidRPr="00A53ECB">
        <w:t>effective for bills rendered on or after June</w:t>
      </w:r>
      <w:r w:rsidR="00A53ECB" w:rsidRPr="00A53ECB">
        <w:t> </w:t>
      </w:r>
      <w:r w:rsidR="0099213C" w:rsidRPr="00A53ECB">
        <w:t>1,</w:t>
      </w:r>
      <w:r w:rsidR="00A53ECB" w:rsidRPr="00A53ECB">
        <w:t> </w:t>
      </w:r>
      <w:r w:rsidR="0099213C" w:rsidRPr="00A53ECB">
        <w:t>2016.</w:t>
      </w:r>
    </w:p>
    <w:p w:rsidR="0099213C" w:rsidRPr="00A53ECB" w:rsidRDefault="0099213C" w:rsidP="00A53ECB">
      <w:pPr>
        <w:pStyle w:val="FOFNumbered"/>
      </w:pPr>
      <w:r w:rsidRPr="00A53ECB">
        <w:lastRenderedPageBreak/>
        <w:t xml:space="preserve">The parties </w:t>
      </w:r>
      <w:r w:rsidR="00A53ECB" w:rsidRPr="00A53ECB">
        <w:t>agreed</w:t>
      </w:r>
      <w:r w:rsidRPr="00A53ECB">
        <w:t xml:space="preserve"> that Quadvest should be allowed to implement the other tariff provisions included in the agreed proposed tariff in </w:t>
      </w:r>
      <w:r w:rsidR="00A53ECB" w:rsidRPr="00A53ECB">
        <w:t>Attachment 1 to this Order.</w:t>
      </w:r>
    </w:p>
    <w:p w:rsidR="0099213C" w:rsidRDefault="0099213C" w:rsidP="00A53ECB">
      <w:pPr>
        <w:pStyle w:val="FOFNumbered"/>
        <w:rPr>
          <w:szCs w:val="24"/>
        </w:rPr>
      </w:pPr>
      <w:r w:rsidRPr="00A53ECB">
        <w:t xml:space="preserve">The parties </w:t>
      </w:r>
      <w:r w:rsidR="00A53ECB" w:rsidRPr="00A53ECB">
        <w:t>agreed</w:t>
      </w:r>
      <w:r w:rsidRPr="00A53ECB">
        <w:t xml:space="preserve"> that the proposed tariff included with </w:t>
      </w:r>
      <w:r w:rsidR="00A53ECB" w:rsidRPr="00A53ECB">
        <w:t>this Order as Attachment 1</w:t>
      </w:r>
      <w:r w:rsidRPr="00A53ECB">
        <w:t xml:space="preserve"> should be the governing water utility rates, terms, treatments, and conditions for Quadvest environs ratepayer customers of the public water systems and service areas specified in the tariff. </w:t>
      </w:r>
      <w:r w:rsidR="00A53ECB" w:rsidRPr="00A53ECB">
        <w:t xml:space="preserve"> Under </w:t>
      </w:r>
      <w:r w:rsidRPr="00A53ECB">
        <w:t xml:space="preserve">16 </w:t>
      </w:r>
      <w:r w:rsidR="00A53ECB" w:rsidRPr="00A53ECB">
        <w:t>Texas Administrative Code</w:t>
      </w:r>
      <w:r w:rsidRPr="00A53ECB">
        <w:t xml:space="preserve"> </w:t>
      </w:r>
      <w:r w:rsidR="009B6C2E">
        <w:t xml:space="preserve">(TAC) </w:t>
      </w:r>
      <w:r w:rsidRPr="00A53ECB">
        <w:t>§</w:t>
      </w:r>
      <w:r w:rsidR="00A53ECB" w:rsidRPr="00A53ECB">
        <w:t xml:space="preserve"> </w:t>
      </w:r>
      <w:r w:rsidRPr="00A53ECB">
        <w:t>24.29(i), unless otherwise agreed to</w:t>
      </w:r>
      <w:r w:rsidRPr="00A60161">
        <w:rPr>
          <w:szCs w:val="24"/>
        </w:rPr>
        <w:t xml:space="preserve"> by the parties to the rate proceeding, the retail public utility shall be authorized by the </w:t>
      </w:r>
      <w:r w:rsidR="00A53ECB">
        <w:rPr>
          <w:szCs w:val="24"/>
        </w:rPr>
        <w:t xml:space="preserve">Commission </w:t>
      </w:r>
      <w:r w:rsidRPr="00A60161">
        <w:rPr>
          <w:szCs w:val="24"/>
        </w:rPr>
        <w:t>to collect the difference, in a reasonable number of monthly installments, corresponding to the time of under</w:t>
      </w:r>
      <w:r w:rsidR="00EA5227">
        <w:rPr>
          <w:szCs w:val="24"/>
        </w:rPr>
        <w:t>-</w:t>
      </w:r>
      <w:r w:rsidRPr="00A60161">
        <w:rPr>
          <w:szCs w:val="24"/>
        </w:rPr>
        <w:t xml:space="preserve"> or over</w:t>
      </w:r>
      <w:r w:rsidR="00A53ECB">
        <w:rPr>
          <w:szCs w:val="24"/>
        </w:rPr>
        <w:t>-</w:t>
      </w:r>
      <w:r w:rsidR="00705670">
        <w:rPr>
          <w:szCs w:val="24"/>
        </w:rPr>
        <w:t xml:space="preserve">collection </w:t>
      </w:r>
      <w:r w:rsidRPr="00A60161">
        <w:rPr>
          <w:szCs w:val="24"/>
        </w:rPr>
        <w:t xml:space="preserve">for the amounts by which the rate finally ordered exceeds </w:t>
      </w:r>
      <w:r w:rsidR="00A53ECB">
        <w:rPr>
          <w:szCs w:val="24"/>
        </w:rPr>
        <w:t>the interim rates</w:t>
      </w:r>
      <w:r w:rsidRPr="00A60161">
        <w:rPr>
          <w:szCs w:val="24"/>
        </w:rPr>
        <w:t>.</w:t>
      </w:r>
    </w:p>
    <w:p w:rsidR="004C5D60" w:rsidRPr="00A60161" w:rsidRDefault="009476A7" w:rsidP="009476A7">
      <w:pPr>
        <w:pStyle w:val="FOFCOL"/>
      </w:pPr>
      <w:r>
        <w:t>34A.</w:t>
      </w:r>
      <w:r>
        <w:tab/>
      </w:r>
      <w:r w:rsidR="004C5D60">
        <w:t xml:space="preserve">While the motion for interim rates and order accepting those rates reflects the rates actually </w:t>
      </w:r>
      <w:r w:rsidR="000A7DDB">
        <w:t xml:space="preserve">  </w:t>
      </w:r>
      <w:r w:rsidR="004C5D60">
        <w:t>agreed to by the parties, there was an administrative error in one portion of the tariff relating to the groundwater pass-through fee.  The fee was listed at $2.39.  However</w:t>
      </w:r>
      <w:r w:rsidR="000A7DDB">
        <w:t>,</w:t>
      </w:r>
      <w:r w:rsidR="00EA5227">
        <w:t xml:space="preserve"> the approved tariff on file</w:t>
      </w:r>
      <w:r w:rsidR="004C5D60">
        <w:t xml:space="preserve"> identifi</w:t>
      </w:r>
      <w:r>
        <w:t>ed a pass-through fee of $2.60.</w:t>
      </w:r>
    </w:p>
    <w:p w:rsidR="0099213C" w:rsidRPr="00A53ECB" w:rsidRDefault="0099213C" w:rsidP="00A53ECB">
      <w:pPr>
        <w:pStyle w:val="FOFNumbered"/>
      </w:pPr>
      <w:r w:rsidRPr="00A53ECB">
        <w:t xml:space="preserve">The parties </w:t>
      </w:r>
      <w:r w:rsidR="00A53ECB" w:rsidRPr="00A53ECB">
        <w:t>agreed</w:t>
      </w:r>
      <w:r w:rsidRPr="00A53ECB">
        <w:t xml:space="preserve"> that Quadvest refund</w:t>
      </w:r>
      <w:r w:rsidR="00705670">
        <w:t>,</w:t>
      </w:r>
      <w:r w:rsidRPr="00A53ECB">
        <w:t xml:space="preserve"> to all customers</w:t>
      </w:r>
      <w:r w:rsidR="00705670">
        <w:t>,</w:t>
      </w:r>
      <w:r w:rsidRPr="00A53ECB">
        <w:t xml:space="preserve"> the total amount of $200,000 over a six month period beginning with bills rendered in the next billing cycle after the effective date of this Order.</w:t>
      </w:r>
    </w:p>
    <w:p w:rsidR="0099213C" w:rsidRPr="00A53ECB" w:rsidRDefault="00A53ECB" w:rsidP="00A53ECB">
      <w:pPr>
        <w:pStyle w:val="FOFNumbered"/>
      </w:pPr>
      <w:r w:rsidRPr="00A53ECB">
        <w:lastRenderedPageBreak/>
        <w:t>The parties agree</w:t>
      </w:r>
      <w:r w:rsidR="00705670">
        <w:t>d</w:t>
      </w:r>
      <w:r w:rsidRPr="00A53ECB">
        <w:t xml:space="preserve"> that the rate-</w:t>
      </w:r>
      <w:r w:rsidR="0099213C" w:rsidRPr="00A53ECB">
        <w:t>case expenses relating to this rate case are to be set at $0.</w:t>
      </w:r>
    </w:p>
    <w:p w:rsidR="0099213C" w:rsidRPr="00A53ECB" w:rsidRDefault="0099213C" w:rsidP="00A53ECB">
      <w:pPr>
        <w:pStyle w:val="Heading7"/>
      </w:pPr>
      <w:r w:rsidRPr="00A53ECB">
        <w:t xml:space="preserve">Consistency of the </w:t>
      </w:r>
      <w:r w:rsidR="00977E8E">
        <w:t>Settlement A</w:t>
      </w:r>
      <w:r w:rsidR="004C5D60">
        <w:t>greement</w:t>
      </w:r>
      <w:r w:rsidRPr="00A53ECB">
        <w:t xml:space="preserve"> with the Texas Water Code and Commission Requirements</w:t>
      </w:r>
    </w:p>
    <w:p w:rsidR="0099213C" w:rsidRPr="00A60161" w:rsidRDefault="00441B30" w:rsidP="0099213C">
      <w:pPr>
        <w:pStyle w:val="FOFNumbered"/>
        <w:rPr>
          <w:szCs w:val="24"/>
        </w:rPr>
      </w:pPr>
      <w:r>
        <w:rPr>
          <w:szCs w:val="24"/>
        </w:rPr>
        <w:t xml:space="preserve">The </w:t>
      </w:r>
      <w:r w:rsidR="00042AC4">
        <w:rPr>
          <w:szCs w:val="24"/>
        </w:rPr>
        <w:t>parties</w:t>
      </w:r>
      <w:r>
        <w:rPr>
          <w:szCs w:val="24"/>
        </w:rPr>
        <w:t xml:space="preserve"> agreed that, </w:t>
      </w:r>
      <w:r w:rsidR="00042AC4">
        <w:rPr>
          <w:szCs w:val="24"/>
        </w:rPr>
        <w:t>in</w:t>
      </w:r>
      <w:r w:rsidR="00A53ECB">
        <w:rPr>
          <w:szCs w:val="24"/>
        </w:rPr>
        <w:t xml:space="preserve"> light of Quadvest’</w:t>
      </w:r>
      <w:r w:rsidR="0099213C" w:rsidRPr="00A60161">
        <w:rPr>
          <w:szCs w:val="24"/>
        </w:rPr>
        <w:t xml:space="preserve">s application, testimony, </w:t>
      </w:r>
      <w:r w:rsidR="00042AC4">
        <w:rPr>
          <w:szCs w:val="24"/>
        </w:rPr>
        <w:t xml:space="preserve">and </w:t>
      </w:r>
      <w:r w:rsidR="0099213C" w:rsidRPr="00A60161">
        <w:rPr>
          <w:szCs w:val="24"/>
        </w:rPr>
        <w:t xml:space="preserve">responses to discovery requests, the </w:t>
      </w:r>
      <w:r w:rsidR="00705670">
        <w:rPr>
          <w:szCs w:val="24"/>
        </w:rPr>
        <w:t>agreement</w:t>
      </w:r>
      <w:r w:rsidR="0099213C" w:rsidRPr="00A60161">
        <w:rPr>
          <w:szCs w:val="24"/>
        </w:rPr>
        <w:t xml:space="preserve"> is the result of compromise from each party, and these efforts, as well as the overall result of the </w:t>
      </w:r>
      <w:r w:rsidR="00705670">
        <w:rPr>
          <w:szCs w:val="24"/>
        </w:rPr>
        <w:t>agreement</w:t>
      </w:r>
      <w:r w:rsidR="0099213C" w:rsidRPr="00A60161">
        <w:rPr>
          <w:szCs w:val="24"/>
        </w:rPr>
        <w:t xml:space="preserve">, support the reasonableness and benefits of the terms of the </w:t>
      </w:r>
      <w:r w:rsidR="00705670">
        <w:rPr>
          <w:szCs w:val="24"/>
        </w:rPr>
        <w:t>agreement</w:t>
      </w:r>
      <w:r w:rsidR="0099213C" w:rsidRPr="00A60161">
        <w:rPr>
          <w:szCs w:val="24"/>
        </w:rPr>
        <w:t>.</w:t>
      </w:r>
    </w:p>
    <w:p w:rsidR="001B585A" w:rsidRDefault="0099213C" w:rsidP="0099213C">
      <w:pPr>
        <w:pStyle w:val="FOFNumbered"/>
        <w:rPr>
          <w:szCs w:val="24"/>
        </w:rPr>
      </w:pPr>
      <w:r w:rsidRPr="00A60161">
        <w:rPr>
          <w:szCs w:val="24"/>
        </w:rPr>
        <w:t xml:space="preserve">The rates, terms, and conditions of the tariff resulting from the </w:t>
      </w:r>
      <w:r w:rsidR="00705670">
        <w:rPr>
          <w:szCs w:val="24"/>
        </w:rPr>
        <w:t>agreement</w:t>
      </w:r>
      <w:r w:rsidRPr="00A60161">
        <w:rPr>
          <w:szCs w:val="24"/>
        </w:rPr>
        <w:t xml:space="preserve"> are just and reasonable and consistent with the public interest when the benefits of avoiding an expensive contested</w:t>
      </w:r>
      <w:r w:rsidR="004C5D60">
        <w:rPr>
          <w:szCs w:val="24"/>
        </w:rPr>
        <w:t>-</w:t>
      </w:r>
      <w:r w:rsidRPr="00A60161">
        <w:rPr>
          <w:szCs w:val="24"/>
        </w:rPr>
        <w:t>case hearing are considered.</w:t>
      </w:r>
    </w:p>
    <w:p w:rsidR="000A7DDB" w:rsidRPr="00A60161" w:rsidRDefault="000A7DDB" w:rsidP="0099213C">
      <w:pPr>
        <w:pStyle w:val="FOFNumbered"/>
        <w:rPr>
          <w:szCs w:val="24"/>
        </w:rPr>
      </w:pPr>
      <w:r>
        <w:rPr>
          <w:szCs w:val="24"/>
        </w:rPr>
        <w:t xml:space="preserve">This order will affect approximately 41 water systems operated by Quadvest.  For most of these systems, the rates </w:t>
      </w:r>
      <w:r w:rsidR="00EA5227">
        <w:rPr>
          <w:szCs w:val="24"/>
        </w:rPr>
        <w:t>ordered by the Commission in this</w:t>
      </w:r>
      <w:r>
        <w:rPr>
          <w:szCs w:val="24"/>
        </w:rPr>
        <w:t xml:space="preserve"> order will not be increased over the rates in place at the time of Quadvest’s application.  However, for the following systems the ordered rates will represent an increase:  Decker Oaks, Bayer Utility (Old Town Spring), Shaw Acres, and Caddo Village.</w:t>
      </w:r>
    </w:p>
    <w:p w:rsidR="00EE5DDA" w:rsidRPr="00A60161" w:rsidRDefault="00EE5DDA" w:rsidP="00EE5DDA">
      <w:pPr>
        <w:pStyle w:val="Heading1"/>
        <w:rPr>
          <w:rFonts w:cs="Times New Roman"/>
          <w:szCs w:val="24"/>
        </w:rPr>
      </w:pPr>
      <w:r w:rsidRPr="00A60161">
        <w:rPr>
          <w:rFonts w:cs="Times New Roman"/>
          <w:szCs w:val="24"/>
        </w:rPr>
        <w:lastRenderedPageBreak/>
        <w:t>Conclusions of Law</w:t>
      </w:r>
    </w:p>
    <w:p w:rsidR="00A60161" w:rsidRPr="00441B30" w:rsidRDefault="00A60161" w:rsidP="00441B30">
      <w:pPr>
        <w:pStyle w:val="COLNumbered"/>
      </w:pPr>
      <w:r w:rsidRPr="00441B30">
        <w:t xml:space="preserve">Quadvest is a public utility as defined in </w:t>
      </w:r>
      <w:r w:rsidR="009B6C2E" w:rsidRPr="00441B30">
        <w:t>Texas Water Code</w:t>
      </w:r>
      <w:r w:rsidRPr="00441B30">
        <w:t xml:space="preserve"> § 13.002(23).</w:t>
      </w:r>
    </w:p>
    <w:p w:rsidR="00A60161" w:rsidRPr="00441B30" w:rsidRDefault="00A60161" w:rsidP="00441B30">
      <w:pPr>
        <w:pStyle w:val="COLNumbered"/>
      </w:pPr>
      <w:r w:rsidRPr="00441B30">
        <w:t>The Commission has jurisdiction to co</w:t>
      </w:r>
      <w:r w:rsidR="009B6C2E" w:rsidRPr="00441B30">
        <w:t>nsider Quadvest’</w:t>
      </w:r>
      <w:r w:rsidRPr="00441B30">
        <w:t xml:space="preserve">s </w:t>
      </w:r>
      <w:r w:rsidR="009B6C2E" w:rsidRPr="00441B30">
        <w:t>application</w:t>
      </w:r>
      <w:r w:rsidRPr="00441B30">
        <w:t xml:space="preserve"> for a rate increase and conduct both formal and informal ratemaking hearings </w:t>
      </w:r>
      <w:r w:rsidR="00441B30" w:rsidRPr="00441B30">
        <w:t>in accordance with</w:t>
      </w:r>
      <w:r w:rsidRPr="00441B30">
        <w:t xml:space="preserve"> </w:t>
      </w:r>
      <w:r w:rsidR="009B6C2E" w:rsidRPr="00441B30">
        <w:t xml:space="preserve">TWC </w:t>
      </w:r>
      <w:r w:rsidRPr="00441B30">
        <w:t xml:space="preserve">§§ 13.041, 13.181, and 13.187 using procedures </w:t>
      </w:r>
      <w:r w:rsidR="00042AC4">
        <w:t>in the</w:t>
      </w:r>
      <w:r w:rsidRPr="00441B30">
        <w:t xml:space="preserve"> Commission</w:t>
      </w:r>
      <w:r w:rsidR="009B6C2E" w:rsidRPr="00441B30">
        <w:t xml:space="preserve">’s substantive rules, chapter 24, </w:t>
      </w:r>
      <w:r w:rsidRPr="00441B30">
        <w:t>effective September 1, 2014.</w:t>
      </w:r>
      <w:r w:rsidRPr="00042AC4">
        <w:rPr>
          <w:vertAlign w:val="superscript"/>
        </w:rPr>
        <w:t xml:space="preserve"> </w:t>
      </w:r>
    </w:p>
    <w:p w:rsidR="00441B30" w:rsidRPr="00441B30" w:rsidRDefault="00441B30" w:rsidP="00441B30">
      <w:pPr>
        <w:pStyle w:val="COLNumbered"/>
      </w:pPr>
      <w:r w:rsidRPr="00441B30">
        <w:t>Quadvest provided proper notice of the application as required by TWC § 13.187</w:t>
      </w:r>
      <w:r w:rsidR="00CF02C7">
        <w:t xml:space="preserve"> and </w:t>
      </w:r>
      <w:r w:rsidR="006477EE">
        <w:t>16 </w:t>
      </w:r>
      <w:r w:rsidR="004C5D60">
        <w:t>T</w:t>
      </w:r>
      <w:r w:rsidRPr="00441B30">
        <w:t>AC § 24.22</w:t>
      </w:r>
      <w:r w:rsidR="00CF02C7">
        <w:t>.</w:t>
      </w:r>
    </w:p>
    <w:p w:rsidR="00A60161" w:rsidRPr="00441B30" w:rsidRDefault="00A60161" w:rsidP="00441B30">
      <w:pPr>
        <w:pStyle w:val="COLNumbered"/>
      </w:pPr>
      <w:r w:rsidRPr="00441B30">
        <w:t xml:space="preserve">This docket was processed in accordance with the requirements of the </w:t>
      </w:r>
      <w:r w:rsidR="00773DE3">
        <w:t>TWC,</w:t>
      </w:r>
      <w:r w:rsidRPr="00441B30">
        <w:t xml:space="preserve"> the Administrative Procedure Act,</w:t>
      </w:r>
      <w:r w:rsidR="00773DE3">
        <w:rPr>
          <w:rStyle w:val="FootnoteReference"/>
        </w:rPr>
        <w:footnoteReference w:id="1"/>
      </w:r>
      <w:r w:rsidRPr="00441B30">
        <w:t xml:space="preserve"> and </w:t>
      </w:r>
      <w:r w:rsidR="004C5D60">
        <w:t xml:space="preserve">the </w:t>
      </w:r>
      <w:r w:rsidRPr="00441B30">
        <w:t>Commission</w:t>
      </w:r>
      <w:r w:rsidR="004C5D60">
        <w:t>’s</w:t>
      </w:r>
      <w:r w:rsidRPr="00441B30">
        <w:t xml:space="preserve"> rules.</w:t>
      </w:r>
    </w:p>
    <w:p w:rsidR="00A60161" w:rsidRPr="00441B30" w:rsidRDefault="00A60161" w:rsidP="00441B30">
      <w:pPr>
        <w:pStyle w:val="COLNumbered"/>
      </w:pPr>
      <w:r w:rsidRPr="00441B30">
        <w:t>This docket contains no remaining contested issues of fact or law.</w:t>
      </w:r>
    </w:p>
    <w:p w:rsidR="00A60161" w:rsidRPr="00441B30" w:rsidRDefault="00A60161" w:rsidP="00441B30">
      <w:pPr>
        <w:pStyle w:val="COLNumbered"/>
      </w:pPr>
      <w:r w:rsidRPr="00441B30">
        <w:t xml:space="preserve">The </w:t>
      </w:r>
      <w:r w:rsidR="00E82DA5" w:rsidRPr="00441B30">
        <w:t>agreement</w:t>
      </w:r>
      <w:r w:rsidRPr="00441B30">
        <w:t>, taken as a whole, is a just and reasonable resolution of all issues it addresses, results in just and reasonable rates, terms</w:t>
      </w:r>
      <w:r w:rsidR="00E82DA5" w:rsidRPr="00441B30">
        <w:t>,</w:t>
      </w:r>
      <w:r w:rsidRPr="00441B30">
        <w:t xml:space="preserve"> and conditions, is consistent with the relevant provisions of </w:t>
      </w:r>
      <w:r w:rsidR="00E82DA5" w:rsidRPr="00441B30">
        <w:t xml:space="preserve">TWC chapter </w:t>
      </w:r>
      <w:r w:rsidRPr="00441B30">
        <w:t>13</w:t>
      </w:r>
      <w:r w:rsidR="0097632F">
        <w:t>,</w:t>
      </w:r>
      <w:r w:rsidR="00773DE3">
        <w:t xml:space="preserve"> and should be approved</w:t>
      </w:r>
      <w:r w:rsidRPr="00441B30">
        <w:t>.</w:t>
      </w:r>
    </w:p>
    <w:p w:rsidR="00A60161" w:rsidRPr="00441B30" w:rsidRDefault="00A60161" w:rsidP="00441B30">
      <w:pPr>
        <w:pStyle w:val="COLNumbered"/>
      </w:pPr>
      <w:r w:rsidRPr="00441B30">
        <w:lastRenderedPageBreak/>
        <w:t xml:space="preserve">The rates agreed to in the </w:t>
      </w:r>
      <w:r w:rsidR="00E82DA5" w:rsidRPr="00441B30">
        <w:t>agreement</w:t>
      </w:r>
      <w:r w:rsidRPr="00441B30">
        <w:t xml:space="preserve"> are just and reasonable, comply with the ratemaking provisions </w:t>
      </w:r>
      <w:r w:rsidR="00E82DA5" w:rsidRPr="00441B30">
        <w:t>in TWC</w:t>
      </w:r>
      <w:r w:rsidRPr="00441B30">
        <w:t xml:space="preserve"> </w:t>
      </w:r>
      <w:r w:rsidR="00E82DA5" w:rsidRPr="00441B30">
        <w:t>chapter</w:t>
      </w:r>
      <w:r w:rsidRPr="00441B30">
        <w:t xml:space="preserve"> 13</w:t>
      </w:r>
      <w:r w:rsidR="0097632F">
        <w:t>,</w:t>
      </w:r>
      <w:r w:rsidRPr="00441B30">
        <w:t xml:space="preserve"> and are not unreasonably discriminatory, preferential, or prejudicial.</w:t>
      </w:r>
    </w:p>
    <w:p w:rsidR="00A60161" w:rsidRPr="00441B30" w:rsidRDefault="00A60161" w:rsidP="00441B30">
      <w:pPr>
        <w:pStyle w:val="COLNumbered"/>
      </w:pPr>
      <w:r w:rsidRPr="00441B30">
        <w:t xml:space="preserve">The rates resulting from the </w:t>
      </w:r>
      <w:r w:rsidR="00E82DA5" w:rsidRPr="00441B30">
        <w:t>agreement</w:t>
      </w:r>
      <w:r w:rsidRPr="00441B30">
        <w:t xml:space="preserve"> are just and reasonable and consistent with </w:t>
      </w:r>
      <w:r w:rsidR="00E82DA5" w:rsidRPr="00441B30">
        <w:t>TWC chapter 13.</w:t>
      </w:r>
    </w:p>
    <w:p w:rsidR="00E82DA5" w:rsidRPr="00441B30" w:rsidRDefault="00E82DA5" w:rsidP="00441B30">
      <w:pPr>
        <w:pStyle w:val="COLNumbered"/>
      </w:pPr>
      <w:r w:rsidRPr="00441B30">
        <w:t xml:space="preserve">The requirements for informal disposition </w:t>
      </w:r>
      <w:r w:rsidR="00F6390A" w:rsidRPr="00441B30">
        <w:t>under</w:t>
      </w:r>
      <w:r w:rsidRPr="00441B30">
        <w:t xml:space="preserve"> 16 TAC § 22.35 have been met in this proceeding.</w:t>
      </w:r>
    </w:p>
    <w:p w:rsidR="00EE5DDA" w:rsidRPr="00A60161" w:rsidRDefault="00EE5DDA" w:rsidP="00A60161">
      <w:pPr>
        <w:pStyle w:val="Heading1"/>
        <w:rPr>
          <w:rFonts w:cs="Times New Roman"/>
          <w:szCs w:val="24"/>
        </w:rPr>
      </w:pPr>
      <w:r w:rsidRPr="00A60161">
        <w:rPr>
          <w:rFonts w:cs="Times New Roman"/>
          <w:szCs w:val="24"/>
        </w:rPr>
        <w:t>Ordering Paragraphs</w:t>
      </w:r>
    </w:p>
    <w:p w:rsidR="008D1724" w:rsidRPr="00A60161" w:rsidRDefault="008D1724" w:rsidP="008D1724">
      <w:pPr>
        <w:pStyle w:val="BodyText"/>
      </w:pPr>
      <w:r w:rsidRPr="00A60161">
        <w:t>In accordance with these findings of fact and conclusions of law, the Commission issues the following order:</w:t>
      </w:r>
    </w:p>
    <w:p w:rsidR="00A60161" w:rsidRDefault="00E82DA5" w:rsidP="00B9766B">
      <w:pPr>
        <w:pStyle w:val="OrderingParagraph"/>
      </w:pPr>
      <w:r w:rsidRPr="00B9766B">
        <w:t>Quadvest’</w:t>
      </w:r>
      <w:r w:rsidR="00A60161" w:rsidRPr="00B9766B">
        <w:t xml:space="preserve">s application </w:t>
      </w:r>
      <w:r w:rsidRPr="00B9766B">
        <w:t>for</w:t>
      </w:r>
      <w:r w:rsidR="00A60161" w:rsidRPr="00B9766B">
        <w:t xml:space="preserve"> </w:t>
      </w:r>
      <w:r w:rsidR="004C5D60">
        <w:t xml:space="preserve">(a) </w:t>
      </w:r>
      <w:r w:rsidR="00A60161" w:rsidRPr="00B9766B">
        <w:t>authority to change its rates and tariff and (b) other related relief is approved consistent with the above findings of fact and conclusions of law</w:t>
      </w:r>
      <w:r w:rsidR="00705670" w:rsidRPr="00B9766B">
        <w:t xml:space="preserve">, the </w:t>
      </w:r>
      <w:r w:rsidR="004C5D60">
        <w:t xml:space="preserve">settlement </w:t>
      </w:r>
      <w:r w:rsidR="00705670" w:rsidRPr="00B9766B">
        <w:t>agreement, and this Order.</w:t>
      </w:r>
    </w:p>
    <w:p w:rsidR="00071767" w:rsidRPr="00B9766B" w:rsidRDefault="00071767" w:rsidP="00071767">
      <w:pPr>
        <w:pStyle w:val="OrderingParagraph"/>
      </w:pPr>
      <w:r>
        <w:t>Quadvest shall refund to all customers the total amount of $200,000 over a six-month period beginning with bills rendered in the next billing cycle after the date of this Order.</w:t>
      </w:r>
    </w:p>
    <w:p w:rsidR="00E82DA5" w:rsidRPr="00B9766B" w:rsidRDefault="00705670" w:rsidP="00B9766B">
      <w:pPr>
        <w:pStyle w:val="OrderingParagraph"/>
      </w:pPr>
      <w:r w:rsidRPr="00B9766B">
        <w:t xml:space="preserve">Consistent with the agreement, the </w:t>
      </w:r>
      <w:r w:rsidR="00E82DA5" w:rsidRPr="00B9766B">
        <w:t>r</w:t>
      </w:r>
      <w:r w:rsidR="00A60161" w:rsidRPr="00B9766B">
        <w:t>ates, terms, and conditions</w:t>
      </w:r>
      <w:r w:rsidRPr="00B9766B">
        <w:t xml:space="preserve"> </w:t>
      </w:r>
      <w:r w:rsidR="00234290" w:rsidRPr="00B9766B">
        <w:t xml:space="preserve">in the </w:t>
      </w:r>
      <w:r w:rsidR="00A60161" w:rsidRPr="00B9766B">
        <w:t xml:space="preserve">tariff </w:t>
      </w:r>
      <w:r w:rsidR="00E82DA5" w:rsidRPr="00B9766B">
        <w:t>attached to this Order as Attachment 1 is approved.</w:t>
      </w:r>
    </w:p>
    <w:p w:rsidR="00A60161" w:rsidRPr="00B9766B" w:rsidRDefault="000A7DDB" w:rsidP="00B9766B">
      <w:pPr>
        <w:pStyle w:val="OrderingParagraph"/>
      </w:pPr>
      <w:r>
        <w:lastRenderedPageBreak/>
        <w:t>Consistent with the agreement, Quadvest is authorized to collect the difference between the correct groundwater pass-th</w:t>
      </w:r>
      <w:r w:rsidR="0097632F">
        <w:t xml:space="preserve">rough fee and the incorrect </w:t>
      </w:r>
      <w:r>
        <w:t>pass-through fee that was included in Quadvest’s interim tariff.  This difference should be collected over a period of time equal to the period during which the pass-through fee was under-collected.</w:t>
      </w:r>
    </w:p>
    <w:p w:rsidR="00A60161" w:rsidRPr="00B9766B" w:rsidRDefault="00A60161" w:rsidP="00B9766B">
      <w:pPr>
        <w:pStyle w:val="OrderingParagraph"/>
      </w:pPr>
      <w:r w:rsidRPr="00B9766B">
        <w:t>Entry of this Order d</w:t>
      </w:r>
      <w:r w:rsidR="00E82DA5" w:rsidRPr="00B9766B">
        <w:t>oes not indicate the Commission’</w:t>
      </w:r>
      <w:r w:rsidRPr="00B9766B">
        <w:t xml:space="preserve">s endorsement or approval of any principle or methodology that may underlie the </w:t>
      </w:r>
      <w:r w:rsidR="00E82DA5" w:rsidRPr="00B9766B">
        <w:t>agreement</w:t>
      </w:r>
      <w:r w:rsidRPr="00B9766B">
        <w:t xml:space="preserve">. </w:t>
      </w:r>
      <w:r w:rsidR="00E82DA5" w:rsidRPr="00B9766B">
        <w:t xml:space="preserve"> </w:t>
      </w:r>
      <w:r w:rsidRPr="00B9766B">
        <w:t xml:space="preserve">Entry of this Order shall not be regarded as binding holding or precedent as to the appropriateness of any principle or methodology underlying the </w:t>
      </w:r>
      <w:r w:rsidR="00E82DA5" w:rsidRPr="00B9766B">
        <w:t>agreement</w:t>
      </w:r>
      <w:r w:rsidRPr="00B9766B">
        <w:t>.</w:t>
      </w:r>
    </w:p>
    <w:p w:rsidR="00A60161" w:rsidRPr="00B9766B" w:rsidRDefault="00A60161" w:rsidP="00B9766B">
      <w:pPr>
        <w:pStyle w:val="OrderingParagraph"/>
      </w:pPr>
      <w:r w:rsidRPr="00B9766B">
        <w:t>All other motions, requests for entry of specific findings of fact, conclusions of law, and ordering paragraphs, and any other requests for general or specific relief, if not expressly granted</w:t>
      </w:r>
      <w:r w:rsidR="004C5D60">
        <w:t>,</w:t>
      </w:r>
      <w:r w:rsidRPr="00B9766B">
        <w:t xml:space="preserve"> are denied.</w:t>
      </w:r>
    </w:p>
    <w:p w:rsidR="00160DCD" w:rsidRPr="00A60161" w:rsidRDefault="00160DCD" w:rsidP="00433B5E"/>
    <w:p w:rsidR="00160DCD" w:rsidRPr="00A60161" w:rsidRDefault="00160DCD" w:rsidP="00160DCD">
      <w:pPr>
        <w:pStyle w:val="Dateline"/>
      </w:pPr>
      <w:r w:rsidRPr="00A60161">
        <w:t xml:space="preserve">Signed at Austin, Texas the ______ day of </w:t>
      </w:r>
      <w:r w:rsidR="00E82DA5">
        <w:t>January</w:t>
      </w:r>
      <w:r w:rsidRPr="00A60161">
        <w:t xml:space="preserve"> </w:t>
      </w:r>
      <w:r w:rsidR="00E82DA5">
        <w:t>2017</w:t>
      </w:r>
      <w:r w:rsidR="008D1724" w:rsidRPr="00A60161">
        <w:t>.</w:t>
      </w:r>
    </w:p>
    <w:p w:rsidR="00160DCD" w:rsidRPr="00A60161" w:rsidRDefault="00160DCD" w:rsidP="008D1724">
      <w:pPr>
        <w:pStyle w:val="Dateline"/>
      </w:pPr>
    </w:p>
    <w:p w:rsidR="00160DCD" w:rsidRPr="00A60161" w:rsidRDefault="00160DCD" w:rsidP="00160DCD">
      <w:pPr>
        <w:pStyle w:val="Signatures"/>
      </w:pPr>
      <w:r w:rsidRPr="00A60161">
        <w:t>PUBLIC UTILITY COMMISSION OF TEXAS</w:t>
      </w:r>
    </w:p>
    <w:p w:rsidR="00160DCD" w:rsidRPr="00A60161" w:rsidRDefault="00160DCD" w:rsidP="00160DCD">
      <w:pPr>
        <w:pStyle w:val="Signatures"/>
      </w:pPr>
    </w:p>
    <w:p w:rsidR="00160DCD" w:rsidRPr="00A60161" w:rsidRDefault="00160DCD" w:rsidP="00160DCD">
      <w:pPr>
        <w:pStyle w:val="Signatures"/>
      </w:pPr>
    </w:p>
    <w:p w:rsidR="00160DCD" w:rsidRPr="00A60161" w:rsidRDefault="00160DCD" w:rsidP="00160DCD">
      <w:pPr>
        <w:pStyle w:val="Signatures"/>
      </w:pPr>
    </w:p>
    <w:p w:rsidR="00160DCD" w:rsidRPr="00A60161" w:rsidRDefault="00160DCD" w:rsidP="00160DCD">
      <w:pPr>
        <w:pStyle w:val="Signatures"/>
      </w:pPr>
      <w:r w:rsidRPr="00A60161">
        <w:t>______________________________________________</w:t>
      </w:r>
    </w:p>
    <w:p w:rsidR="00160DCD" w:rsidRPr="00A60161" w:rsidRDefault="00160DCD" w:rsidP="00160DCD">
      <w:pPr>
        <w:pStyle w:val="Signatures"/>
      </w:pPr>
      <w:r w:rsidRPr="00A60161">
        <w:t>DONNA L. NELSON, CHAIRMAN</w:t>
      </w:r>
    </w:p>
    <w:p w:rsidR="00160DCD" w:rsidRPr="00A60161" w:rsidRDefault="00160DCD" w:rsidP="00160DCD">
      <w:pPr>
        <w:pStyle w:val="Signatures"/>
      </w:pPr>
    </w:p>
    <w:p w:rsidR="00160DCD" w:rsidRPr="00A60161" w:rsidRDefault="00160DCD" w:rsidP="00160DCD">
      <w:pPr>
        <w:pStyle w:val="Signatures"/>
      </w:pPr>
    </w:p>
    <w:p w:rsidR="00160DCD" w:rsidRPr="00A60161" w:rsidRDefault="00160DCD" w:rsidP="00160DCD">
      <w:pPr>
        <w:pStyle w:val="Signatures"/>
      </w:pPr>
    </w:p>
    <w:p w:rsidR="00160DCD" w:rsidRPr="00A60161" w:rsidRDefault="00160DCD" w:rsidP="00160DCD">
      <w:pPr>
        <w:pStyle w:val="Signatures"/>
      </w:pPr>
      <w:r w:rsidRPr="00A60161">
        <w:t>______________________________________________</w:t>
      </w:r>
    </w:p>
    <w:p w:rsidR="00160DCD" w:rsidRPr="00A60161" w:rsidRDefault="00160DCD" w:rsidP="00160DCD">
      <w:pPr>
        <w:pStyle w:val="Signatures"/>
      </w:pPr>
      <w:r w:rsidRPr="00A60161">
        <w:t>KENNETH W. ANDERSON, JR., COMMISSIONER</w:t>
      </w:r>
    </w:p>
    <w:p w:rsidR="00160DCD" w:rsidRPr="00A60161" w:rsidRDefault="00160DCD" w:rsidP="00160DCD">
      <w:pPr>
        <w:pStyle w:val="Signatures"/>
      </w:pPr>
    </w:p>
    <w:p w:rsidR="00160DCD" w:rsidRPr="00A60161" w:rsidRDefault="00160DCD" w:rsidP="00160DCD">
      <w:pPr>
        <w:pStyle w:val="Signatures"/>
      </w:pPr>
    </w:p>
    <w:p w:rsidR="00160DCD" w:rsidRPr="00A60161" w:rsidRDefault="00160DCD" w:rsidP="00160DCD">
      <w:pPr>
        <w:pStyle w:val="Signatures"/>
      </w:pPr>
    </w:p>
    <w:p w:rsidR="00160DCD" w:rsidRPr="00A60161" w:rsidRDefault="00FF1816" w:rsidP="00160DCD">
      <w:pPr>
        <w:pStyle w:val="Signatures"/>
      </w:pPr>
      <w:r w:rsidRPr="00A60161">
        <w:t>______________________________________________</w:t>
      </w:r>
    </w:p>
    <w:p w:rsidR="00160DCD" w:rsidRPr="00A60161" w:rsidRDefault="00FF1816" w:rsidP="00160DCD">
      <w:pPr>
        <w:pStyle w:val="Signatures"/>
      </w:pPr>
      <w:r w:rsidRPr="00A60161">
        <w:t>BRANDY MARTY MARQUEZ</w:t>
      </w:r>
      <w:r w:rsidR="00160DCD" w:rsidRPr="00A60161">
        <w:t>, COMMISSIONER</w:t>
      </w:r>
    </w:p>
    <w:p w:rsidR="00160DCD" w:rsidRPr="00A60161" w:rsidRDefault="00160DCD" w:rsidP="00160DCD"/>
    <w:p w:rsidR="00160DCD" w:rsidRPr="00A60161" w:rsidRDefault="00160DCD" w:rsidP="00160DCD"/>
    <w:p w:rsidR="00160DCD" w:rsidRPr="00A60161" w:rsidRDefault="00160DCD" w:rsidP="00160DCD"/>
    <w:p w:rsidR="00FE4318" w:rsidRPr="00E82DA5" w:rsidRDefault="00E82DA5" w:rsidP="0062202F">
      <w:pPr>
        <w:pStyle w:val="EndMatter"/>
        <w:rPr>
          <w:sz w:val="16"/>
          <w:szCs w:val="16"/>
        </w:rPr>
      </w:pPr>
      <w:r w:rsidRPr="00E82DA5">
        <w:rPr>
          <w:sz w:val="16"/>
          <w:szCs w:val="16"/>
        </w:rPr>
        <w:t>w2013</w:t>
      </w:r>
    </w:p>
    <w:p w:rsidR="00160DCD" w:rsidRPr="00E82DA5" w:rsidRDefault="001724A8" w:rsidP="0062202F">
      <w:pPr>
        <w:pStyle w:val="EndMatter"/>
        <w:rPr>
          <w:sz w:val="16"/>
          <w:szCs w:val="16"/>
        </w:rPr>
      </w:pPr>
      <w:r w:rsidRPr="00E82DA5">
        <w:rPr>
          <w:sz w:val="16"/>
          <w:szCs w:val="16"/>
        </w:rPr>
        <w:fldChar w:fldCharType="begin"/>
      </w:r>
      <w:r w:rsidRPr="00E82DA5">
        <w:rPr>
          <w:sz w:val="16"/>
          <w:szCs w:val="16"/>
        </w:rPr>
        <w:instrText xml:space="preserve"> FILENAME  \* Lower \p  \* MERGEFORMAT </w:instrText>
      </w:r>
      <w:r w:rsidRPr="00E82DA5">
        <w:rPr>
          <w:sz w:val="16"/>
          <w:szCs w:val="16"/>
        </w:rPr>
        <w:fldChar w:fldCharType="separate"/>
      </w:r>
      <w:r w:rsidR="00455EFB">
        <w:rPr>
          <w:noProof/>
          <w:sz w:val="16"/>
          <w:szCs w:val="16"/>
        </w:rPr>
        <w:t>q:\cadm\orders\final\44000\44809fo.docx</w:t>
      </w:r>
      <w:r w:rsidRPr="00E82DA5">
        <w:rPr>
          <w:noProof/>
          <w:sz w:val="16"/>
          <w:szCs w:val="16"/>
        </w:rPr>
        <w:fldChar w:fldCharType="end"/>
      </w:r>
    </w:p>
    <w:p w:rsidR="00160DCD" w:rsidRPr="00A60161" w:rsidRDefault="00160DCD" w:rsidP="0062202F">
      <w:pPr>
        <w:pStyle w:val="EndMatter"/>
        <w:rPr>
          <w:sz w:val="24"/>
          <w:szCs w:val="24"/>
        </w:rPr>
      </w:pPr>
    </w:p>
    <w:sectPr w:rsidR="00160DCD" w:rsidRPr="00A60161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FA9" w:rsidRDefault="00792FA9" w:rsidP="00D03394">
      <w:r>
        <w:separator/>
      </w:r>
    </w:p>
  </w:endnote>
  <w:endnote w:type="continuationSeparator" w:id="0">
    <w:p w:rsidR="00792FA9" w:rsidRDefault="00792FA9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FA9" w:rsidRDefault="00792FA9" w:rsidP="00D03394">
      <w:r>
        <w:separator/>
      </w:r>
    </w:p>
  </w:footnote>
  <w:footnote w:type="continuationSeparator" w:id="0">
    <w:p w:rsidR="00792FA9" w:rsidRDefault="00792FA9" w:rsidP="00D03394">
      <w:r>
        <w:continuationSeparator/>
      </w:r>
    </w:p>
  </w:footnote>
  <w:footnote w:id="1">
    <w:p w:rsidR="00773DE3" w:rsidRDefault="00773DE3" w:rsidP="00773DE3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</w:t>
      </w:r>
      <w:r w:rsidR="00CF02C7">
        <w:t>Tex. Gov’t Code Ann. §§ 2001.001-.902 (West 2016).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455EFB">
    <w:pPr>
      <w:pStyle w:val="Header"/>
      <w:tabs>
        <w:tab w:val="clear" w:pos="4680"/>
        <w:tab w:val="center" w:pos="5040"/>
      </w:tabs>
    </w:pPr>
    <w:r>
      <w:t>PUC Docket No. </w:t>
    </w:r>
    <w:r w:rsidR="004D716B">
      <w:t>44809</w:t>
    </w:r>
    <w:r>
      <w:tab/>
    </w:r>
    <w:r w:rsidR="004D716B"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D02273">
      <w:rPr>
        <w:noProof/>
      </w:rPr>
      <w:t>2</w:t>
    </w:r>
    <w:r>
      <w:fldChar w:fldCharType="end"/>
    </w:r>
    <w:r>
      <w:t xml:space="preserve"> of </w:t>
    </w:r>
    <w:r w:rsidR="00D02273">
      <w:fldChar w:fldCharType="begin"/>
    </w:r>
    <w:r w:rsidR="00D02273">
      <w:instrText xml:space="preserve"> NUMPAGES   \* MERGEFORMAT </w:instrText>
    </w:r>
    <w:r w:rsidR="00D02273">
      <w:fldChar w:fldCharType="separate"/>
    </w:r>
    <w:r w:rsidR="00D02273">
      <w:rPr>
        <w:noProof/>
      </w:rPr>
      <w:t>7</w:t>
    </w:r>
    <w:r w:rsidR="00D02273">
      <w:rPr>
        <w:noProof/>
      </w:rPr>
      <w:fldChar w:fldCharType="end"/>
    </w:r>
  </w:p>
  <w:p w:rsidR="00ED04FC" w:rsidRDefault="00ED04FC">
    <w:pPr>
      <w:pStyle w:val="Header"/>
    </w:pPr>
    <w:r>
      <w:t>SOAH Docket No. 473-16-</w:t>
    </w:r>
    <w:r w:rsidR="004D716B">
      <w:t>1848.WS</w:t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23AA3"/>
    <w:multiLevelType w:val="multilevel"/>
    <w:tmpl w:val="692A11D0"/>
    <w:lvl w:ilvl="0">
      <w:start w:val="5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6B1612"/>
    <w:multiLevelType w:val="multilevel"/>
    <w:tmpl w:val="BAEC99DE"/>
    <w:lvl w:ilvl="0">
      <w:start w:val="17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250F17"/>
    <w:multiLevelType w:val="multilevel"/>
    <w:tmpl w:val="26829D98"/>
    <w:lvl w:ilvl="0">
      <w:start w:val="3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 w15:restartNumberingAfterBreak="0">
    <w:nsid w:val="0B184E76"/>
    <w:multiLevelType w:val="multilevel"/>
    <w:tmpl w:val="88444400"/>
    <w:lvl w:ilvl="0">
      <w:start w:val="1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461379"/>
    <w:multiLevelType w:val="multilevel"/>
    <w:tmpl w:val="89E6E1FC"/>
    <w:lvl w:ilvl="0">
      <w:start w:val="1"/>
      <w:numFmt w:val="lowerLetter"/>
      <w:lvlText w:val="%1."/>
      <w:lvlJc w:val="left"/>
      <w:pPr>
        <w:tabs>
          <w:tab w:val="left" w:pos="648"/>
        </w:tabs>
        <w:ind w:left="720"/>
      </w:pPr>
      <w:rPr>
        <w:rFonts w:ascii="Verdana" w:eastAsia="Verdana" w:hAnsi="Verdana"/>
        <w:b/>
        <w:strike w:val="0"/>
        <w:color w:val="000000"/>
        <w:spacing w:val="0"/>
        <w:w w:val="100"/>
        <w:sz w:val="1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4276A"/>
    <w:multiLevelType w:val="multilevel"/>
    <w:tmpl w:val="8436AC3C"/>
    <w:lvl w:ilvl="0">
      <w:start w:val="1"/>
      <w:numFmt w:val="upperLetter"/>
      <w:lvlText w:val="(%1)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1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1A4DC0"/>
    <w:multiLevelType w:val="multilevel"/>
    <w:tmpl w:val="0DEEEA1E"/>
    <w:lvl w:ilvl="0">
      <w:start w:val="12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B00206"/>
    <w:multiLevelType w:val="multilevel"/>
    <w:tmpl w:val="88164768"/>
    <w:lvl w:ilvl="0">
      <w:start w:val="1"/>
      <w:numFmt w:val="lowerLetter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D41ACB"/>
    <w:multiLevelType w:val="multilevel"/>
    <w:tmpl w:val="109CA42C"/>
    <w:lvl w:ilvl="0">
      <w:start w:val="1"/>
      <w:numFmt w:val="decimal"/>
      <w:lvlText w:val="%1&quot;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b/>
        <w:i/>
        <w:strike w:val="0"/>
        <w:color w:val="000000"/>
        <w:spacing w:val="0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2" w15:restartNumberingAfterBreak="0">
    <w:nsid w:val="4A2D53C0"/>
    <w:multiLevelType w:val="multilevel"/>
    <w:tmpl w:val="4FEA3858"/>
    <w:lvl w:ilvl="0">
      <w:start w:val="33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52D5C4A"/>
    <w:multiLevelType w:val="multilevel"/>
    <w:tmpl w:val="7F1E3718"/>
    <w:lvl w:ilvl="0">
      <w:start w:val="3"/>
      <w:numFmt w:val="decimal"/>
      <w:lvlText w:val="%1."/>
      <w:lvlJc w:val="left"/>
      <w:pPr>
        <w:tabs>
          <w:tab w:val="left" w:pos="648"/>
        </w:tabs>
        <w:ind w:left="720"/>
      </w:pPr>
      <w:rPr>
        <w:rFonts w:ascii="Verdana" w:eastAsia="Verdana" w:hAnsi="Verdana"/>
        <w:strike w:val="0"/>
        <w:color w:val="000000"/>
        <w:spacing w:val="-12"/>
        <w:w w:val="100"/>
        <w:sz w:val="19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6B0789B"/>
    <w:multiLevelType w:val="multilevel"/>
    <w:tmpl w:val="563CB6E8"/>
    <w:lvl w:ilvl="0">
      <w:start w:val="4"/>
      <w:numFmt w:val="decimal"/>
      <w:lvlText w:val="%1&quot;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6375F"/>
    <w:multiLevelType w:val="multilevel"/>
    <w:tmpl w:val="E5662736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8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18"/>
  </w:num>
  <w:num w:numId="5">
    <w:abstractNumId w:val="11"/>
  </w:num>
  <w:num w:numId="6">
    <w:abstractNumId w:val="15"/>
  </w:num>
  <w:num w:numId="7">
    <w:abstractNumId w:val="17"/>
  </w:num>
  <w:num w:numId="8">
    <w:abstractNumId w:val="4"/>
  </w:num>
  <w:num w:numId="9">
    <w:abstractNumId w:val="7"/>
  </w:num>
  <w:num w:numId="10">
    <w:abstractNumId w:val="2"/>
  </w:num>
  <w:num w:numId="11">
    <w:abstractNumId w:val="8"/>
  </w:num>
  <w:num w:numId="12">
    <w:abstractNumId w:val="5"/>
  </w:num>
  <w:num w:numId="13">
    <w:abstractNumId w:val="1"/>
  </w:num>
  <w:num w:numId="14">
    <w:abstractNumId w:val="9"/>
  </w:num>
  <w:num w:numId="15">
    <w:abstractNumId w:val="14"/>
  </w:num>
  <w:num w:numId="16">
    <w:abstractNumId w:val="10"/>
  </w:num>
  <w:num w:numId="17">
    <w:abstractNumId w:val="12"/>
  </w:num>
  <w:num w:numId="18">
    <w:abstractNumId w:val="13"/>
  </w:num>
  <w:num w:numId="19">
    <w:abstractNumId w:val="0"/>
  </w:num>
  <w:num w:numId="20">
    <w:abstractNumId w:val="16"/>
  </w:num>
  <w:num w:numId="21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FA9"/>
    <w:rsid w:val="00042AC4"/>
    <w:rsid w:val="00071767"/>
    <w:rsid w:val="000A7DDB"/>
    <w:rsid w:val="000B7A9E"/>
    <w:rsid w:val="000D2892"/>
    <w:rsid w:val="000E5DBE"/>
    <w:rsid w:val="000E65CB"/>
    <w:rsid w:val="001169CA"/>
    <w:rsid w:val="001173FD"/>
    <w:rsid w:val="00125709"/>
    <w:rsid w:val="00134FC8"/>
    <w:rsid w:val="00160DCD"/>
    <w:rsid w:val="001724A8"/>
    <w:rsid w:val="001B585A"/>
    <w:rsid w:val="001D4F4B"/>
    <w:rsid w:val="001E360C"/>
    <w:rsid w:val="00234290"/>
    <w:rsid w:val="00266F9F"/>
    <w:rsid w:val="0027142E"/>
    <w:rsid w:val="00285172"/>
    <w:rsid w:val="00312838"/>
    <w:rsid w:val="00427340"/>
    <w:rsid w:val="00433B5E"/>
    <w:rsid w:val="00441B30"/>
    <w:rsid w:val="00455EFB"/>
    <w:rsid w:val="004C5D60"/>
    <w:rsid w:val="004D0DFD"/>
    <w:rsid w:val="004D716B"/>
    <w:rsid w:val="004E082A"/>
    <w:rsid w:val="005973CD"/>
    <w:rsid w:val="005B76AC"/>
    <w:rsid w:val="005C3512"/>
    <w:rsid w:val="0062202F"/>
    <w:rsid w:val="006477EE"/>
    <w:rsid w:val="00677B5E"/>
    <w:rsid w:val="00693664"/>
    <w:rsid w:val="00705670"/>
    <w:rsid w:val="007572FC"/>
    <w:rsid w:val="00773DE3"/>
    <w:rsid w:val="00792FA9"/>
    <w:rsid w:val="0080046C"/>
    <w:rsid w:val="008328D8"/>
    <w:rsid w:val="00866F47"/>
    <w:rsid w:val="008738BF"/>
    <w:rsid w:val="008C3F0B"/>
    <w:rsid w:val="008D1724"/>
    <w:rsid w:val="009476A7"/>
    <w:rsid w:val="009727E0"/>
    <w:rsid w:val="0097632F"/>
    <w:rsid w:val="00977E8E"/>
    <w:rsid w:val="0099213C"/>
    <w:rsid w:val="009B6C2E"/>
    <w:rsid w:val="009C1919"/>
    <w:rsid w:val="009C309E"/>
    <w:rsid w:val="009D1D01"/>
    <w:rsid w:val="00A02161"/>
    <w:rsid w:val="00A035EA"/>
    <w:rsid w:val="00A40798"/>
    <w:rsid w:val="00A53ECB"/>
    <w:rsid w:val="00A60161"/>
    <w:rsid w:val="00B22348"/>
    <w:rsid w:val="00B3510C"/>
    <w:rsid w:val="00B52E33"/>
    <w:rsid w:val="00B71CA8"/>
    <w:rsid w:val="00B961B5"/>
    <w:rsid w:val="00B9766B"/>
    <w:rsid w:val="00C34993"/>
    <w:rsid w:val="00C54659"/>
    <w:rsid w:val="00CF02C7"/>
    <w:rsid w:val="00D02273"/>
    <w:rsid w:val="00D03394"/>
    <w:rsid w:val="00D1503F"/>
    <w:rsid w:val="00D451DC"/>
    <w:rsid w:val="00D706B4"/>
    <w:rsid w:val="00D77321"/>
    <w:rsid w:val="00DC0A95"/>
    <w:rsid w:val="00DF585B"/>
    <w:rsid w:val="00E546B9"/>
    <w:rsid w:val="00E63B70"/>
    <w:rsid w:val="00E82DA5"/>
    <w:rsid w:val="00EA5227"/>
    <w:rsid w:val="00EB3FB6"/>
    <w:rsid w:val="00EC1525"/>
    <w:rsid w:val="00ED04FC"/>
    <w:rsid w:val="00EE5DDA"/>
    <w:rsid w:val="00F24380"/>
    <w:rsid w:val="00F6390A"/>
    <w:rsid w:val="00F7365E"/>
    <w:rsid w:val="00FA1E83"/>
    <w:rsid w:val="00FA2121"/>
    <w:rsid w:val="00FA60FF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773FA-0C37-47E6-94B3-594F15C64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1814</Words>
  <Characters>10343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2017-01-17T13:58:00Z</dcterms:created>
  <dcterms:modified xsi:type="dcterms:W3CDTF">2017-01-26T20:43:00Z</dcterms:modified>
  <cp:contentStatus/>
</cp:coreProperties>
</file>