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81C" w:rsidRPr="008C6FBE" w:rsidRDefault="00A4081C" w:rsidP="007713E7">
      <w:pPr>
        <w:pStyle w:val="DocketNumber"/>
        <w:spacing w:after="240"/>
        <w:rPr>
          <w:bCs/>
          <w:color w:val="000000" w:themeColor="text1"/>
        </w:rPr>
      </w:pPr>
      <w:bookmarkStart w:id="0" w:name="_GoBack"/>
      <w:bookmarkEnd w:id="0"/>
      <w:r w:rsidRPr="008C6FBE">
        <w:rPr>
          <w:color w:val="000000" w:themeColor="text1"/>
        </w:rPr>
        <w:t xml:space="preserve">Docket No. </w:t>
      </w:r>
      <w:r>
        <w:rPr>
          <w:color w:val="000000" w:themeColor="text1"/>
        </w:rPr>
        <w:t>44484</w:t>
      </w:r>
    </w:p>
    <w:tbl>
      <w:tblPr>
        <w:tblW w:w="9184" w:type="dxa"/>
        <w:jc w:val="center"/>
        <w:tblLayout w:type="fixed"/>
        <w:tblLook w:val="01E0" w:firstRow="1" w:lastRow="1" w:firstColumn="1" w:lastColumn="1" w:noHBand="0" w:noVBand="0"/>
      </w:tblPr>
      <w:tblGrid>
        <w:gridCol w:w="4500"/>
        <w:gridCol w:w="281"/>
        <w:gridCol w:w="4403"/>
      </w:tblGrid>
      <w:tr w:rsidR="00A4081C" w:rsidRPr="008C6FBE" w:rsidTr="00D04F0B">
        <w:trPr>
          <w:trHeight w:val="927"/>
          <w:jc w:val="center"/>
        </w:trPr>
        <w:tc>
          <w:tcPr>
            <w:tcW w:w="4500" w:type="dxa"/>
          </w:tcPr>
          <w:p w:rsidR="00A4081C" w:rsidRPr="008C6FBE" w:rsidRDefault="00A4081C" w:rsidP="00A4081C">
            <w:pPr>
              <w:ind w:left="-90"/>
              <w:rPr>
                <w:b/>
                <w:szCs w:val="24"/>
              </w:rPr>
            </w:pPr>
            <w:r w:rsidRPr="002D5E5C">
              <w:rPr>
                <w:b/>
                <w:szCs w:val="24"/>
              </w:rPr>
              <w:t>REQUEST BY MARYANNE THERIOT PURSUANT TO TEXAS WATER CODE §</w:t>
            </w:r>
            <w:r>
              <w:rPr>
                <w:b/>
                <w:szCs w:val="24"/>
              </w:rPr>
              <w:t> </w:t>
            </w:r>
            <w:r w:rsidRPr="002D5E5C">
              <w:rPr>
                <w:b/>
                <w:szCs w:val="24"/>
              </w:rPr>
              <w:t>13.004 REGARDING ETOILE WATER SUPPLY CORPORATION</w:t>
            </w:r>
          </w:p>
        </w:tc>
        <w:tc>
          <w:tcPr>
            <w:tcW w:w="281" w:type="dxa"/>
          </w:tcPr>
          <w:p w:rsidR="00A4081C" w:rsidRPr="008C6FBE" w:rsidRDefault="00A4081C" w:rsidP="00B57E03">
            <w:pPr>
              <w:rPr>
                <w:rStyle w:val="StyleBold"/>
                <w:rFonts w:eastAsia="SimSun"/>
              </w:rPr>
            </w:pPr>
            <w:r w:rsidRPr="008C6FBE">
              <w:rPr>
                <w:rStyle w:val="StyleBold"/>
                <w:rFonts w:eastAsia="SimSun"/>
              </w:rPr>
              <w:t>§</w:t>
            </w:r>
          </w:p>
          <w:p w:rsidR="00A4081C" w:rsidRPr="008C6FBE" w:rsidRDefault="00A4081C" w:rsidP="00B57E03">
            <w:pPr>
              <w:rPr>
                <w:rStyle w:val="StyleBold"/>
                <w:rFonts w:eastAsia="SimSun"/>
              </w:rPr>
            </w:pPr>
            <w:r w:rsidRPr="008C6FBE">
              <w:rPr>
                <w:rStyle w:val="StyleBold"/>
                <w:rFonts w:eastAsia="SimSun"/>
              </w:rPr>
              <w:t>§</w:t>
            </w:r>
          </w:p>
          <w:p w:rsidR="00A4081C" w:rsidRDefault="00A4081C" w:rsidP="00B57E03">
            <w:pPr>
              <w:rPr>
                <w:rStyle w:val="StyleBold"/>
                <w:rFonts w:eastAsia="SimSun"/>
              </w:rPr>
            </w:pPr>
            <w:r w:rsidRPr="008C6FBE">
              <w:rPr>
                <w:rStyle w:val="StyleBold"/>
                <w:rFonts w:eastAsia="SimSun"/>
              </w:rPr>
              <w:t>§</w:t>
            </w:r>
          </w:p>
          <w:p w:rsidR="00A4081C" w:rsidRPr="008C6FBE" w:rsidRDefault="00A4081C" w:rsidP="00B57E03">
            <w:pPr>
              <w:rPr>
                <w:rFonts w:eastAsia="SimSun"/>
                <w:b/>
                <w:bCs/>
                <w:caps/>
                <w:szCs w:val="24"/>
              </w:rPr>
            </w:pPr>
            <w:r w:rsidRPr="008C6FBE">
              <w:rPr>
                <w:rStyle w:val="StyleBold"/>
                <w:rFonts w:eastAsia="SimSun"/>
              </w:rPr>
              <w:t>§</w:t>
            </w:r>
          </w:p>
        </w:tc>
        <w:tc>
          <w:tcPr>
            <w:tcW w:w="4403" w:type="dxa"/>
          </w:tcPr>
          <w:p w:rsidR="00A4081C" w:rsidRPr="008C6FBE" w:rsidRDefault="00A4081C" w:rsidP="00B57E03">
            <w:pPr>
              <w:jc w:val="center"/>
              <w:rPr>
                <w:rFonts w:eastAsia="SimSun"/>
                <w:b/>
                <w:caps/>
                <w:szCs w:val="24"/>
              </w:rPr>
            </w:pPr>
            <w:r w:rsidRPr="008C6FBE">
              <w:rPr>
                <w:rFonts w:eastAsia="SimSun"/>
                <w:b/>
                <w:caps/>
                <w:szCs w:val="24"/>
              </w:rPr>
              <w:t>Public Utility Commission</w:t>
            </w:r>
          </w:p>
          <w:p w:rsidR="00A4081C" w:rsidRPr="008C6FBE" w:rsidRDefault="00A4081C" w:rsidP="00B57E03">
            <w:pPr>
              <w:jc w:val="center"/>
              <w:rPr>
                <w:rFonts w:eastAsia="SimSun"/>
                <w:b/>
                <w:caps/>
                <w:szCs w:val="24"/>
              </w:rPr>
            </w:pPr>
          </w:p>
          <w:p w:rsidR="00A4081C" w:rsidRPr="008C6FBE" w:rsidRDefault="00A4081C" w:rsidP="00B57E03">
            <w:pPr>
              <w:jc w:val="center"/>
              <w:rPr>
                <w:rFonts w:eastAsia="SimSun"/>
                <w:szCs w:val="24"/>
              </w:rPr>
            </w:pPr>
            <w:r w:rsidRPr="008C6FBE">
              <w:rPr>
                <w:rFonts w:eastAsia="SimSun"/>
                <w:b/>
                <w:caps/>
                <w:szCs w:val="24"/>
              </w:rPr>
              <w:t>of Texas</w:t>
            </w:r>
          </w:p>
        </w:tc>
      </w:tr>
    </w:tbl>
    <w:p w:rsidR="00E416D1" w:rsidRDefault="00E416D1" w:rsidP="00E416D1">
      <w:pPr>
        <w:pStyle w:val="OrderTitle"/>
        <w:spacing w:before="0" w:after="0" w:line="360" w:lineRule="auto"/>
        <w:rPr>
          <w:color w:val="000000"/>
          <w:spacing w:val="-11"/>
        </w:rPr>
      </w:pPr>
    </w:p>
    <w:p w:rsidR="00656263" w:rsidRDefault="00211D02" w:rsidP="00A9726D">
      <w:pPr>
        <w:pStyle w:val="OrderTitle"/>
        <w:spacing w:before="0" w:after="240"/>
        <w:rPr>
          <w:color w:val="000000"/>
          <w:spacing w:val="-8"/>
        </w:rPr>
      </w:pPr>
      <w:r>
        <w:rPr>
          <w:color w:val="000000"/>
          <w:spacing w:val="-11"/>
        </w:rPr>
        <w:t>order</w:t>
      </w:r>
    </w:p>
    <w:p w:rsidR="00CA561A" w:rsidRPr="00A01571" w:rsidRDefault="00211D02" w:rsidP="00A9726D">
      <w:pPr>
        <w:pStyle w:val="BodyText"/>
        <w:spacing w:before="120" w:after="0" w:line="360" w:lineRule="auto"/>
        <w:ind w:firstLine="720"/>
        <w:rPr>
          <w:color w:val="000000"/>
          <w:szCs w:val="24"/>
        </w:rPr>
      </w:pPr>
      <w:r w:rsidRPr="00A01571">
        <w:rPr>
          <w:szCs w:val="24"/>
        </w:rPr>
        <w:t xml:space="preserve">This Order addresses the </w:t>
      </w:r>
      <w:r w:rsidR="000A4FC5">
        <w:rPr>
          <w:szCs w:val="24"/>
        </w:rPr>
        <w:t>request by</w:t>
      </w:r>
      <w:r w:rsidRPr="00A01571">
        <w:rPr>
          <w:szCs w:val="24"/>
        </w:rPr>
        <w:t xml:space="preserve"> </w:t>
      </w:r>
      <w:r w:rsidR="000A4FC5">
        <w:rPr>
          <w:szCs w:val="24"/>
        </w:rPr>
        <w:t xml:space="preserve">Ms. </w:t>
      </w:r>
      <w:r w:rsidR="00A4081C" w:rsidRPr="00A4081C">
        <w:rPr>
          <w:szCs w:val="24"/>
        </w:rPr>
        <w:t>Maryanne Theriot</w:t>
      </w:r>
      <w:r w:rsidR="00A4081C" w:rsidRPr="00A01571">
        <w:rPr>
          <w:szCs w:val="24"/>
        </w:rPr>
        <w:t xml:space="preserve"> </w:t>
      </w:r>
      <w:r w:rsidRPr="00A01571">
        <w:rPr>
          <w:szCs w:val="24"/>
        </w:rPr>
        <w:t>(</w:t>
      </w:r>
      <w:r w:rsidR="00AF2764" w:rsidRPr="00A01571">
        <w:rPr>
          <w:szCs w:val="24"/>
        </w:rPr>
        <w:t xml:space="preserve">Ms. </w:t>
      </w:r>
      <w:r w:rsidR="00A4081C" w:rsidRPr="00A4081C">
        <w:rPr>
          <w:szCs w:val="24"/>
        </w:rPr>
        <w:t>Theriot</w:t>
      </w:r>
      <w:r w:rsidRPr="00A01571">
        <w:rPr>
          <w:szCs w:val="24"/>
        </w:rPr>
        <w:t>)</w:t>
      </w:r>
      <w:r w:rsidR="00AF2764" w:rsidRPr="00A01571">
        <w:rPr>
          <w:szCs w:val="24"/>
        </w:rPr>
        <w:t xml:space="preserve"> </w:t>
      </w:r>
      <w:r w:rsidR="000A4FC5">
        <w:rPr>
          <w:szCs w:val="24"/>
        </w:rPr>
        <w:t xml:space="preserve">for the </w:t>
      </w:r>
      <w:r w:rsidR="000A4FC5" w:rsidRPr="00A01571">
        <w:rPr>
          <w:color w:val="000000"/>
          <w:szCs w:val="24"/>
        </w:rPr>
        <w:t xml:space="preserve">Public Utility Commission of Texas </w:t>
      </w:r>
      <w:r w:rsidR="000A4FC5">
        <w:rPr>
          <w:szCs w:val="24"/>
        </w:rPr>
        <w:t>(Commission) to investigate</w:t>
      </w:r>
      <w:r w:rsidR="00AF2764" w:rsidRPr="00A01571">
        <w:rPr>
          <w:szCs w:val="24"/>
        </w:rPr>
        <w:t xml:space="preserve"> </w:t>
      </w:r>
      <w:r w:rsidR="00A4081C" w:rsidRPr="00A4081C">
        <w:rPr>
          <w:szCs w:val="24"/>
        </w:rPr>
        <w:t>Etoile Water Supply Corporation</w:t>
      </w:r>
      <w:r w:rsidR="00A4081C" w:rsidRPr="00A01571">
        <w:rPr>
          <w:szCs w:val="24"/>
        </w:rPr>
        <w:t xml:space="preserve"> </w:t>
      </w:r>
      <w:r w:rsidR="00AF2764" w:rsidRPr="00A01571">
        <w:rPr>
          <w:szCs w:val="24"/>
        </w:rPr>
        <w:t>(</w:t>
      </w:r>
      <w:r w:rsidR="00A4081C" w:rsidRPr="00A4081C">
        <w:rPr>
          <w:szCs w:val="24"/>
        </w:rPr>
        <w:t>Etoile</w:t>
      </w:r>
      <w:r w:rsidR="00AF2764" w:rsidRPr="00A01571">
        <w:rPr>
          <w:szCs w:val="24"/>
        </w:rPr>
        <w:t xml:space="preserve">) </w:t>
      </w:r>
      <w:r w:rsidR="00CA561A" w:rsidRPr="00A01571">
        <w:rPr>
          <w:szCs w:val="24"/>
        </w:rPr>
        <w:t>for</w:t>
      </w:r>
      <w:r w:rsidR="00AF2764" w:rsidRPr="00A01571">
        <w:rPr>
          <w:szCs w:val="24"/>
        </w:rPr>
        <w:t xml:space="preserve"> alleged violations of </w:t>
      </w:r>
      <w:r w:rsidR="00A30AFE">
        <w:rPr>
          <w:szCs w:val="24"/>
        </w:rPr>
        <w:t>Tex. Water Code</w:t>
      </w:r>
      <w:r w:rsidR="00A4081C">
        <w:rPr>
          <w:szCs w:val="24"/>
        </w:rPr>
        <w:t xml:space="preserve"> </w:t>
      </w:r>
      <w:r w:rsidR="00A01571">
        <w:rPr>
          <w:szCs w:val="24"/>
        </w:rPr>
        <w:t>§</w:t>
      </w:r>
      <w:r w:rsidR="00CC4493" w:rsidRPr="00A01571">
        <w:rPr>
          <w:rStyle w:val="StyleBold"/>
          <w:rFonts w:eastAsia="SimSun"/>
          <w:b w:val="0"/>
          <w:szCs w:val="24"/>
        </w:rPr>
        <w:t>§ 13.004(</w:t>
      </w:r>
      <w:r w:rsidR="00CC4493" w:rsidRPr="00A01571">
        <w:rPr>
          <w:rStyle w:val="StyleBold"/>
          <w:rFonts w:eastAsia="SimSun"/>
          <w:b w:val="0"/>
          <w:caps w:val="0"/>
          <w:szCs w:val="24"/>
        </w:rPr>
        <w:t>a</w:t>
      </w:r>
      <w:r w:rsidR="00CC4493" w:rsidRPr="00A01571">
        <w:rPr>
          <w:rStyle w:val="StyleBold"/>
          <w:rFonts w:eastAsia="SimSun"/>
          <w:b w:val="0"/>
          <w:szCs w:val="24"/>
        </w:rPr>
        <w:t>)(1</w:t>
      </w:r>
      <w:r w:rsidR="00CC4493" w:rsidRPr="00A01571">
        <w:rPr>
          <w:rStyle w:val="StyleBold"/>
          <w:rFonts w:eastAsia="SimSun"/>
          <w:b w:val="0"/>
          <w:caps w:val="0"/>
          <w:szCs w:val="24"/>
        </w:rPr>
        <w:t xml:space="preserve">) </w:t>
      </w:r>
      <w:r w:rsidR="007C5C85">
        <w:rPr>
          <w:rStyle w:val="StyleBold"/>
          <w:rFonts w:eastAsia="SimSun"/>
          <w:b w:val="0"/>
          <w:caps w:val="0"/>
          <w:szCs w:val="24"/>
        </w:rPr>
        <w:t xml:space="preserve">and </w:t>
      </w:r>
      <w:r w:rsidR="00CC4493" w:rsidRPr="00A01571">
        <w:rPr>
          <w:rStyle w:val="StyleBold"/>
          <w:rFonts w:eastAsia="SimSun"/>
          <w:b w:val="0"/>
          <w:caps w:val="0"/>
          <w:szCs w:val="24"/>
        </w:rPr>
        <w:t>(2)</w:t>
      </w:r>
      <w:r w:rsidR="00A4081C">
        <w:rPr>
          <w:rStyle w:val="StyleBold"/>
          <w:rFonts w:eastAsia="SimSun"/>
          <w:b w:val="0"/>
          <w:caps w:val="0"/>
          <w:szCs w:val="24"/>
        </w:rPr>
        <w:t xml:space="preserve"> </w:t>
      </w:r>
      <w:r w:rsidR="00A01571" w:rsidRPr="00A01571">
        <w:rPr>
          <w:szCs w:val="24"/>
        </w:rPr>
        <w:t xml:space="preserve">(TWC).  </w:t>
      </w:r>
      <w:r w:rsidR="000A4FC5">
        <w:rPr>
          <w:color w:val="000000"/>
          <w:szCs w:val="24"/>
        </w:rPr>
        <w:t>Commission</w:t>
      </w:r>
      <w:r w:rsidR="00CA561A" w:rsidRPr="00A01571">
        <w:rPr>
          <w:color w:val="000000"/>
          <w:szCs w:val="24"/>
        </w:rPr>
        <w:t xml:space="preserve"> Staff recommended dismissal.  For the reasons discussed in this Order, the complaint is dismissed.</w:t>
      </w:r>
    </w:p>
    <w:p w:rsidR="006B27C6" w:rsidRPr="00B2003A" w:rsidRDefault="006B27C6" w:rsidP="000A4FC5">
      <w:pPr>
        <w:spacing w:line="360" w:lineRule="auto"/>
        <w:ind w:firstLine="720"/>
        <w:jc w:val="center"/>
        <w:textAlignment w:val="baseline"/>
        <w:rPr>
          <w:b/>
        </w:rPr>
      </w:pPr>
      <w:r>
        <w:rPr>
          <w:b/>
        </w:rPr>
        <w:t>I.</w:t>
      </w:r>
      <w:r>
        <w:rPr>
          <w:b/>
        </w:rPr>
        <w:tab/>
      </w:r>
      <w:r w:rsidRPr="00B2003A">
        <w:rPr>
          <w:b/>
        </w:rPr>
        <w:t>Background</w:t>
      </w:r>
    </w:p>
    <w:p w:rsidR="00A4081C" w:rsidRDefault="006B27C6" w:rsidP="00A9726D">
      <w:pPr>
        <w:autoSpaceDE w:val="0"/>
        <w:autoSpaceDN w:val="0"/>
        <w:adjustRightInd w:val="0"/>
        <w:spacing w:before="120" w:line="360" w:lineRule="auto"/>
        <w:rPr>
          <w:szCs w:val="24"/>
          <w:lang w:eastAsia="en-US"/>
        </w:rPr>
      </w:pPr>
      <w:r w:rsidRPr="00A4081C">
        <w:rPr>
          <w:szCs w:val="24"/>
        </w:rPr>
        <w:tab/>
      </w:r>
      <w:r w:rsidR="00A4081C" w:rsidRPr="00A4081C">
        <w:rPr>
          <w:szCs w:val="24"/>
          <w:lang w:eastAsia="en-US"/>
        </w:rPr>
        <w:t xml:space="preserve">On February 24, 2015, </w:t>
      </w:r>
      <w:r w:rsidR="00A4081C" w:rsidRPr="00A01571">
        <w:rPr>
          <w:szCs w:val="24"/>
        </w:rPr>
        <w:t xml:space="preserve">Ms. </w:t>
      </w:r>
      <w:r w:rsidR="00A4081C" w:rsidRPr="00A4081C">
        <w:rPr>
          <w:szCs w:val="24"/>
        </w:rPr>
        <w:t>Theriot</w:t>
      </w:r>
      <w:r w:rsidR="00A4081C" w:rsidRPr="00A4081C">
        <w:rPr>
          <w:szCs w:val="24"/>
          <w:lang w:eastAsia="en-US"/>
        </w:rPr>
        <w:t xml:space="preserve"> </w:t>
      </w:r>
      <w:r w:rsidR="000A4FC5">
        <w:rPr>
          <w:szCs w:val="24"/>
          <w:lang w:eastAsia="en-US"/>
        </w:rPr>
        <w:t xml:space="preserve">filed a request for the Commission to </w:t>
      </w:r>
      <w:r w:rsidR="00A4081C" w:rsidRPr="00A4081C">
        <w:rPr>
          <w:szCs w:val="24"/>
          <w:lang w:eastAsia="en-US"/>
        </w:rPr>
        <w:t>investigate the election procedures of Etoile.</w:t>
      </w:r>
      <w:r w:rsidR="000A4FC5" w:rsidRPr="0058449C">
        <w:rPr>
          <w:rStyle w:val="FootnoteReference"/>
          <w:sz w:val="22"/>
          <w:szCs w:val="22"/>
          <w:lang w:eastAsia="en-US"/>
        </w:rPr>
        <w:footnoteReference w:id="1"/>
      </w:r>
      <w:r w:rsidR="00A4081C" w:rsidRPr="0058449C">
        <w:rPr>
          <w:sz w:val="22"/>
          <w:szCs w:val="22"/>
          <w:lang w:eastAsia="en-US"/>
        </w:rPr>
        <w:t xml:space="preserve"> </w:t>
      </w:r>
      <w:r w:rsidR="00A4081C">
        <w:rPr>
          <w:szCs w:val="24"/>
          <w:lang w:eastAsia="en-US"/>
        </w:rPr>
        <w:t xml:space="preserve"> </w:t>
      </w:r>
      <w:r w:rsidR="000A4FC5">
        <w:rPr>
          <w:szCs w:val="24"/>
          <w:lang w:eastAsia="en-US"/>
        </w:rPr>
        <w:t xml:space="preserve">Ms. Theriot stated that at </w:t>
      </w:r>
      <w:r w:rsidR="00030A52">
        <w:rPr>
          <w:szCs w:val="24"/>
          <w:lang w:eastAsia="en-US"/>
        </w:rPr>
        <w:t xml:space="preserve">Etoile’s </w:t>
      </w:r>
      <w:r w:rsidR="003A0B60">
        <w:rPr>
          <w:szCs w:val="24"/>
          <w:lang w:eastAsia="en-US"/>
        </w:rPr>
        <w:t>November 18</w:t>
      </w:r>
      <w:r w:rsidR="000A4FC5">
        <w:rPr>
          <w:szCs w:val="24"/>
          <w:lang w:eastAsia="en-US"/>
        </w:rPr>
        <w:t xml:space="preserve">, 2013 board meeting, the board voted </w:t>
      </w:r>
      <w:r w:rsidR="003D0B7B">
        <w:rPr>
          <w:szCs w:val="24"/>
          <w:lang w:eastAsia="en-US"/>
        </w:rPr>
        <w:t>to remove the requirement for member</w:t>
      </w:r>
      <w:r w:rsidR="00030A52">
        <w:rPr>
          <w:szCs w:val="24"/>
          <w:lang w:eastAsia="en-US"/>
        </w:rPr>
        <w:t xml:space="preserve"> signature</w:t>
      </w:r>
      <w:r w:rsidR="003D0B7B">
        <w:rPr>
          <w:szCs w:val="24"/>
          <w:lang w:eastAsia="en-US"/>
        </w:rPr>
        <w:t>s</w:t>
      </w:r>
      <w:r w:rsidR="00030A52">
        <w:rPr>
          <w:szCs w:val="24"/>
          <w:lang w:eastAsia="en-US"/>
        </w:rPr>
        <w:t xml:space="preserve"> </w:t>
      </w:r>
      <w:r w:rsidR="003D0B7B">
        <w:rPr>
          <w:szCs w:val="24"/>
          <w:lang w:eastAsia="en-US"/>
        </w:rPr>
        <w:t>in the “</w:t>
      </w:r>
      <w:r w:rsidR="003A0B60">
        <w:rPr>
          <w:szCs w:val="24"/>
          <w:lang w:eastAsia="en-US"/>
        </w:rPr>
        <w:t>Application for Director</w:t>
      </w:r>
      <w:r w:rsidR="003D0B7B">
        <w:rPr>
          <w:szCs w:val="24"/>
          <w:lang w:eastAsia="en-US"/>
        </w:rPr>
        <w:t>” section of the utility’s “Election Procedures for Members’ Meetings” (Election Procedures).</w:t>
      </w:r>
      <w:r w:rsidR="00030A52" w:rsidRPr="0058449C">
        <w:rPr>
          <w:rStyle w:val="FootnoteReference"/>
          <w:sz w:val="22"/>
          <w:szCs w:val="22"/>
          <w:lang w:eastAsia="en-US"/>
        </w:rPr>
        <w:footnoteReference w:id="2"/>
      </w:r>
      <w:r w:rsidR="00030A52" w:rsidRPr="0058449C">
        <w:rPr>
          <w:sz w:val="22"/>
          <w:szCs w:val="22"/>
          <w:lang w:eastAsia="en-US"/>
        </w:rPr>
        <w:t xml:space="preserve"> </w:t>
      </w:r>
      <w:r w:rsidR="00030A52">
        <w:rPr>
          <w:szCs w:val="24"/>
          <w:lang w:eastAsia="en-US"/>
        </w:rPr>
        <w:t xml:space="preserve"> </w:t>
      </w:r>
      <w:r w:rsidR="000A4FC5">
        <w:rPr>
          <w:szCs w:val="24"/>
          <w:lang w:eastAsia="en-US"/>
        </w:rPr>
        <w:t xml:space="preserve">Ms. Theriot </w:t>
      </w:r>
      <w:r w:rsidR="00030A52">
        <w:rPr>
          <w:szCs w:val="24"/>
          <w:lang w:eastAsia="en-US"/>
        </w:rPr>
        <w:t xml:space="preserve">provided copies of the agendas for Etoile’s November 18, 2013 and December 16, 2013 board meetings.  She </w:t>
      </w:r>
      <w:r w:rsidR="000A4FC5">
        <w:rPr>
          <w:szCs w:val="24"/>
          <w:lang w:eastAsia="en-US"/>
        </w:rPr>
        <w:t xml:space="preserve">stated that </w:t>
      </w:r>
      <w:r w:rsidR="00030A52">
        <w:rPr>
          <w:szCs w:val="24"/>
          <w:lang w:eastAsia="en-US"/>
        </w:rPr>
        <w:t xml:space="preserve">neither agenda </w:t>
      </w:r>
      <w:r w:rsidR="000A4FC5">
        <w:rPr>
          <w:szCs w:val="24"/>
          <w:lang w:eastAsia="en-US"/>
        </w:rPr>
        <w:t>include</w:t>
      </w:r>
      <w:r w:rsidR="00030A52">
        <w:rPr>
          <w:szCs w:val="24"/>
          <w:lang w:eastAsia="en-US"/>
        </w:rPr>
        <w:t>d</w:t>
      </w:r>
      <w:r w:rsidR="000A4FC5">
        <w:rPr>
          <w:szCs w:val="24"/>
          <w:lang w:eastAsia="en-US"/>
        </w:rPr>
        <w:t xml:space="preserve"> </w:t>
      </w:r>
      <w:r w:rsidR="00030A52">
        <w:rPr>
          <w:szCs w:val="24"/>
          <w:lang w:eastAsia="en-US"/>
        </w:rPr>
        <w:t xml:space="preserve">an item concerning </w:t>
      </w:r>
      <w:proofErr w:type="gramStart"/>
      <w:r w:rsidR="004A3E32">
        <w:rPr>
          <w:szCs w:val="24"/>
          <w:lang w:eastAsia="en-US"/>
        </w:rPr>
        <w:t>the</w:t>
      </w:r>
      <w:proofErr w:type="gramEnd"/>
      <w:r w:rsidR="004A3E32">
        <w:rPr>
          <w:szCs w:val="24"/>
          <w:lang w:eastAsia="en-US"/>
        </w:rPr>
        <w:t xml:space="preserve"> change in Etoile’s Election P</w:t>
      </w:r>
      <w:r w:rsidR="00C310AC">
        <w:rPr>
          <w:szCs w:val="24"/>
          <w:lang w:eastAsia="en-US"/>
        </w:rPr>
        <w:t>rocedures</w:t>
      </w:r>
      <w:r w:rsidR="000A4FC5">
        <w:rPr>
          <w:szCs w:val="24"/>
          <w:lang w:eastAsia="en-US"/>
        </w:rPr>
        <w:t>.</w:t>
      </w:r>
      <w:r w:rsidR="00030A52" w:rsidRPr="0058449C">
        <w:rPr>
          <w:rStyle w:val="FootnoteReference"/>
          <w:sz w:val="22"/>
          <w:szCs w:val="22"/>
          <w:lang w:eastAsia="en-US"/>
        </w:rPr>
        <w:footnoteReference w:id="3"/>
      </w:r>
      <w:r w:rsidR="000A4FC5">
        <w:rPr>
          <w:szCs w:val="24"/>
          <w:lang w:eastAsia="en-US"/>
        </w:rPr>
        <w:t xml:space="preserve">  </w:t>
      </w:r>
      <w:r w:rsidR="003D0B7B">
        <w:rPr>
          <w:szCs w:val="24"/>
          <w:lang w:eastAsia="en-US"/>
        </w:rPr>
        <w:t xml:space="preserve">She noted that </w:t>
      </w:r>
      <w:r w:rsidR="004A3E32">
        <w:rPr>
          <w:szCs w:val="24"/>
          <w:lang w:eastAsia="en-US"/>
        </w:rPr>
        <w:t xml:space="preserve">during the November 18, 2013 regular meeting of Etoile’s board of directors, </w:t>
      </w:r>
      <w:r w:rsidR="003D0B7B">
        <w:rPr>
          <w:szCs w:val="24"/>
          <w:lang w:eastAsia="en-US"/>
        </w:rPr>
        <w:t xml:space="preserve">the vote to change the utility’s Election Procedures was not conducted during the portion of the meeting </w:t>
      </w:r>
      <w:r w:rsidR="004A3E32">
        <w:rPr>
          <w:szCs w:val="24"/>
          <w:lang w:eastAsia="en-US"/>
        </w:rPr>
        <w:t xml:space="preserve">that was </w:t>
      </w:r>
      <w:r w:rsidR="003D0B7B">
        <w:rPr>
          <w:szCs w:val="24"/>
          <w:lang w:eastAsia="en-US"/>
        </w:rPr>
        <w:t xml:space="preserve">used to discuss and vote on a change to Etoile’s bylaws, but was instead raised and voted on during Etoile’s Office Managers Report. </w:t>
      </w:r>
    </w:p>
    <w:p w:rsidR="001C3038" w:rsidRDefault="00A973F5" w:rsidP="00A9726D">
      <w:pPr>
        <w:pStyle w:val="l2t01"/>
        <w:spacing w:after="0" w:line="360" w:lineRule="auto"/>
        <w:ind w:left="0" w:right="0" w:firstLine="720"/>
        <w:jc w:val="both"/>
        <w:rPr>
          <w:color w:val="auto"/>
          <w:sz w:val="24"/>
          <w:szCs w:val="24"/>
        </w:rPr>
      </w:pPr>
      <w:r w:rsidRPr="0023631E">
        <w:rPr>
          <w:color w:val="auto"/>
          <w:sz w:val="24"/>
          <w:szCs w:val="24"/>
        </w:rPr>
        <w:t xml:space="preserve">On October 23, 2015, </w:t>
      </w:r>
      <w:r w:rsidR="00A4081C" w:rsidRPr="0023631E">
        <w:rPr>
          <w:color w:val="auto"/>
          <w:sz w:val="24"/>
          <w:szCs w:val="24"/>
        </w:rPr>
        <w:t>Etoile responded</w:t>
      </w:r>
      <w:r w:rsidR="0023631E" w:rsidRPr="0023631E">
        <w:rPr>
          <w:color w:val="auto"/>
          <w:sz w:val="24"/>
          <w:szCs w:val="24"/>
        </w:rPr>
        <w:t xml:space="preserve"> to Ms. Theriot’s complainant, arguing that</w:t>
      </w:r>
      <w:r w:rsidR="001C3038">
        <w:rPr>
          <w:color w:val="auto"/>
          <w:sz w:val="24"/>
          <w:szCs w:val="24"/>
        </w:rPr>
        <w:t xml:space="preserve"> Ms.</w:t>
      </w:r>
      <w:r w:rsidR="00C016C3">
        <w:rPr>
          <w:color w:val="auto"/>
          <w:sz w:val="24"/>
          <w:szCs w:val="24"/>
        </w:rPr>
        <w:t> </w:t>
      </w:r>
      <w:r w:rsidR="001C3038">
        <w:rPr>
          <w:color w:val="auto"/>
          <w:sz w:val="24"/>
          <w:szCs w:val="24"/>
        </w:rPr>
        <w:t>Theriot’s complaint is not a proper subject of a proceeding before the Commission because the Commission lacks jurisdiction of any reasonable interpretation of the complaint and the alleged actions are false and/or do not constitute a violation of law.</w:t>
      </w:r>
      <w:r w:rsidR="001C3038" w:rsidRPr="0058449C">
        <w:rPr>
          <w:rStyle w:val="FootnoteReference"/>
          <w:color w:val="auto"/>
          <w:sz w:val="22"/>
          <w:szCs w:val="22"/>
        </w:rPr>
        <w:footnoteReference w:id="4"/>
      </w:r>
      <w:r w:rsidR="001C3038" w:rsidRPr="0058449C">
        <w:rPr>
          <w:color w:val="auto"/>
          <w:sz w:val="22"/>
          <w:szCs w:val="22"/>
        </w:rPr>
        <w:t xml:space="preserve"> </w:t>
      </w:r>
      <w:r w:rsidR="001C3038">
        <w:rPr>
          <w:color w:val="auto"/>
          <w:sz w:val="24"/>
          <w:szCs w:val="24"/>
        </w:rPr>
        <w:t xml:space="preserve"> </w:t>
      </w:r>
      <w:r w:rsidR="00994343">
        <w:rPr>
          <w:color w:val="auto"/>
          <w:sz w:val="24"/>
          <w:szCs w:val="24"/>
        </w:rPr>
        <w:t xml:space="preserve"> Etoile claims that the Commission’s </w:t>
      </w:r>
      <w:r w:rsidR="00994343">
        <w:rPr>
          <w:color w:val="auto"/>
          <w:sz w:val="24"/>
          <w:szCs w:val="24"/>
        </w:rPr>
        <w:lastRenderedPageBreak/>
        <w:t xml:space="preserve">jurisdiction over </w:t>
      </w:r>
      <w:r w:rsidR="00441FF9">
        <w:rPr>
          <w:color w:val="auto"/>
          <w:sz w:val="24"/>
          <w:szCs w:val="24"/>
        </w:rPr>
        <w:t>entities such as Etoile is quite limited,</w:t>
      </w:r>
      <w:r w:rsidR="00994343" w:rsidRPr="0058449C">
        <w:rPr>
          <w:rStyle w:val="FootnoteReference"/>
          <w:color w:val="auto"/>
          <w:sz w:val="22"/>
          <w:szCs w:val="22"/>
        </w:rPr>
        <w:footnoteReference w:id="5"/>
      </w:r>
      <w:r w:rsidR="00441FF9">
        <w:rPr>
          <w:color w:val="auto"/>
          <w:sz w:val="24"/>
          <w:szCs w:val="24"/>
        </w:rPr>
        <w:t xml:space="preserve"> and if invoked</w:t>
      </w:r>
      <w:r w:rsidR="00994343">
        <w:rPr>
          <w:color w:val="auto"/>
          <w:sz w:val="24"/>
          <w:szCs w:val="24"/>
        </w:rPr>
        <w:t xml:space="preserve">, such jurisdiction is limited to economic </w:t>
      </w:r>
      <w:r w:rsidR="00441FF9">
        <w:rPr>
          <w:color w:val="auto"/>
          <w:sz w:val="24"/>
          <w:szCs w:val="24"/>
        </w:rPr>
        <w:t>regulation</w:t>
      </w:r>
      <w:r w:rsidR="00994343">
        <w:rPr>
          <w:color w:val="auto"/>
          <w:sz w:val="24"/>
          <w:szCs w:val="24"/>
        </w:rPr>
        <w:t>.</w:t>
      </w:r>
      <w:r w:rsidR="00994343" w:rsidRPr="0058449C">
        <w:rPr>
          <w:rStyle w:val="FootnoteReference"/>
          <w:color w:val="auto"/>
          <w:sz w:val="22"/>
          <w:szCs w:val="22"/>
        </w:rPr>
        <w:footnoteReference w:id="6"/>
      </w:r>
      <w:r w:rsidR="00994343" w:rsidRPr="0058449C">
        <w:rPr>
          <w:color w:val="auto"/>
          <w:sz w:val="22"/>
          <w:szCs w:val="22"/>
        </w:rPr>
        <w:t xml:space="preserve"> </w:t>
      </w:r>
      <w:r w:rsidR="00994343">
        <w:rPr>
          <w:color w:val="auto"/>
          <w:sz w:val="24"/>
          <w:szCs w:val="24"/>
        </w:rPr>
        <w:t xml:space="preserve"> Further, </w:t>
      </w:r>
      <w:r w:rsidR="001C3038">
        <w:rPr>
          <w:color w:val="auto"/>
          <w:sz w:val="24"/>
          <w:szCs w:val="24"/>
        </w:rPr>
        <w:t>Etoile stated that the Commission can only make the findings necessary to invoke its jurisdiction after notice and an opportunity for a hearing.</w:t>
      </w:r>
      <w:r w:rsidR="001C3038" w:rsidRPr="0058449C">
        <w:rPr>
          <w:rStyle w:val="FootnoteReference"/>
          <w:color w:val="auto"/>
          <w:sz w:val="22"/>
          <w:szCs w:val="22"/>
        </w:rPr>
        <w:footnoteReference w:id="7"/>
      </w:r>
      <w:r w:rsidR="001C3038" w:rsidRPr="0058449C">
        <w:rPr>
          <w:color w:val="auto"/>
          <w:sz w:val="22"/>
          <w:szCs w:val="22"/>
        </w:rPr>
        <w:t xml:space="preserve"> </w:t>
      </w:r>
      <w:r w:rsidR="0023631E" w:rsidRPr="0023631E">
        <w:rPr>
          <w:color w:val="auto"/>
          <w:sz w:val="24"/>
          <w:szCs w:val="24"/>
        </w:rPr>
        <w:t xml:space="preserve"> </w:t>
      </w:r>
    </w:p>
    <w:p w:rsidR="00B45E26" w:rsidRPr="0058449C" w:rsidRDefault="001C3038" w:rsidP="00A9726D">
      <w:pPr>
        <w:pStyle w:val="l2t01"/>
        <w:spacing w:after="0" w:line="360" w:lineRule="auto"/>
        <w:ind w:left="0" w:right="0" w:firstLine="720"/>
        <w:jc w:val="both"/>
        <w:rPr>
          <w:color w:val="auto"/>
          <w:sz w:val="22"/>
          <w:szCs w:val="22"/>
        </w:rPr>
      </w:pPr>
      <w:r>
        <w:rPr>
          <w:color w:val="auto"/>
          <w:sz w:val="24"/>
          <w:szCs w:val="24"/>
        </w:rPr>
        <w:t xml:space="preserve">Specific to Ms. Theriot’s request, Etoile </w:t>
      </w:r>
      <w:r w:rsidR="00994343">
        <w:rPr>
          <w:color w:val="auto"/>
          <w:sz w:val="24"/>
          <w:szCs w:val="24"/>
        </w:rPr>
        <w:t xml:space="preserve">first </w:t>
      </w:r>
      <w:r>
        <w:rPr>
          <w:color w:val="auto"/>
          <w:sz w:val="24"/>
          <w:szCs w:val="24"/>
        </w:rPr>
        <w:t xml:space="preserve">argues that </w:t>
      </w:r>
      <w:r w:rsidR="00994343">
        <w:rPr>
          <w:color w:val="auto"/>
          <w:sz w:val="24"/>
          <w:szCs w:val="24"/>
        </w:rPr>
        <w:t xml:space="preserve">pursuant to TWC § 13.004(a)(1), </w:t>
      </w:r>
      <w:r>
        <w:rPr>
          <w:color w:val="auto"/>
          <w:sz w:val="24"/>
          <w:szCs w:val="24"/>
        </w:rPr>
        <w:t>TWC § 6</w:t>
      </w:r>
      <w:r w:rsidR="00994343">
        <w:rPr>
          <w:color w:val="auto"/>
          <w:sz w:val="24"/>
          <w:szCs w:val="24"/>
        </w:rPr>
        <w:t>7.007</w:t>
      </w:r>
      <w:r>
        <w:rPr>
          <w:color w:val="auto"/>
          <w:sz w:val="24"/>
          <w:szCs w:val="24"/>
        </w:rPr>
        <w:t xml:space="preserve"> </w:t>
      </w:r>
      <w:r w:rsidR="00994343">
        <w:rPr>
          <w:color w:val="auto"/>
          <w:sz w:val="24"/>
          <w:szCs w:val="24"/>
        </w:rPr>
        <w:t>expressly applies</w:t>
      </w:r>
      <w:r>
        <w:rPr>
          <w:color w:val="auto"/>
          <w:sz w:val="24"/>
          <w:szCs w:val="24"/>
        </w:rPr>
        <w:t xml:space="preserve"> to the annual meeting of a </w:t>
      </w:r>
      <w:r w:rsidR="00734517">
        <w:rPr>
          <w:color w:val="auto"/>
          <w:sz w:val="24"/>
          <w:szCs w:val="24"/>
        </w:rPr>
        <w:t xml:space="preserve">corporation’s </w:t>
      </w:r>
      <w:r>
        <w:rPr>
          <w:color w:val="auto"/>
          <w:sz w:val="24"/>
          <w:szCs w:val="24"/>
        </w:rPr>
        <w:t xml:space="preserve">members or shareholders, not meetings of a board of directors </w:t>
      </w:r>
      <w:r w:rsidR="00994343">
        <w:rPr>
          <w:color w:val="auto"/>
          <w:sz w:val="24"/>
          <w:szCs w:val="24"/>
        </w:rPr>
        <w:t>as Ms. Theriot has alleged</w:t>
      </w:r>
      <w:r>
        <w:rPr>
          <w:color w:val="auto"/>
          <w:sz w:val="24"/>
          <w:szCs w:val="24"/>
        </w:rPr>
        <w:t>.</w:t>
      </w:r>
      <w:r w:rsidRPr="0058449C">
        <w:rPr>
          <w:rStyle w:val="FootnoteReference"/>
          <w:color w:val="auto"/>
          <w:sz w:val="22"/>
          <w:szCs w:val="22"/>
        </w:rPr>
        <w:footnoteReference w:id="8"/>
      </w:r>
      <w:r w:rsidRPr="0058449C">
        <w:rPr>
          <w:color w:val="auto"/>
          <w:sz w:val="22"/>
          <w:szCs w:val="22"/>
        </w:rPr>
        <w:t xml:space="preserve"> </w:t>
      </w:r>
      <w:r>
        <w:rPr>
          <w:color w:val="auto"/>
          <w:sz w:val="24"/>
          <w:szCs w:val="24"/>
        </w:rPr>
        <w:t xml:space="preserve"> </w:t>
      </w:r>
      <w:r w:rsidR="00441FF9">
        <w:rPr>
          <w:color w:val="auto"/>
          <w:sz w:val="24"/>
          <w:szCs w:val="24"/>
        </w:rPr>
        <w:t>Second</w:t>
      </w:r>
      <w:r>
        <w:rPr>
          <w:color w:val="auto"/>
          <w:sz w:val="24"/>
          <w:szCs w:val="24"/>
        </w:rPr>
        <w:t>, Etoile</w:t>
      </w:r>
      <w:r w:rsidR="00994343">
        <w:rPr>
          <w:color w:val="auto"/>
          <w:sz w:val="24"/>
          <w:szCs w:val="24"/>
        </w:rPr>
        <w:t xml:space="preserve"> </w:t>
      </w:r>
      <w:r w:rsidR="00441FF9">
        <w:rPr>
          <w:color w:val="auto"/>
          <w:sz w:val="24"/>
          <w:szCs w:val="24"/>
        </w:rPr>
        <w:t xml:space="preserve">argues that </w:t>
      </w:r>
      <w:r w:rsidR="00994343">
        <w:rPr>
          <w:color w:val="auto"/>
          <w:sz w:val="24"/>
          <w:szCs w:val="24"/>
        </w:rPr>
        <w:t xml:space="preserve">under TWC § 13.004(a)(2), it clearly </w:t>
      </w:r>
      <w:r w:rsidR="00B45E26">
        <w:rPr>
          <w:color w:val="auto"/>
          <w:sz w:val="24"/>
          <w:szCs w:val="24"/>
        </w:rPr>
        <w:t xml:space="preserve">meets the requirements </w:t>
      </w:r>
      <w:r w:rsidR="00734517">
        <w:rPr>
          <w:color w:val="auto"/>
          <w:sz w:val="24"/>
          <w:szCs w:val="24"/>
        </w:rPr>
        <w:t xml:space="preserve">prescribed by Section 13.002(11) and (24) </w:t>
      </w:r>
      <w:r w:rsidR="00B45E26">
        <w:rPr>
          <w:color w:val="auto"/>
          <w:sz w:val="24"/>
          <w:szCs w:val="24"/>
        </w:rPr>
        <w:t>and that Ms. Theriot’s request does not bring forth any allegations or evidence to the contrary.</w:t>
      </w:r>
      <w:r w:rsidR="00B45E26" w:rsidRPr="0058449C">
        <w:rPr>
          <w:rStyle w:val="FootnoteReference"/>
          <w:color w:val="auto"/>
          <w:sz w:val="22"/>
          <w:szCs w:val="22"/>
        </w:rPr>
        <w:footnoteReference w:id="9"/>
      </w:r>
      <w:r w:rsidR="00B45E26">
        <w:rPr>
          <w:color w:val="auto"/>
          <w:sz w:val="24"/>
          <w:szCs w:val="24"/>
        </w:rPr>
        <w:t xml:space="preserve">  Etoile points to the attachments to Ms. Theriot’s request as proof that the </w:t>
      </w:r>
      <w:r w:rsidR="00734517">
        <w:rPr>
          <w:color w:val="auto"/>
          <w:sz w:val="24"/>
          <w:szCs w:val="24"/>
        </w:rPr>
        <w:t>corporation</w:t>
      </w:r>
      <w:r w:rsidR="00B45E26">
        <w:rPr>
          <w:color w:val="auto"/>
          <w:sz w:val="24"/>
          <w:szCs w:val="24"/>
        </w:rPr>
        <w:t xml:space="preserve"> operated properly</w:t>
      </w:r>
      <w:r w:rsidR="00B45E26" w:rsidRPr="0058449C">
        <w:rPr>
          <w:color w:val="auto"/>
          <w:sz w:val="22"/>
          <w:szCs w:val="22"/>
        </w:rPr>
        <w:t>.</w:t>
      </w:r>
      <w:r w:rsidR="00B45E26" w:rsidRPr="0058449C">
        <w:rPr>
          <w:rStyle w:val="FootnoteReference"/>
          <w:color w:val="auto"/>
          <w:sz w:val="22"/>
          <w:szCs w:val="22"/>
        </w:rPr>
        <w:footnoteReference w:id="10"/>
      </w:r>
      <w:r w:rsidR="00B45E26" w:rsidRPr="0058449C">
        <w:rPr>
          <w:color w:val="auto"/>
          <w:sz w:val="22"/>
          <w:szCs w:val="22"/>
        </w:rPr>
        <w:t xml:space="preserve"> </w:t>
      </w:r>
    </w:p>
    <w:p w:rsidR="003E7018" w:rsidRPr="0058449C" w:rsidRDefault="00B45E26" w:rsidP="00A9726D">
      <w:pPr>
        <w:pStyle w:val="l2t01"/>
        <w:spacing w:after="0" w:line="360" w:lineRule="auto"/>
        <w:ind w:left="0" w:right="0" w:firstLine="720"/>
        <w:jc w:val="both"/>
        <w:rPr>
          <w:color w:val="auto"/>
          <w:sz w:val="22"/>
          <w:szCs w:val="22"/>
        </w:rPr>
      </w:pPr>
      <w:r>
        <w:rPr>
          <w:color w:val="auto"/>
          <w:sz w:val="24"/>
          <w:szCs w:val="24"/>
        </w:rPr>
        <w:t xml:space="preserve">Etoile stated that without waiving its position that the Commission is without jurisdiction to hear Ms. Theriot’s request, it would address what it understands to be the gravamen of the </w:t>
      </w:r>
      <w:r w:rsidR="00B64D71">
        <w:rPr>
          <w:color w:val="auto"/>
          <w:sz w:val="24"/>
          <w:szCs w:val="24"/>
        </w:rPr>
        <w:t>complaint, changes to Etoile’s Election Procedures</w:t>
      </w:r>
      <w:r>
        <w:rPr>
          <w:color w:val="auto"/>
          <w:sz w:val="24"/>
          <w:szCs w:val="24"/>
        </w:rPr>
        <w:t>.</w:t>
      </w:r>
      <w:r w:rsidRPr="0058449C">
        <w:rPr>
          <w:rStyle w:val="FootnoteReference"/>
          <w:color w:val="auto"/>
          <w:sz w:val="22"/>
          <w:szCs w:val="22"/>
        </w:rPr>
        <w:footnoteReference w:id="11"/>
      </w:r>
      <w:r w:rsidRPr="0058449C">
        <w:rPr>
          <w:color w:val="auto"/>
          <w:sz w:val="22"/>
          <w:szCs w:val="22"/>
        </w:rPr>
        <w:t xml:space="preserve"> </w:t>
      </w:r>
      <w:r w:rsidR="005F7156">
        <w:rPr>
          <w:color w:val="auto"/>
          <w:sz w:val="24"/>
          <w:szCs w:val="24"/>
        </w:rPr>
        <w:t xml:space="preserve"> </w:t>
      </w:r>
      <w:r>
        <w:rPr>
          <w:color w:val="auto"/>
          <w:sz w:val="24"/>
          <w:szCs w:val="24"/>
        </w:rPr>
        <w:t xml:space="preserve">Etoile explained </w:t>
      </w:r>
      <w:r w:rsidR="002900C0">
        <w:rPr>
          <w:color w:val="auto"/>
          <w:sz w:val="24"/>
          <w:szCs w:val="24"/>
        </w:rPr>
        <w:t xml:space="preserve">that </w:t>
      </w:r>
      <w:r w:rsidR="00734517">
        <w:rPr>
          <w:color w:val="auto"/>
          <w:sz w:val="24"/>
          <w:szCs w:val="24"/>
        </w:rPr>
        <w:t>TWC § </w:t>
      </w:r>
      <w:r w:rsidR="008F23E8">
        <w:rPr>
          <w:color w:val="auto"/>
          <w:sz w:val="24"/>
          <w:szCs w:val="24"/>
        </w:rPr>
        <w:t>67.005</w:t>
      </w:r>
      <w:r w:rsidR="005F7156">
        <w:rPr>
          <w:color w:val="auto"/>
          <w:sz w:val="24"/>
          <w:szCs w:val="24"/>
        </w:rPr>
        <w:noBreakHyphen/>
      </w:r>
      <w:r w:rsidR="008F23E8">
        <w:rPr>
          <w:color w:val="auto"/>
          <w:sz w:val="24"/>
          <w:szCs w:val="24"/>
        </w:rPr>
        <w:t>67</w:t>
      </w:r>
      <w:r w:rsidR="005F7156">
        <w:rPr>
          <w:color w:val="auto"/>
          <w:sz w:val="24"/>
          <w:szCs w:val="24"/>
        </w:rPr>
        <w:t>.0</w:t>
      </w:r>
      <w:r w:rsidR="008F23E8">
        <w:rPr>
          <w:color w:val="auto"/>
          <w:sz w:val="24"/>
          <w:szCs w:val="24"/>
        </w:rPr>
        <w:t>055 govern the qualification and election of the members of its board of directors.</w:t>
      </w:r>
      <w:r w:rsidR="008F23E8" w:rsidRPr="0058449C">
        <w:rPr>
          <w:rStyle w:val="FootnoteReference"/>
          <w:color w:val="auto"/>
          <w:sz w:val="22"/>
          <w:szCs w:val="22"/>
        </w:rPr>
        <w:footnoteReference w:id="12"/>
      </w:r>
      <w:r w:rsidR="008F23E8">
        <w:rPr>
          <w:color w:val="auto"/>
          <w:sz w:val="24"/>
          <w:szCs w:val="24"/>
        </w:rPr>
        <w:t xml:space="preserve"> </w:t>
      </w:r>
      <w:r w:rsidR="00A4081C" w:rsidRPr="0023631E">
        <w:rPr>
          <w:color w:val="auto"/>
          <w:sz w:val="24"/>
          <w:szCs w:val="24"/>
        </w:rPr>
        <w:t xml:space="preserve"> </w:t>
      </w:r>
      <w:r w:rsidR="00B64D71">
        <w:rPr>
          <w:color w:val="auto"/>
          <w:sz w:val="24"/>
          <w:szCs w:val="24"/>
        </w:rPr>
        <w:t>F</w:t>
      </w:r>
      <w:r w:rsidR="008F23E8">
        <w:rPr>
          <w:color w:val="auto"/>
          <w:sz w:val="24"/>
          <w:szCs w:val="24"/>
        </w:rPr>
        <w:t xml:space="preserve">urther that </w:t>
      </w:r>
      <w:r w:rsidR="00B64D71">
        <w:rPr>
          <w:color w:val="auto"/>
          <w:sz w:val="24"/>
          <w:szCs w:val="24"/>
        </w:rPr>
        <w:t>TWC § 67.0052</w:t>
      </w:r>
      <w:r w:rsidR="008F23E8">
        <w:rPr>
          <w:color w:val="auto"/>
          <w:sz w:val="24"/>
          <w:szCs w:val="24"/>
        </w:rPr>
        <w:t xml:space="preserve"> was amended in 2011 such that for all corporations with fewer than 1,500 members, the requirement to have a </w:t>
      </w:r>
      <w:r w:rsidR="00441FF9">
        <w:rPr>
          <w:color w:val="auto"/>
          <w:sz w:val="24"/>
          <w:szCs w:val="24"/>
        </w:rPr>
        <w:t xml:space="preserve">director </w:t>
      </w:r>
      <w:r w:rsidR="008F23E8">
        <w:rPr>
          <w:color w:val="auto"/>
          <w:sz w:val="24"/>
          <w:szCs w:val="24"/>
        </w:rPr>
        <w:t xml:space="preserve">candidate’s petition signed by the </w:t>
      </w:r>
      <w:r w:rsidR="00734517">
        <w:rPr>
          <w:color w:val="auto"/>
          <w:sz w:val="24"/>
          <w:szCs w:val="24"/>
        </w:rPr>
        <w:t xml:space="preserve">fewer of </w:t>
      </w:r>
      <w:r w:rsidR="008F23E8">
        <w:rPr>
          <w:color w:val="auto"/>
          <w:sz w:val="24"/>
          <w:szCs w:val="24"/>
        </w:rPr>
        <w:t>20 members or 5% of the members was removed.</w:t>
      </w:r>
      <w:r w:rsidR="008F23E8" w:rsidRPr="0058449C">
        <w:rPr>
          <w:rStyle w:val="FootnoteReference"/>
          <w:color w:val="auto"/>
          <w:sz w:val="22"/>
          <w:szCs w:val="22"/>
        </w:rPr>
        <w:footnoteReference w:id="13"/>
      </w:r>
      <w:r w:rsidR="008F23E8" w:rsidRPr="0058449C">
        <w:rPr>
          <w:color w:val="auto"/>
          <w:sz w:val="22"/>
          <w:szCs w:val="22"/>
        </w:rPr>
        <w:t xml:space="preserve"> </w:t>
      </w:r>
      <w:r w:rsidR="00F6158F" w:rsidRPr="0058449C">
        <w:rPr>
          <w:color w:val="auto"/>
          <w:sz w:val="22"/>
          <w:szCs w:val="22"/>
        </w:rPr>
        <w:t xml:space="preserve"> </w:t>
      </w:r>
      <w:r w:rsidR="00A4081C" w:rsidRPr="00F6158F">
        <w:rPr>
          <w:color w:val="auto"/>
          <w:sz w:val="24"/>
          <w:szCs w:val="24"/>
        </w:rPr>
        <w:t xml:space="preserve">Etoile </w:t>
      </w:r>
      <w:r w:rsidR="00F6158F">
        <w:rPr>
          <w:color w:val="auto"/>
          <w:sz w:val="24"/>
          <w:szCs w:val="24"/>
        </w:rPr>
        <w:t xml:space="preserve">stated that it </w:t>
      </w:r>
      <w:r w:rsidR="00A4081C" w:rsidRPr="00F6158F">
        <w:rPr>
          <w:color w:val="auto"/>
          <w:sz w:val="24"/>
          <w:szCs w:val="24"/>
        </w:rPr>
        <w:t xml:space="preserve">has less than 1,500 </w:t>
      </w:r>
      <w:r w:rsidR="00A4081C" w:rsidRPr="00F6158F">
        <w:rPr>
          <w:sz w:val="24"/>
          <w:szCs w:val="24"/>
        </w:rPr>
        <w:t>members</w:t>
      </w:r>
      <w:r w:rsidR="00A973F5" w:rsidRPr="00F6158F">
        <w:rPr>
          <w:sz w:val="24"/>
          <w:szCs w:val="24"/>
        </w:rPr>
        <w:t xml:space="preserve">; therefore, </w:t>
      </w:r>
      <w:r w:rsidR="00441FF9">
        <w:rPr>
          <w:sz w:val="24"/>
          <w:szCs w:val="24"/>
        </w:rPr>
        <w:t xml:space="preserve">removing the requirement for signatures from its director application </w:t>
      </w:r>
      <w:r w:rsidR="00A4081C" w:rsidRPr="00F6158F">
        <w:rPr>
          <w:sz w:val="24"/>
          <w:szCs w:val="24"/>
        </w:rPr>
        <w:t xml:space="preserve">is not in violation of </w:t>
      </w:r>
      <w:r w:rsidR="00A973F5" w:rsidRPr="00F6158F">
        <w:rPr>
          <w:sz w:val="24"/>
          <w:szCs w:val="24"/>
        </w:rPr>
        <w:t>TWC §</w:t>
      </w:r>
      <w:r w:rsidR="00E30DD5" w:rsidRPr="00F6158F">
        <w:rPr>
          <w:sz w:val="24"/>
          <w:szCs w:val="24"/>
        </w:rPr>
        <w:t> </w:t>
      </w:r>
      <w:r w:rsidR="00441FF9">
        <w:rPr>
          <w:sz w:val="24"/>
          <w:szCs w:val="24"/>
        </w:rPr>
        <w:t>13.004</w:t>
      </w:r>
      <w:r w:rsidR="00A4081C" w:rsidRPr="00F6158F">
        <w:rPr>
          <w:sz w:val="24"/>
          <w:szCs w:val="24"/>
        </w:rPr>
        <w:t>(a</w:t>
      </w:r>
      <w:proofErr w:type="gramStart"/>
      <w:r w:rsidR="00A4081C" w:rsidRPr="00F6158F">
        <w:rPr>
          <w:sz w:val="24"/>
          <w:szCs w:val="24"/>
        </w:rPr>
        <w:t>)(</w:t>
      </w:r>
      <w:proofErr w:type="gramEnd"/>
      <w:r w:rsidR="00A4081C" w:rsidRPr="00F6158F">
        <w:rPr>
          <w:sz w:val="24"/>
          <w:szCs w:val="24"/>
        </w:rPr>
        <w:t>2)</w:t>
      </w:r>
      <w:r w:rsidR="00F6158F">
        <w:rPr>
          <w:sz w:val="24"/>
          <w:szCs w:val="24"/>
        </w:rPr>
        <w:t xml:space="preserve"> because</w:t>
      </w:r>
      <w:r w:rsidR="00A4081C" w:rsidRPr="00F6158F">
        <w:rPr>
          <w:sz w:val="24"/>
          <w:szCs w:val="24"/>
        </w:rPr>
        <w:t xml:space="preserve"> applications for directors for Etoile are not required to have any signatures.</w:t>
      </w:r>
      <w:r w:rsidR="008F23E8" w:rsidRPr="0058449C">
        <w:rPr>
          <w:rStyle w:val="FootnoteReference"/>
          <w:sz w:val="22"/>
          <w:szCs w:val="22"/>
        </w:rPr>
        <w:footnoteReference w:id="14"/>
      </w:r>
      <w:r w:rsidR="00A4081C" w:rsidRPr="00F6158F">
        <w:rPr>
          <w:sz w:val="24"/>
          <w:szCs w:val="24"/>
        </w:rPr>
        <w:t xml:space="preserve">  </w:t>
      </w:r>
      <w:r w:rsidR="008F23E8">
        <w:rPr>
          <w:sz w:val="24"/>
          <w:szCs w:val="24"/>
        </w:rPr>
        <w:t xml:space="preserve">Finally, Etoile stated that should Ms. Theriot’s complaint be construed as being directed at the procedure by which the changes were made, and if that procedure is claimed to be </w:t>
      </w:r>
      <w:r w:rsidR="008F23E8">
        <w:rPr>
          <w:sz w:val="24"/>
          <w:szCs w:val="24"/>
        </w:rPr>
        <w:lastRenderedPageBreak/>
        <w:t xml:space="preserve">contrary to the requirements </w:t>
      </w:r>
      <w:r w:rsidR="00036428">
        <w:rPr>
          <w:sz w:val="24"/>
          <w:szCs w:val="24"/>
        </w:rPr>
        <w:t xml:space="preserve">of the Texas Open Meetings Act, </w:t>
      </w:r>
      <w:r w:rsidR="008F23E8">
        <w:rPr>
          <w:sz w:val="24"/>
          <w:szCs w:val="24"/>
        </w:rPr>
        <w:t>which has not been alleged by Ms.</w:t>
      </w:r>
      <w:r w:rsidR="005F7156">
        <w:rPr>
          <w:sz w:val="24"/>
          <w:szCs w:val="24"/>
        </w:rPr>
        <w:t> </w:t>
      </w:r>
      <w:r w:rsidR="008F23E8">
        <w:rPr>
          <w:sz w:val="24"/>
          <w:szCs w:val="24"/>
        </w:rPr>
        <w:t>Theriot, under no circumstances does the Commission have jurisdiction</w:t>
      </w:r>
      <w:r w:rsidR="008F23E8" w:rsidRPr="0058449C">
        <w:rPr>
          <w:sz w:val="22"/>
          <w:szCs w:val="22"/>
        </w:rPr>
        <w:t>.</w:t>
      </w:r>
      <w:r w:rsidR="008F23E8" w:rsidRPr="0058449C">
        <w:rPr>
          <w:rStyle w:val="FootnoteReference"/>
          <w:sz w:val="22"/>
          <w:szCs w:val="22"/>
        </w:rPr>
        <w:footnoteReference w:id="15"/>
      </w:r>
    </w:p>
    <w:p w:rsidR="00A4081C" w:rsidRPr="0058449C" w:rsidRDefault="006E1C2A" w:rsidP="00A9726D">
      <w:pPr>
        <w:spacing w:before="120" w:line="360" w:lineRule="auto"/>
        <w:ind w:firstLine="720"/>
        <w:textAlignment w:val="baseline"/>
        <w:rPr>
          <w:rStyle w:val="StyleBold"/>
          <w:rFonts w:eastAsia="SimSun"/>
          <w:b w:val="0"/>
          <w:caps w:val="0"/>
          <w:sz w:val="22"/>
          <w:szCs w:val="22"/>
        </w:rPr>
      </w:pPr>
      <w:r w:rsidRPr="00A973F5">
        <w:rPr>
          <w:szCs w:val="24"/>
        </w:rPr>
        <w:t xml:space="preserve">On </w:t>
      </w:r>
      <w:r w:rsidR="00A973F5" w:rsidRPr="00A973F5">
        <w:rPr>
          <w:szCs w:val="24"/>
        </w:rPr>
        <w:t>November 20, 2015</w:t>
      </w:r>
      <w:r w:rsidRPr="00A973F5">
        <w:rPr>
          <w:szCs w:val="24"/>
        </w:rPr>
        <w:t>, Commission Staff filed a position stat</w:t>
      </w:r>
      <w:r w:rsidR="00A345BD" w:rsidRPr="00A973F5">
        <w:rPr>
          <w:szCs w:val="24"/>
        </w:rPr>
        <w:t>ement</w:t>
      </w:r>
      <w:r w:rsidR="00F6158F">
        <w:rPr>
          <w:szCs w:val="24"/>
        </w:rPr>
        <w:t xml:space="preserve">, recommending </w:t>
      </w:r>
      <w:r w:rsidR="00A345BD" w:rsidRPr="00A973F5">
        <w:rPr>
          <w:szCs w:val="24"/>
        </w:rPr>
        <w:t>dismissal</w:t>
      </w:r>
      <w:r w:rsidRPr="00A973F5">
        <w:rPr>
          <w:szCs w:val="24"/>
        </w:rPr>
        <w:t>.</w:t>
      </w:r>
      <w:r w:rsidR="00A973F5" w:rsidRPr="00A973F5">
        <w:rPr>
          <w:szCs w:val="24"/>
        </w:rPr>
        <w:t xml:space="preserve"> </w:t>
      </w:r>
      <w:r w:rsidR="00A973F5">
        <w:rPr>
          <w:szCs w:val="24"/>
        </w:rPr>
        <w:t xml:space="preserve"> </w:t>
      </w:r>
      <w:r w:rsidR="0058449C">
        <w:rPr>
          <w:szCs w:val="24"/>
        </w:rPr>
        <w:t>Commission Staff recommended</w:t>
      </w:r>
      <w:r w:rsidR="00734517">
        <w:rPr>
          <w:szCs w:val="24"/>
        </w:rPr>
        <w:t xml:space="preserve"> that</w:t>
      </w:r>
      <w:r w:rsidR="00A973F5">
        <w:rPr>
          <w:szCs w:val="24"/>
        </w:rPr>
        <w:t>, b</w:t>
      </w:r>
      <w:r w:rsidR="00A4081C" w:rsidRPr="00A973F5">
        <w:rPr>
          <w:szCs w:val="24"/>
          <w:lang w:eastAsia="en-US"/>
        </w:rPr>
        <w:t xml:space="preserve">ased on </w:t>
      </w:r>
      <w:r w:rsidR="008F23E8">
        <w:rPr>
          <w:szCs w:val="24"/>
          <w:lang w:eastAsia="en-US"/>
        </w:rPr>
        <w:t xml:space="preserve">TWC §§ 67.0052 and 67.007, </w:t>
      </w:r>
      <w:r w:rsidR="00A4081C" w:rsidRPr="00A973F5">
        <w:rPr>
          <w:szCs w:val="24"/>
          <w:lang w:eastAsia="en-US"/>
        </w:rPr>
        <w:t>Etoile is not in violation of any statutor</w:t>
      </w:r>
      <w:r w:rsidR="0058449C">
        <w:rPr>
          <w:szCs w:val="24"/>
          <w:lang w:eastAsia="en-US"/>
        </w:rPr>
        <w:t>y requirements by changing the application for a d</w:t>
      </w:r>
      <w:r w:rsidR="00A4081C" w:rsidRPr="00A973F5">
        <w:rPr>
          <w:szCs w:val="24"/>
          <w:lang w:eastAsia="en-US"/>
        </w:rPr>
        <w:t>irector to remove the requirement that the application have 20 signatures of members of the district.</w:t>
      </w:r>
      <w:r w:rsidR="008F23E8" w:rsidRPr="0058449C">
        <w:rPr>
          <w:rStyle w:val="FootnoteReference"/>
          <w:sz w:val="22"/>
          <w:szCs w:val="22"/>
          <w:lang w:eastAsia="en-US"/>
        </w:rPr>
        <w:footnoteReference w:id="16"/>
      </w:r>
      <w:r w:rsidR="00A4081C" w:rsidRPr="0058449C">
        <w:rPr>
          <w:sz w:val="22"/>
          <w:szCs w:val="22"/>
          <w:lang w:eastAsia="en-US"/>
        </w:rPr>
        <w:t xml:space="preserve"> </w:t>
      </w:r>
      <w:r w:rsidR="00A973F5">
        <w:rPr>
          <w:szCs w:val="24"/>
          <w:lang w:eastAsia="en-US"/>
        </w:rPr>
        <w:t xml:space="preserve"> As a result,</w:t>
      </w:r>
      <w:r w:rsidR="00A4081C" w:rsidRPr="00A973F5">
        <w:rPr>
          <w:szCs w:val="24"/>
          <w:lang w:eastAsia="en-US"/>
        </w:rPr>
        <w:t xml:space="preserve"> </w:t>
      </w:r>
      <w:r w:rsidR="008F23E8">
        <w:rPr>
          <w:szCs w:val="24"/>
          <w:lang w:eastAsia="en-US"/>
        </w:rPr>
        <w:t xml:space="preserve">Commission Staff stated that </w:t>
      </w:r>
      <w:r w:rsidR="00A4081C" w:rsidRPr="00A973F5">
        <w:rPr>
          <w:szCs w:val="24"/>
          <w:lang w:eastAsia="en-US"/>
        </w:rPr>
        <w:t>the Commission does not have jurisdiction over Etoile under TWC § 13.004</w:t>
      </w:r>
      <w:r w:rsidR="00A973F5">
        <w:rPr>
          <w:szCs w:val="24"/>
          <w:lang w:eastAsia="en-US"/>
        </w:rPr>
        <w:t xml:space="preserve"> and </w:t>
      </w:r>
      <w:r w:rsidR="00A4081C" w:rsidRPr="00A973F5">
        <w:rPr>
          <w:szCs w:val="24"/>
          <w:lang w:eastAsia="en-US"/>
        </w:rPr>
        <w:t xml:space="preserve">the complaint </w:t>
      </w:r>
      <w:r w:rsidR="00A973F5">
        <w:rPr>
          <w:szCs w:val="24"/>
          <w:lang w:eastAsia="en-US"/>
        </w:rPr>
        <w:t xml:space="preserve">should be </w:t>
      </w:r>
      <w:r w:rsidR="00A4081C" w:rsidRPr="00A973F5">
        <w:rPr>
          <w:szCs w:val="24"/>
          <w:lang w:eastAsia="en-US"/>
        </w:rPr>
        <w:t>dismissed</w:t>
      </w:r>
      <w:r w:rsidR="00A973F5" w:rsidRPr="0058449C">
        <w:rPr>
          <w:sz w:val="22"/>
          <w:szCs w:val="22"/>
          <w:lang w:eastAsia="en-US"/>
        </w:rPr>
        <w:t>.</w:t>
      </w:r>
      <w:r w:rsidR="008F23E8" w:rsidRPr="0058449C">
        <w:rPr>
          <w:rStyle w:val="FootnoteReference"/>
          <w:sz w:val="22"/>
          <w:szCs w:val="22"/>
          <w:lang w:eastAsia="en-US"/>
        </w:rPr>
        <w:footnoteReference w:id="17"/>
      </w:r>
    </w:p>
    <w:p w:rsidR="003970CD" w:rsidRDefault="003B279A" w:rsidP="00A9726D">
      <w:pPr>
        <w:spacing w:before="120" w:line="360" w:lineRule="auto"/>
        <w:ind w:left="144" w:firstLine="720"/>
        <w:textAlignment w:val="baseline"/>
        <w:rPr>
          <w:color w:val="000000"/>
        </w:rPr>
      </w:pPr>
      <w:r>
        <w:rPr>
          <w:color w:val="000000"/>
        </w:rPr>
        <w:t xml:space="preserve">The </w:t>
      </w:r>
      <w:r w:rsidR="0058449C">
        <w:rPr>
          <w:color w:val="000000"/>
        </w:rPr>
        <w:t xml:space="preserve">Commission finds that Etoile’s notice of its November </w:t>
      </w:r>
      <w:r w:rsidR="0058449C">
        <w:rPr>
          <w:szCs w:val="24"/>
          <w:lang w:eastAsia="en-US"/>
        </w:rPr>
        <w:t>18, 2013 boa</w:t>
      </w:r>
      <w:r w:rsidR="00A74738">
        <w:rPr>
          <w:szCs w:val="24"/>
          <w:lang w:eastAsia="en-US"/>
        </w:rPr>
        <w:t>rd meeting, which included an item for the discussion and/or approval of an amendment to the utility’s bylaws,</w:t>
      </w:r>
      <w:r w:rsidR="0058449C">
        <w:rPr>
          <w:color w:val="000000"/>
        </w:rPr>
        <w:t xml:space="preserve"> was sufficient</w:t>
      </w:r>
      <w:r w:rsidR="00A74738">
        <w:rPr>
          <w:color w:val="000000"/>
        </w:rPr>
        <w:t xml:space="preserve"> notice </w:t>
      </w:r>
      <w:r w:rsidR="00B64D71">
        <w:rPr>
          <w:color w:val="000000"/>
        </w:rPr>
        <w:t xml:space="preserve">for the </w:t>
      </w:r>
      <w:r w:rsidR="00A74738">
        <w:rPr>
          <w:color w:val="000000"/>
        </w:rPr>
        <w:t>board’s vote to change the utility’s</w:t>
      </w:r>
      <w:r w:rsidR="00B64D71">
        <w:rPr>
          <w:color w:val="000000"/>
        </w:rPr>
        <w:t xml:space="preserve"> Election Procedures</w:t>
      </w:r>
      <w:r w:rsidR="003A0B60">
        <w:rPr>
          <w:color w:val="000000"/>
        </w:rPr>
        <w:t xml:space="preserve"> during that meeting</w:t>
      </w:r>
      <w:r w:rsidR="00A74738">
        <w:rPr>
          <w:color w:val="000000"/>
        </w:rPr>
        <w:t xml:space="preserve">.  Further, as noted by Commission </w:t>
      </w:r>
      <w:r w:rsidR="005F7156">
        <w:rPr>
          <w:color w:val="000000"/>
        </w:rPr>
        <w:t>S</w:t>
      </w:r>
      <w:r w:rsidR="00A74738">
        <w:rPr>
          <w:color w:val="000000"/>
        </w:rPr>
        <w:t xml:space="preserve">taff, the change to Etoile’s </w:t>
      </w:r>
      <w:r w:rsidR="00B64D71">
        <w:rPr>
          <w:color w:val="000000"/>
        </w:rPr>
        <w:t>Election Procedures</w:t>
      </w:r>
      <w:r w:rsidR="00A74738">
        <w:rPr>
          <w:color w:val="000000"/>
        </w:rPr>
        <w:t xml:space="preserve"> was a legal change.  For all these reasons, the Commission</w:t>
      </w:r>
      <w:r w:rsidR="0058449C">
        <w:rPr>
          <w:color w:val="000000"/>
        </w:rPr>
        <w:t xml:space="preserve"> </w:t>
      </w:r>
      <w:r w:rsidR="00036428">
        <w:rPr>
          <w:color w:val="000000"/>
        </w:rPr>
        <w:t xml:space="preserve">finds that Etoile did not </w:t>
      </w:r>
      <w:r w:rsidR="00A34609">
        <w:rPr>
          <w:color w:val="000000"/>
        </w:rPr>
        <w:t>violate TWC § 13.004(a)(1) or (2)</w:t>
      </w:r>
      <w:r w:rsidR="00036428">
        <w:rPr>
          <w:color w:val="000000"/>
        </w:rPr>
        <w:t xml:space="preserve"> when it changed its </w:t>
      </w:r>
      <w:r w:rsidR="00B64D71">
        <w:rPr>
          <w:color w:val="000000"/>
        </w:rPr>
        <w:t>Election Procedures by</w:t>
      </w:r>
      <w:r w:rsidR="00734517">
        <w:rPr>
          <w:color w:val="000000"/>
        </w:rPr>
        <w:t xml:space="preserve"> removing the member signatures requirement</w:t>
      </w:r>
      <w:r w:rsidR="00B64D71">
        <w:rPr>
          <w:color w:val="000000"/>
        </w:rPr>
        <w:t xml:space="preserve"> in the Application for Director section</w:t>
      </w:r>
      <w:r w:rsidR="00A74738">
        <w:rPr>
          <w:color w:val="000000"/>
        </w:rPr>
        <w:t>; therefore, t</w:t>
      </w:r>
      <w:r w:rsidR="003970CD">
        <w:rPr>
          <w:color w:val="000000"/>
        </w:rPr>
        <w:t xml:space="preserve">his matter is dismissed </w:t>
      </w:r>
      <w:r w:rsidR="00036428">
        <w:rPr>
          <w:color w:val="000000"/>
        </w:rPr>
        <w:t>for lack of jurisdiction</w:t>
      </w:r>
      <w:r w:rsidR="003C510E">
        <w:rPr>
          <w:color w:val="000000"/>
        </w:rPr>
        <w:t xml:space="preserve">.  </w:t>
      </w:r>
      <w:r w:rsidR="003970CD">
        <w:rPr>
          <w:color w:val="000000"/>
        </w:rPr>
        <w:t xml:space="preserve"> </w:t>
      </w:r>
    </w:p>
    <w:p w:rsidR="003970CD" w:rsidRPr="001B40F1" w:rsidRDefault="003970CD" w:rsidP="00A9726D">
      <w:pPr>
        <w:spacing w:before="120" w:line="360" w:lineRule="auto"/>
        <w:ind w:left="144" w:firstLine="576"/>
        <w:textAlignment w:val="baseline"/>
        <w:rPr>
          <w:color w:val="000000"/>
        </w:rPr>
      </w:pPr>
      <w:r w:rsidRPr="001B40F1">
        <w:rPr>
          <w:color w:val="000000"/>
        </w:rPr>
        <w:t>The Commission adopts the following findings of fact and conclusions of law:</w:t>
      </w:r>
    </w:p>
    <w:p w:rsidR="003970CD" w:rsidRPr="001B40F1" w:rsidRDefault="003970CD" w:rsidP="003970CD">
      <w:pPr>
        <w:spacing w:before="360" w:line="360" w:lineRule="auto"/>
        <w:ind w:left="144" w:firstLine="720"/>
        <w:jc w:val="center"/>
        <w:textAlignment w:val="baseline"/>
        <w:rPr>
          <w:b/>
          <w:color w:val="000000"/>
        </w:rPr>
      </w:pPr>
      <w:r>
        <w:rPr>
          <w:b/>
          <w:color w:val="000000"/>
        </w:rPr>
        <w:t>II.</w:t>
      </w:r>
      <w:r>
        <w:rPr>
          <w:b/>
          <w:color w:val="000000"/>
        </w:rPr>
        <w:tab/>
        <w:t xml:space="preserve">Findings </w:t>
      </w:r>
      <w:r w:rsidRPr="001B40F1">
        <w:rPr>
          <w:b/>
          <w:color w:val="000000"/>
        </w:rPr>
        <w:t>of Fact</w:t>
      </w:r>
    </w:p>
    <w:p w:rsidR="003970CD" w:rsidRPr="00A9726D" w:rsidRDefault="003970CD" w:rsidP="003970CD">
      <w:pPr>
        <w:pStyle w:val="NoFormatting"/>
        <w:rPr>
          <w:b/>
          <w:i/>
          <w:sz w:val="22"/>
          <w:szCs w:val="22"/>
          <w:u w:val="single"/>
        </w:rPr>
      </w:pPr>
      <w:r w:rsidRPr="00A9726D">
        <w:rPr>
          <w:b/>
          <w:i/>
          <w:sz w:val="22"/>
          <w:szCs w:val="22"/>
          <w:u w:val="single"/>
        </w:rPr>
        <w:t>Procedural History</w:t>
      </w:r>
    </w:p>
    <w:p w:rsidR="003970CD" w:rsidRDefault="00A973F5" w:rsidP="00A9726D">
      <w:pPr>
        <w:pStyle w:val="NoFormatting"/>
        <w:numPr>
          <w:ilvl w:val="0"/>
          <w:numId w:val="41"/>
        </w:numPr>
        <w:spacing w:before="120" w:line="360" w:lineRule="auto"/>
        <w:ind w:hanging="720"/>
        <w:rPr>
          <w:sz w:val="22"/>
          <w:szCs w:val="22"/>
        </w:rPr>
      </w:pPr>
      <w:r w:rsidRPr="00A4081C">
        <w:rPr>
          <w:szCs w:val="24"/>
          <w:lang w:eastAsia="en-US"/>
        </w:rPr>
        <w:t xml:space="preserve">On February 24, 2015, </w:t>
      </w:r>
      <w:r w:rsidRPr="00A01571">
        <w:rPr>
          <w:szCs w:val="24"/>
        </w:rPr>
        <w:t xml:space="preserve">Ms. </w:t>
      </w:r>
      <w:r w:rsidRPr="00A4081C">
        <w:rPr>
          <w:szCs w:val="24"/>
        </w:rPr>
        <w:t>Theriot</w:t>
      </w:r>
      <w:r w:rsidRPr="00A4081C">
        <w:rPr>
          <w:szCs w:val="24"/>
          <w:lang w:eastAsia="en-US"/>
        </w:rPr>
        <w:t xml:space="preserve"> filed a request to investigate </w:t>
      </w:r>
      <w:r w:rsidR="00B64D71">
        <w:rPr>
          <w:szCs w:val="24"/>
          <w:lang w:eastAsia="en-US"/>
        </w:rPr>
        <w:t xml:space="preserve">a change </w:t>
      </w:r>
      <w:r w:rsidR="005F7156">
        <w:rPr>
          <w:szCs w:val="24"/>
          <w:lang w:eastAsia="en-US"/>
        </w:rPr>
        <w:t xml:space="preserve">to </w:t>
      </w:r>
      <w:r>
        <w:rPr>
          <w:szCs w:val="24"/>
          <w:lang w:eastAsia="en-US"/>
        </w:rPr>
        <w:t>Etoile</w:t>
      </w:r>
      <w:r w:rsidR="00B64D71">
        <w:rPr>
          <w:szCs w:val="24"/>
          <w:lang w:eastAsia="en-US"/>
        </w:rPr>
        <w:t>’s Election Procedures;</w:t>
      </w:r>
      <w:r>
        <w:rPr>
          <w:szCs w:val="24"/>
          <w:lang w:eastAsia="en-US"/>
        </w:rPr>
        <w:t xml:space="preserve"> alleging </w:t>
      </w:r>
      <w:r w:rsidRPr="00A4081C">
        <w:rPr>
          <w:szCs w:val="24"/>
          <w:lang w:eastAsia="en-US"/>
        </w:rPr>
        <w:t xml:space="preserve">that Etoile </w:t>
      </w:r>
      <w:r w:rsidR="00BC093F">
        <w:rPr>
          <w:szCs w:val="24"/>
          <w:lang w:eastAsia="en-US"/>
        </w:rPr>
        <w:t xml:space="preserve">did not use the proper process when it </w:t>
      </w:r>
      <w:r w:rsidR="009B02C4">
        <w:rPr>
          <w:szCs w:val="24"/>
          <w:lang w:eastAsia="en-US"/>
        </w:rPr>
        <w:t>eliminated</w:t>
      </w:r>
      <w:r w:rsidRPr="00A4081C">
        <w:rPr>
          <w:szCs w:val="24"/>
          <w:lang w:eastAsia="en-US"/>
        </w:rPr>
        <w:t xml:space="preserve"> the</w:t>
      </w:r>
      <w:r w:rsidR="007D27B0">
        <w:rPr>
          <w:szCs w:val="24"/>
          <w:lang w:eastAsia="en-US"/>
        </w:rPr>
        <w:t xml:space="preserve"> 20 member</w:t>
      </w:r>
      <w:r w:rsidRPr="00A4081C">
        <w:rPr>
          <w:szCs w:val="24"/>
          <w:lang w:eastAsia="en-US"/>
        </w:rPr>
        <w:t xml:space="preserve"> signature requirement in the</w:t>
      </w:r>
      <w:r w:rsidR="00A74738">
        <w:rPr>
          <w:szCs w:val="24"/>
          <w:lang w:eastAsia="en-US"/>
        </w:rPr>
        <w:t xml:space="preserve"> </w:t>
      </w:r>
      <w:r w:rsidR="00B64D71">
        <w:rPr>
          <w:szCs w:val="24"/>
          <w:lang w:eastAsia="en-US"/>
        </w:rPr>
        <w:t>Application for a D</w:t>
      </w:r>
      <w:r w:rsidRPr="00A4081C">
        <w:rPr>
          <w:szCs w:val="24"/>
          <w:lang w:eastAsia="en-US"/>
        </w:rPr>
        <w:t>irector</w:t>
      </w:r>
      <w:r w:rsidR="00B64D71">
        <w:rPr>
          <w:szCs w:val="24"/>
          <w:lang w:eastAsia="en-US"/>
        </w:rPr>
        <w:t xml:space="preserve"> section of the</w:t>
      </w:r>
      <w:r w:rsidR="00BC093F">
        <w:rPr>
          <w:szCs w:val="24"/>
          <w:lang w:eastAsia="en-US"/>
        </w:rPr>
        <w:t xml:space="preserve"> utility’s</w:t>
      </w:r>
      <w:r w:rsidR="00B64D71">
        <w:rPr>
          <w:szCs w:val="24"/>
          <w:lang w:eastAsia="en-US"/>
        </w:rPr>
        <w:t xml:space="preserve"> Election Procedures</w:t>
      </w:r>
      <w:r w:rsidR="00BC093F">
        <w:rPr>
          <w:szCs w:val="24"/>
          <w:lang w:eastAsia="en-US"/>
        </w:rPr>
        <w:t>, and that the change itself may have been inappropriate</w:t>
      </w:r>
      <w:r w:rsidR="003970CD">
        <w:rPr>
          <w:color w:val="000000"/>
        </w:rPr>
        <w:t>.</w:t>
      </w:r>
    </w:p>
    <w:p w:rsidR="003970CD" w:rsidRPr="00514D64" w:rsidRDefault="003970CD" w:rsidP="00A9726D">
      <w:pPr>
        <w:pStyle w:val="NoFormatting"/>
        <w:numPr>
          <w:ilvl w:val="0"/>
          <w:numId w:val="41"/>
        </w:numPr>
        <w:spacing w:before="120" w:line="360" w:lineRule="auto"/>
        <w:ind w:hanging="720"/>
        <w:rPr>
          <w:sz w:val="22"/>
          <w:szCs w:val="22"/>
        </w:rPr>
      </w:pPr>
      <w:r>
        <w:rPr>
          <w:color w:val="000000"/>
        </w:rPr>
        <w:t xml:space="preserve">On </w:t>
      </w:r>
      <w:r w:rsidR="00A973F5">
        <w:rPr>
          <w:color w:val="000000"/>
        </w:rPr>
        <w:t>September 25, 2015</w:t>
      </w:r>
      <w:r>
        <w:rPr>
          <w:color w:val="000000"/>
        </w:rPr>
        <w:t xml:space="preserve">, </w:t>
      </w:r>
      <w:r w:rsidR="00A34609">
        <w:rPr>
          <w:szCs w:val="24"/>
        </w:rPr>
        <w:t xml:space="preserve">Order No. 1 was issued, </w:t>
      </w:r>
      <w:r w:rsidRPr="00D9412D">
        <w:rPr>
          <w:szCs w:val="24"/>
        </w:rPr>
        <w:t xml:space="preserve">requiring </w:t>
      </w:r>
      <w:r w:rsidR="00A973F5">
        <w:rPr>
          <w:szCs w:val="24"/>
        </w:rPr>
        <w:t>Etoile</w:t>
      </w:r>
      <w:r w:rsidRPr="00D9412D">
        <w:rPr>
          <w:szCs w:val="24"/>
        </w:rPr>
        <w:t xml:space="preserve"> to respond to </w:t>
      </w:r>
      <w:r w:rsidR="00B64D71">
        <w:rPr>
          <w:szCs w:val="24"/>
        </w:rPr>
        <w:t>Ms.</w:t>
      </w:r>
      <w:r w:rsidR="005F7156">
        <w:rPr>
          <w:szCs w:val="24"/>
        </w:rPr>
        <w:t> </w:t>
      </w:r>
      <w:r w:rsidR="00B64D71">
        <w:rPr>
          <w:szCs w:val="24"/>
        </w:rPr>
        <w:t xml:space="preserve">Theriot’s request </w:t>
      </w:r>
      <w:r>
        <w:rPr>
          <w:szCs w:val="24"/>
        </w:rPr>
        <w:t>and requiring a Commission Staff position statement.</w:t>
      </w:r>
    </w:p>
    <w:p w:rsidR="003970CD" w:rsidRPr="004D2F57" w:rsidRDefault="003970CD" w:rsidP="00A9726D">
      <w:pPr>
        <w:pStyle w:val="NoFormatting"/>
        <w:numPr>
          <w:ilvl w:val="0"/>
          <w:numId w:val="41"/>
        </w:numPr>
        <w:spacing w:before="120" w:line="360" w:lineRule="auto"/>
        <w:ind w:hanging="720"/>
        <w:rPr>
          <w:sz w:val="22"/>
          <w:szCs w:val="22"/>
        </w:rPr>
      </w:pPr>
      <w:r>
        <w:rPr>
          <w:szCs w:val="24"/>
        </w:rPr>
        <w:lastRenderedPageBreak/>
        <w:t xml:space="preserve">On </w:t>
      </w:r>
      <w:r w:rsidR="00A973F5">
        <w:rPr>
          <w:szCs w:val="24"/>
        </w:rPr>
        <w:t>October 23, 2015</w:t>
      </w:r>
      <w:r w:rsidR="0066634E">
        <w:rPr>
          <w:szCs w:val="24"/>
        </w:rPr>
        <w:t>,</w:t>
      </w:r>
      <w:r>
        <w:rPr>
          <w:szCs w:val="24"/>
        </w:rPr>
        <w:t xml:space="preserve"> </w:t>
      </w:r>
      <w:r w:rsidR="00A973F5">
        <w:rPr>
          <w:szCs w:val="24"/>
        </w:rPr>
        <w:t>Etoile</w:t>
      </w:r>
      <w:r>
        <w:rPr>
          <w:szCs w:val="24"/>
        </w:rPr>
        <w:t xml:space="preserve"> </w:t>
      </w:r>
      <w:r w:rsidR="00036428">
        <w:rPr>
          <w:szCs w:val="24"/>
        </w:rPr>
        <w:t>responded</w:t>
      </w:r>
      <w:r>
        <w:rPr>
          <w:szCs w:val="24"/>
        </w:rPr>
        <w:t xml:space="preserve"> </w:t>
      </w:r>
      <w:r w:rsidR="0066634E">
        <w:rPr>
          <w:szCs w:val="24"/>
        </w:rPr>
        <w:t xml:space="preserve">to Ms. </w:t>
      </w:r>
      <w:r w:rsidR="00A973F5">
        <w:rPr>
          <w:szCs w:val="24"/>
        </w:rPr>
        <w:t>Theriot’s</w:t>
      </w:r>
      <w:r>
        <w:rPr>
          <w:szCs w:val="24"/>
        </w:rPr>
        <w:t xml:space="preserve"> </w:t>
      </w:r>
      <w:r w:rsidR="00B64D71">
        <w:rPr>
          <w:szCs w:val="24"/>
        </w:rPr>
        <w:t>request</w:t>
      </w:r>
      <w:r w:rsidR="00036428">
        <w:rPr>
          <w:szCs w:val="24"/>
        </w:rPr>
        <w:t>, claiming that the corporation has not violated TWC § 13.004</w:t>
      </w:r>
      <w:r w:rsidR="00A34609">
        <w:rPr>
          <w:szCs w:val="24"/>
        </w:rPr>
        <w:t>(a) and therefore that the Commission lacks jurisdiction</w:t>
      </w:r>
      <w:r>
        <w:rPr>
          <w:szCs w:val="24"/>
        </w:rPr>
        <w:t>.</w:t>
      </w:r>
    </w:p>
    <w:p w:rsidR="003970CD" w:rsidRPr="00556DDD" w:rsidRDefault="003970CD" w:rsidP="00A9726D">
      <w:pPr>
        <w:pStyle w:val="NoFormatting"/>
        <w:numPr>
          <w:ilvl w:val="0"/>
          <w:numId w:val="41"/>
        </w:numPr>
        <w:spacing w:before="120" w:line="360" w:lineRule="auto"/>
        <w:ind w:hanging="720"/>
        <w:rPr>
          <w:sz w:val="22"/>
          <w:szCs w:val="22"/>
        </w:rPr>
      </w:pPr>
      <w:r>
        <w:rPr>
          <w:color w:val="000000"/>
        </w:rPr>
        <w:t xml:space="preserve">On </w:t>
      </w:r>
      <w:r w:rsidR="00A973F5">
        <w:rPr>
          <w:color w:val="000000"/>
        </w:rPr>
        <w:t>November 20, 2015</w:t>
      </w:r>
      <w:r>
        <w:rPr>
          <w:color w:val="000000"/>
        </w:rPr>
        <w:t>, Commission Staff recommended dismissal</w:t>
      </w:r>
      <w:r w:rsidR="004E6155">
        <w:rPr>
          <w:color w:val="000000"/>
        </w:rPr>
        <w:t xml:space="preserve"> of Ms. </w:t>
      </w:r>
      <w:r w:rsidR="00A973F5">
        <w:rPr>
          <w:szCs w:val="24"/>
        </w:rPr>
        <w:t>Theriot’s</w:t>
      </w:r>
      <w:r w:rsidR="004E6155">
        <w:rPr>
          <w:color w:val="000000"/>
        </w:rPr>
        <w:t xml:space="preserve"> complaint</w:t>
      </w:r>
      <w:r w:rsidR="00036428">
        <w:rPr>
          <w:color w:val="000000"/>
        </w:rPr>
        <w:t xml:space="preserve"> for lack of jurisdiction</w:t>
      </w:r>
      <w:r>
        <w:rPr>
          <w:color w:val="000000"/>
        </w:rPr>
        <w:t>.</w:t>
      </w:r>
    </w:p>
    <w:p w:rsidR="003970CD" w:rsidRPr="00A9726D" w:rsidRDefault="003970CD" w:rsidP="003970CD">
      <w:pPr>
        <w:pStyle w:val="FOFNumbered"/>
        <w:numPr>
          <w:ilvl w:val="0"/>
          <w:numId w:val="0"/>
        </w:numPr>
        <w:spacing w:before="240"/>
        <w:rPr>
          <w:b/>
          <w:i/>
          <w:snapToGrid/>
          <w:sz w:val="22"/>
          <w:szCs w:val="22"/>
          <w:u w:val="single"/>
        </w:rPr>
      </w:pPr>
      <w:r w:rsidRPr="00A9726D">
        <w:rPr>
          <w:b/>
          <w:i/>
          <w:snapToGrid/>
          <w:sz w:val="22"/>
          <w:szCs w:val="22"/>
          <w:u w:val="single"/>
        </w:rPr>
        <w:t>Complaint</w:t>
      </w:r>
    </w:p>
    <w:p w:rsidR="003970CD" w:rsidRDefault="0066634E" w:rsidP="00A9726D">
      <w:pPr>
        <w:pStyle w:val="FOFNumbered"/>
        <w:spacing w:before="0"/>
        <w:rPr>
          <w:snapToGrid/>
        </w:rPr>
      </w:pPr>
      <w:r>
        <w:rPr>
          <w:snapToGrid/>
        </w:rPr>
        <w:t xml:space="preserve">Ms. </w:t>
      </w:r>
      <w:r w:rsidR="003C0466">
        <w:rPr>
          <w:snapToGrid/>
        </w:rPr>
        <w:t>Theriot i</w:t>
      </w:r>
      <w:r>
        <w:rPr>
          <w:snapToGrid/>
        </w:rPr>
        <w:t xml:space="preserve">s </w:t>
      </w:r>
      <w:r w:rsidR="00BC093F">
        <w:rPr>
          <w:snapToGrid/>
        </w:rPr>
        <w:t xml:space="preserve">a member of </w:t>
      </w:r>
      <w:r w:rsidR="003C0466">
        <w:rPr>
          <w:snapToGrid/>
        </w:rPr>
        <w:t>Etoile</w:t>
      </w:r>
      <w:r w:rsidR="003970CD">
        <w:rPr>
          <w:snapToGrid/>
        </w:rPr>
        <w:t>.</w:t>
      </w:r>
    </w:p>
    <w:p w:rsidR="00A34609" w:rsidRDefault="00B64D71" w:rsidP="00A9726D">
      <w:pPr>
        <w:pStyle w:val="FOFNumbered"/>
        <w:rPr>
          <w:snapToGrid/>
        </w:rPr>
      </w:pPr>
      <w:r>
        <w:rPr>
          <w:snapToGrid/>
        </w:rPr>
        <w:t>During the November 18, 2013 regular monthly meeting of Etoile’s board of directors, a motion to remove</w:t>
      </w:r>
      <w:r w:rsidR="00A34609">
        <w:rPr>
          <w:snapToGrid/>
        </w:rPr>
        <w:t xml:space="preserve"> the requirement for 20 Etoile member signatures from </w:t>
      </w:r>
      <w:r w:rsidR="004A3E32">
        <w:rPr>
          <w:snapToGrid/>
        </w:rPr>
        <w:t xml:space="preserve">the </w:t>
      </w:r>
      <w:r>
        <w:rPr>
          <w:snapToGrid/>
        </w:rPr>
        <w:t>Application for Director</w:t>
      </w:r>
      <w:r w:rsidR="004A3E32">
        <w:rPr>
          <w:snapToGrid/>
        </w:rPr>
        <w:t xml:space="preserve"> </w:t>
      </w:r>
      <w:r w:rsidR="008F7990">
        <w:rPr>
          <w:snapToGrid/>
        </w:rPr>
        <w:t>Section</w:t>
      </w:r>
      <w:r w:rsidR="004A3E32">
        <w:rPr>
          <w:snapToGrid/>
        </w:rPr>
        <w:t xml:space="preserve"> </w:t>
      </w:r>
      <w:r w:rsidR="008F7990">
        <w:rPr>
          <w:snapToGrid/>
        </w:rPr>
        <w:t>of the utility’s</w:t>
      </w:r>
      <w:r w:rsidR="004A3E32">
        <w:rPr>
          <w:snapToGrid/>
        </w:rPr>
        <w:t xml:space="preserve"> Election Procedures</w:t>
      </w:r>
      <w:r>
        <w:rPr>
          <w:snapToGrid/>
        </w:rPr>
        <w:t xml:space="preserve"> was considered and approved</w:t>
      </w:r>
      <w:r w:rsidR="00A34609">
        <w:rPr>
          <w:snapToGrid/>
        </w:rPr>
        <w:t>.</w:t>
      </w:r>
    </w:p>
    <w:p w:rsidR="008F7990" w:rsidRDefault="008F7990" w:rsidP="00A9726D">
      <w:pPr>
        <w:pStyle w:val="FOFNumbered"/>
        <w:rPr>
          <w:snapToGrid/>
        </w:rPr>
      </w:pPr>
      <w:r>
        <w:rPr>
          <w:snapToGrid/>
        </w:rPr>
        <w:t xml:space="preserve">The November 18, 2013 agenda for the regular meeting of Etoile’s board of directors did not contain an agenda item specifying that the board would be discussing and possibly </w:t>
      </w:r>
      <w:r w:rsidR="00BC093F">
        <w:rPr>
          <w:snapToGrid/>
        </w:rPr>
        <w:t>changing</w:t>
      </w:r>
      <w:r>
        <w:rPr>
          <w:snapToGrid/>
        </w:rPr>
        <w:t xml:space="preserve"> its Election Procedures.</w:t>
      </w:r>
    </w:p>
    <w:p w:rsidR="008F7990" w:rsidRDefault="008F7990" w:rsidP="00A9726D">
      <w:pPr>
        <w:pStyle w:val="FOFNumbered"/>
        <w:rPr>
          <w:snapToGrid/>
        </w:rPr>
      </w:pPr>
      <w:r>
        <w:rPr>
          <w:snapToGrid/>
        </w:rPr>
        <w:t>Item VI of the November 18, 2013 agenda for the regular monthly meeting of Etoile’s board of directors was “Discuss and/or Approve Amending Bylaws.”</w:t>
      </w:r>
    </w:p>
    <w:p w:rsidR="008F7990" w:rsidRPr="00B64D71" w:rsidRDefault="008F7990" w:rsidP="00A9726D">
      <w:pPr>
        <w:pStyle w:val="FOFNumbered"/>
        <w:rPr>
          <w:snapToGrid/>
        </w:rPr>
      </w:pPr>
      <w:r>
        <w:rPr>
          <w:snapToGrid/>
        </w:rPr>
        <w:t xml:space="preserve">Item IX of the November 18, 2013 agenda for the regular monthly meeting of Etoile’s board of directors was “Discuss and/or Approve Office Managers Report.” </w:t>
      </w:r>
    </w:p>
    <w:p w:rsidR="00B64D71" w:rsidRDefault="004A3E32" w:rsidP="00A9726D">
      <w:pPr>
        <w:pStyle w:val="FOFNumbered"/>
        <w:rPr>
          <w:snapToGrid/>
        </w:rPr>
      </w:pPr>
      <w:r>
        <w:rPr>
          <w:snapToGrid/>
        </w:rPr>
        <w:t xml:space="preserve">During the Operations Managers Report portion of the November 18, 2013 regular meeting of Etoile’s board of directors, a vote was taken approving a change </w:t>
      </w:r>
      <w:r w:rsidR="008F7990">
        <w:rPr>
          <w:snapToGrid/>
        </w:rPr>
        <w:t xml:space="preserve">to </w:t>
      </w:r>
      <w:r>
        <w:rPr>
          <w:snapToGrid/>
        </w:rPr>
        <w:t xml:space="preserve">the utility’s Election Procedures.   </w:t>
      </w:r>
    </w:p>
    <w:p w:rsidR="008F7990" w:rsidRDefault="008F7990" w:rsidP="00A9726D">
      <w:pPr>
        <w:pStyle w:val="FOFNumbered"/>
        <w:rPr>
          <w:snapToGrid/>
        </w:rPr>
      </w:pPr>
      <w:r>
        <w:rPr>
          <w:snapToGrid/>
        </w:rPr>
        <w:t>Ms. Theriot stated that she does not believe this process was proper</w:t>
      </w:r>
      <w:r w:rsidR="00BC093F">
        <w:rPr>
          <w:snapToGrid/>
        </w:rPr>
        <w:t xml:space="preserve"> and that 20 member signatures have not been required in an Application for Director since 2013.</w:t>
      </w:r>
      <w:r>
        <w:rPr>
          <w:snapToGrid/>
        </w:rPr>
        <w:t xml:space="preserve"> </w:t>
      </w:r>
    </w:p>
    <w:p w:rsidR="003970CD" w:rsidRPr="001F40D1" w:rsidRDefault="003970CD" w:rsidP="003970CD">
      <w:pPr>
        <w:pStyle w:val="FOFNumbered"/>
        <w:numPr>
          <w:ilvl w:val="0"/>
          <w:numId w:val="0"/>
        </w:numPr>
        <w:spacing w:before="360"/>
        <w:jc w:val="center"/>
        <w:rPr>
          <w:b/>
          <w:snapToGrid/>
        </w:rPr>
      </w:pPr>
      <w:r>
        <w:rPr>
          <w:b/>
        </w:rPr>
        <w:t>I</w:t>
      </w:r>
      <w:r w:rsidR="003B279A">
        <w:rPr>
          <w:b/>
        </w:rPr>
        <w:t>II</w:t>
      </w:r>
      <w:r>
        <w:rPr>
          <w:b/>
        </w:rPr>
        <w:t>.</w:t>
      </w:r>
      <w:r>
        <w:rPr>
          <w:b/>
        </w:rPr>
        <w:tab/>
      </w:r>
      <w:r w:rsidRPr="001F40D1">
        <w:rPr>
          <w:b/>
        </w:rPr>
        <w:t>Conclusions of Law</w:t>
      </w:r>
    </w:p>
    <w:p w:rsidR="003970CD" w:rsidRPr="00773A27" w:rsidRDefault="00A83343" w:rsidP="00A9726D">
      <w:pPr>
        <w:pStyle w:val="FOFNumbered"/>
        <w:numPr>
          <w:ilvl w:val="0"/>
          <w:numId w:val="42"/>
        </w:numPr>
        <w:ind w:hanging="720"/>
        <w:rPr>
          <w:snapToGrid/>
        </w:rPr>
      </w:pPr>
      <w:r>
        <w:rPr>
          <w:szCs w:val="24"/>
        </w:rPr>
        <w:t>The Commission does not have jurisdiction over Ms. Theriot’s complaint under TWC § 13.004(a)</w:t>
      </w:r>
      <w:r w:rsidR="00A34609">
        <w:rPr>
          <w:snapToGrid/>
        </w:rPr>
        <w:t>.</w:t>
      </w:r>
    </w:p>
    <w:p w:rsidR="00A34609" w:rsidRPr="00D9412D" w:rsidRDefault="00A34609" w:rsidP="00A9726D">
      <w:pPr>
        <w:pStyle w:val="FOFNumbered"/>
        <w:numPr>
          <w:ilvl w:val="0"/>
          <w:numId w:val="42"/>
        </w:numPr>
        <w:ind w:hanging="720"/>
        <w:rPr>
          <w:snapToGrid/>
        </w:rPr>
      </w:pPr>
      <w:r>
        <w:rPr>
          <w:snapToGrid/>
        </w:rPr>
        <w:t xml:space="preserve">Etoile is a non-profit water supply corporation as prescribed by </w:t>
      </w:r>
      <w:r>
        <w:t xml:space="preserve">TWC </w:t>
      </w:r>
      <w:r>
        <w:rPr>
          <w:color w:val="000000"/>
        </w:rPr>
        <w:t>§§ 13.002(11) and (24)</w:t>
      </w:r>
      <w:r w:rsidRPr="00431ED2">
        <w:rPr>
          <w:lang w:val="fr-FR"/>
        </w:rPr>
        <w:t>.</w:t>
      </w:r>
    </w:p>
    <w:p w:rsidR="003425ED" w:rsidRDefault="003425ED" w:rsidP="00A9726D">
      <w:pPr>
        <w:pStyle w:val="FOFNumbered"/>
        <w:numPr>
          <w:ilvl w:val="0"/>
          <w:numId w:val="42"/>
        </w:numPr>
        <w:ind w:hanging="720"/>
        <w:rPr>
          <w:snapToGrid/>
          <w:szCs w:val="24"/>
        </w:rPr>
      </w:pPr>
      <w:r w:rsidRPr="00CB5559">
        <w:lastRenderedPageBreak/>
        <w:t xml:space="preserve">This docket was processed in accordance with the requirements of </w:t>
      </w:r>
      <w:r>
        <w:t>the Texas Water Code</w:t>
      </w:r>
      <w:r w:rsidRPr="00075BF2">
        <w:rPr>
          <w:smallCaps/>
        </w:rPr>
        <w:t xml:space="preserve"> </w:t>
      </w:r>
      <w:r w:rsidRPr="00CB5559">
        <w:t>and Commission rules</w:t>
      </w:r>
      <w:r w:rsidRPr="00CB5559">
        <w:rPr>
          <w:snapToGrid/>
          <w:szCs w:val="24"/>
        </w:rPr>
        <w:t>.</w:t>
      </w:r>
    </w:p>
    <w:p w:rsidR="00036428" w:rsidRPr="00036428" w:rsidRDefault="00036428" w:rsidP="00A9726D">
      <w:pPr>
        <w:pStyle w:val="FOFNumbered"/>
        <w:numPr>
          <w:ilvl w:val="0"/>
          <w:numId w:val="42"/>
        </w:numPr>
        <w:ind w:hanging="720"/>
        <w:rPr>
          <w:snapToGrid/>
        </w:rPr>
      </w:pPr>
      <w:r w:rsidRPr="00A973F5">
        <w:rPr>
          <w:szCs w:val="24"/>
        </w:rPr>
        <w:t xml:space="preserve">Etoile </w:t>
      </w:r>
      <w:r w:rsidR="004A3E32">
        <w:rPr>
          <w:szCs w:val="24"/>
        </w:rPr>
        <w:t xml:space="preserve">is entitled to dismissal of this proceeding, having demonstrated that the utility </w:t>
      </w:r>
      <w:r w:rsidR="00A34609">
        <w:rPr>
          <w:szCs w:val="24"/>
        </w:rPr>
        <w:t xml:space="preserve">did not violate TWC § 13.004(a).  </w:t>
      </w:r>
    </w:p>
    <w:p w:rsidR="00036428" w:rsidRPr="00036428" w:rsidRDefault="00036428" w:rsidP="00A9726D">
      <w:pPr>
        <w:pStyle w:val="BodyTextIndented"/>
        <w:widowControl w:val="0"/>
        <w:numPr>
          <w:ilvl w:val="0"/>
          <w:numId w:val="42"/>
        </w:numPr>
        <w:autoSpaceDE w:val="0"/>
        <w:autoSpaceDN w:val="0"/>
        <w:ind w:hanging="720"/>
      </w:pPr>
      <w:r w:rsidRPr="005336C5">
        <w:t xml:space="preserve">The 20-day notice requirement in </w:t>
      </w:r>
      <w:r>
        <w:t xml:space="preserve">16 </w:t>
      </w:r>
      <w:r w:rsidRPr="005336C5">
        <w:t>T</w:t>
      </w:r>
      <w:r w:rsidR="008F7990">
        <w:t xml:space="preserve">ex. </w:t>
      </w:r>
      <w:r w:rsidRPr="005336C5">
        <w:t>A</w:t>
      </w:r>
      <w:r w:rsidR="008F7990">
        <w:t xml:space="preserve">dmin. </w:t>
      </w:r>
      <w:r w:rsidRPr="005336C5">
        <w:t>C</w:t>
      </w:r>
      <w:r w:rsidR="008F7990">
        <w:t>ode</w:t>
      </w:r>
      <w:r w:rsidRPr="005336C5">
        <w:t xml:space="preserve"> § 22.35 </w:t>
      </w:r>
      <w:r w:rsidR="008F7990">
        <w:t xml:space="preserve">(TAC) </w:t>
      </w:r>
      <w:r w:rsidRPr="005336C5">
        <w:t>has been met in this proceeding.</w:t>
      </w:r>
    </w:p>
    <w:p w:rsidR="003970CD" w:rsidRPr="002D5AB2" w:rsidRDefault="003B279A" w:rsidP="00E30DD5">
      <w:pPr>
        <w:pStyle w:val="FOFNumbered"/>
        <w:numPr>
          <w:ilvl w:val="0"/>
          <w:numId w:val="0"/>
        </w:numPr>
        <w:spacing w:before="240"/>
        <w:jc w:val="center"/>
        <w:rPr>
          <w:b/>
        </w:rPr>
      </w:pPr>
      <w:r>
        <w:rPr>
          <w:b/>
        </w:rPr>
        <w:t>I</w:t>
      </w:r>
      <w:r w:rsidR="0029623D">
        <w:rPr>
          <w:b/>
        </w:rPr>
        <w:t>V.</w:t>
      </w:r>
      <w:r w:rsidR="0029623D">
        <w:rPr>
          <w:b/>
        </w:rPr>
        <w:tab/>
      </w:r>
      <w:r w:rsidR="003970CD" w:rsidRPr="002D5AB2">
        <w:rPr>
          <w:b/>
        </w:rPr>
        <w:t>Ordering Paragraphs</w:t>
      </w:r>
    </w:p>
    <w:p w:rsidR="003970CD" w:rsidRPr="00CB5559" w:rsidRDefault="003970CD" w:rsidP="00A9726D">
      <w:pPr>
        <w:tabs>
          <w:tab w:val="left" w:pos="720"/>
        </w:tabs>
        <w:spacing w:before="120" w:line="360" w:lineRule="auto"/>
        <w:textAlignment w:val="baseline"/>
        <w:rPr>
          <w:color w:val="000000"/>
          <w:szCs w:val="24"/>
        </w:rPr>
      </w:pPr>
      <w:r w:rsidRPr="00CB5559">
        <w:rPr>
          <w:color w:val="000000"/>
          <w:szCs w:val="24"/>
        </w:rPr>
        <w:tab/>
        <w:t>In accordance with these findings of fact and conclusions of law, the Commission issues the following Order:</w:t>
      </w:r>
    </w:p>
    <w:p w:rsidR="003970CD" w:rsidRDefault="003970CD" w:rsidP="00A9726D">
      <w:pPr>
        <w:pStyle w:val="BodyTextIndented"/>
        <w:tabs>
          <w:tab w:val="left" w:pos="720"/>
        </w:tabs>
        <w:ind w:left="720" w:hanging="720"/>
      </w:pPr>
      <w:r>
        <w:t>1.</w:t>
      </w:r>
      <w:r>
        <w:tab/>
      </w:r>
      <w:r w:rsidR="0045719C">
        <w:t xml:space="preserve">Ms. </w:t>
      </w:r>
      <w:r w:rsidR="00E30DD5">
        <w:t>Theriot</w:t>
      </w:r>
      <w:r w:rsidR="0045719C">
        <w:t xml:space="preserve">’s </w:t>
      </w:r>
      <w:r w:rsidR="00036428">
        <w:t xml:space="preserve">request </w:t>
      </w:r>
      <w:r w:rsidR="0045719C">
        <w:t xml:space="preserve">is dismissed </w:t>
      </w:r>
      <w:r w:rsidRPr="00CB5559">
        <w:t xml:space="preserve">pursuant to </w:t>
      </w:r>
      <w:r w:rsidR="00036428">
        <w:t xml:space="preserve">16 TAC </w:t>
      </w:r>
      <w:r w:rsidR="003425ED">
        <w:t xml:space="preserve">§ </w:t>
      </w:r>
      <w:r w:rsidR="00036428">
        <w:t>22.181(a</w:t>
      </w:r>
      <w:proofErr w:type="gramStart"/>
      <w:r w:rsidR="00036428">
        <w:t>)(</w:t>
      </w:r>
      <w:proofErr w:type="gramEnd"/>
      <w:r w:rsidR="00036428">
        <w:t xml:space="preserve">1)(A), for lack of jurisdiction.  </w:t>
      </w:r>
    </w:p>
    <w:p w:rsidR="00E30DD5" w:rsidRDefault="003970CD" w:rsidP="00A9726D">
      <w:pPr>
        <w:pStyle w:val="BodyTextIndented"/>
        <w:ind w:left="720" w:hanging="720"/>
      </w:pPr>
      <w:r>
        <w:t>2</w:t>
      </w:r>
      <w:r w:rsidRPr="00CB5559">
        <w:t>.</w:t>
      </w:r>
      <w:r w:rsidRPr="00CB5559">
        <w:tab/>
        <w:t xml:space="preserve">All other motions, requests for entry of specific finds of fact and conclusions of law, and any other request for general or specific relief, if not expressly granted herein, are denied. </w:t>
      </w:r>
    </w:p>
    <w:p w:rsidR="003970CD" w:rsidRDefault="003970CD" w:rsidP="00C86485">
      <w:pPr>
        <w:pStyle w:val="BodyTextIndented"/>
        <w:spacing w:before="240" w:after="120"/>
        <w:ind w:left="720" w:firstLine="0"/>
        <w:rPr>
          <w:b/>
        </w:rPr>
      </w:pPr>
      <w:r w:rsidRPr="00CB5559">
        <w:rPr>
          <w:b/>
        </w:rPr>
        <w:t xml:space="preserve">SIGNED AT AUSTIN, TEXAS the </w:t>
      </w:r>
      <w:r w:rsidRPr="00CB5559">
        <w:t xml:space="preserve">______ </w:t>
      </w:r>
      <w:r w:rsidRPr="00CB5559">
        <w:rPr>
          <w:b/>
        </w:rPr>
        <w:t xml:space="preserve">day of </w:t>
      </w:r>
      <w:r w:rsidR="007713E7">
        <w:rPr>
          <w:b/>
        </w:rPr>
        <w:t>April</w:t>
      </w:r>
      <w:r>
        <w:rPr>
          <w:b/>
        </w:rPr>
        <w:t xml:space="preserve"> </w:t>
      </w:r>
      <w:r w:rsidR="00E30DD5">
        <w:rPr>
          <w:b/>
        </w:rPr>
        <w:t>2016</w:t>
      </w:r>
      <w:r w:rsidRPr="00CB5559">
        <w:rPr>
          <w:b/>
        </w:rPr>
        <w:t>.</w:t>
      </w:r>
    </w:p>
    <w:p w:rsidR="003970CD" w:rsidRPr="00CB5559" w:rsidRDefault="003970CD" w:rsidP="003970CD">
      <w:pPr>
        <w:pStyle w:val="BodyTextIndented"/>
        <w:spacing w:after="600"/>
        <w:ind w:left="3600" w:firstLine="0"/>
        <w:rPr>
          <w:b/>
        </w:rPr>
      </w:pPr>
      <w:r w:rsidRPr="00CB5559">
        <w:rPr>
          <w:b/>
        </w:rPr>
        <w:t>PUBLIC UTILITY COMMISSION OF TEXAS</w:t>
      </w:r>
    </w:p>
    <w:p w:rsidR="003970CD" w:rsidRPr="00312703" w:rsidRDefault="003970CD" w:rsidP="003970CD">
      <w:pPr>
        <w:keepNext/>
        <w:tabs>
          <w:tab w:val="left" w:pos="3600"/>
          <w:tab w:val="left" w:pos="8370"/>
        </w:tabs>
        <w:spacing w:before="120"/>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3970CD">
      <w:pPr>
        <w:keepNext/>
        <w:tabs>
          <w:tab w:val="left" w:pos="3600"/>
          <w:tab w:val="left" w:pos="8640"/>
        </w:tabs>
        <w:rPr>
          <w:b/>
          <w:szCs w:val="24"/>
        </w:rPr>
      </w:pPr>
      <w:r w:rsidRPr="00CB5559">
        <w:rPr>
          <w:b/>
          <w:szCs w:val="24"/>
        </w:rPr>
        <w:tab/>
        <w:t>DONNA L. NELSON, CHAIRMAN</w:t>
      </w: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312703" w:rsidRDefault="003970CD" w:rsidP="003970CD">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3970CD">
      <w:pPr>
        <w:keepNext/>
        <w:tabs>
          <w:tab w:val="left" w:pos="3600"/>
          <w:tab w:val="left" w:pos="8640"/>
        </w:tabs>
        <w:rPr>
          <w:b/>
          <w:szCs w:val="24"/>
        </w:rPr>
      </w:pPr>
      <w:r w:rsidRPr="00CB5559">
        <w:rPr>
          <w:b/>
          <w:szCs w:val="24"/>
        </w:rPr>
        <w:tab/>
        <w:t>KENNETH W. ANDERSON, JR., COMMISSIONER</w:t>
      </w: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CB5559" w:rsidRDefault="003970CD" w:rsidP="003970CD">
      <w:pPr>
        <w:keepNext/>
        <w:tabs>
          <w:tab w:val="left" w:pos="2880"/>
          <w:tab w:val="left" w:pos="8640"/>
        </w:tabs>
        <w:rPr>
          <w:b/>
          <w:szCs w:val="24"/>
        </w:rPr>
      </w:pPr>
    </w:p>
    <w:p w:rsidR="003970CD" w:rsidRPr="00312703" w:rsidRDefault="003970CD" w:rsidP="003970CD">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3970CD">
      <w:pPr>
        <w:keepNext/>
        <w:tabs>
          <w:tab w:val="left" w:pos="3600"/>
          <w:tab w:val="left" w:pos="8640"/>
        </w:tabs>
        <w:rPr>
          <w:b/>
          <w:szCs w:val="24"/>
        </w:rPr>
      </w:pPr>
      <w:r w:rsidRPr="00CB5559">
        <w:rPr>
          <w:b/>
          <w:szCs w:val="24"/>
        </w:rPr>
        <w:tab/>
        <w:t>BRANDY MARTY</w:t>
      </w:r>
      <w:r>
        <w:rPr>
          <w:b/>
          <w:szCs w:val="24"/>
        </w:rPr>
        <w:t xml:space="preserve"> MARQUEZ</w:t>
      </w:r>
      <w:r w:rsidRPr="00CB5559">
        <w:rPr>
          <w:b/>
          <w:szCs w:val="24"/>
        </w:rPr>
        <w:t>, COMMISSIONER</w:t>
      </w:r>
    </w:p>
    <w:p w:rsidR="003970CD" w:rsidRDefault="003970CD" w:rsidP="003970CD">
      <w:pPr>
        <w:keepNext/>
        <w:rPr>
          <w:sz w:val="16"/>
          <w:szCs w:val="16"/>
        </w:rPr>
      </w:pPr>
    </w:p>
    <w:p w:rsidR="003970CD" w:rsidRDefault="003970CD" w:rsidP="003970CD">
      <w:pPr>
        <w:keepNext/>
        <w:rPr>
          <w:sz w:val="16"/>
          <w:szCs w:val="16"/>
        </w:rPr>
      </w:pPr>
    </w:p>
    <w:p w:rsidR="003970CD" w:rsidRPr="003970CD" w:rsidRDefault="003970CD" w:rsidP="005F46F9">
      <w:pPr>
        <w:keepNext/>
        <w:rPr>
          <w:szCs w:val="24"/>
        </w:rPr>
      </w:pPr>
      <w:r w:rsidRPr="00CB5559">
        <w:rPr>
          <w:sz w:val="16"/>
          <w:szCs w:val="16"/>
        </w:rPr>
        <w:fldChar w:fldCharType="begin"/>
      </w:r>
      <w:r w:rsidRPr="00CB5559">
        <w:rPr>
          <w:sz w:val="16"/>
          <w:szCs w:val="16"/>
        </w:rPr>
        <w:instrText xml:space="preserve"> FILENAME \* Lower\p \* MERGEFORMAT </w:instrText>
      </w:r>
      <w:r w:rsidRPr="00CB5559">
        <w:rPr>
          <w:sz w:val="16"/>
          <w:szCs w:val="16"/>
        </w:rPr>
        <w:fldChar w:fldCharType="separate"/>
      </w:r>
      <w:r w:rsidR="00D04F0B">
        <w:rPr>
          <w:noProof/>
          <w:sz w:val="16"/>
          <w:szCs w:val="16"/>
        </w:rPr>
        <w:t>q:\cadm\orders\final\44000\44484fo.docx</w:t>
      </w:r>
      <w:r w:rsidRPr="00CB5559">
        <w:rPr>
          <w:sz w:val="16"/>
          <w:szCs w:val="16"/>
        </w:rPr>
        <w:fldChar w:fldCharType="end"/>
      </w:r>
      <w:r w:rsidR="005F46F9">
        <w:rPr>
          <w:sz w:val="16"/>
          <w:szCs w:val="16"/>
        </w:rPr>
        <w:t xml:space="preserve"> </w:t>
      </w:r>
    </w:p>
    <w:sectPr w:rsidR="003970CD" w:rsidRPr="003970CD" w:rsidSect="00E30DD5">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D2D" w:rsidRDefault="00CF5D2D">
      <w:r>
        <w:separator/>
      </w:r>
    </w:p>
  </w:endnote>
  <w:endnote w:type="continuationSeparator" w:id="0">
    <w:p w:rsidR="00CF5D2D" w:rsidRDefault="00CF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D2D" w:rsidRDefault="00CF5D2D">
      <w:r>
        <w:separator/>
      </w:r>
    </w:p>
  </w:footnote>
  <w:footnote w:type="continuationSeparator" w:id="0">
    <w:p w:rsidR="00CF5D2D" w:rsidRDefault="00CF5D2D">
      <w:r>
        <w:continuationSeparator/>
      </w:r>
    </w:p>
  </w:footnote>
  <w:footnote w:id="1">
    <w:p w:rsidR="000A4FC5" w:rsidRDefault="000A4FC5" w:rsidP="00C016C3">
      <w:pPr>
        <w:pStyle w:val="FootnoteText"/>
        <w:spacing w:before="0" w:after="120"/>
      </w:pPr>
      <w:r>
        <w:rPr>
          <w:rStyle w:val="FootnoteReference"/>
        </w:rPr>
        <w:footnoteRef/>
      </w:r>
      <w:r>
        <w:t xml:space="preserve">  Request by Maryanne Theriot Pursuant to Texas Water Code § 13.004 Regarding Etoile Water Supply Corporation (Dec. 4, 2015). </w:t>
      </w:r>
    </w:p>
  </w:footnote>
  <w:footnote w:id="2">
    <w:p w:rsidR="00030A52" w:rsidRDefault="00030A52" w:rsidP="00C016C3">
      <w:pPr>
        <w:pStyle w:val="FootnoteText"/>
        <w:spacing w:before="0" w:after="120"/>
      </w:pPr>
      <w:r>
        <w:rPr>
          <w:rStyle w:val="FootnoteReference"/>
        </w:rPr>
        <w:footnoteRef/>
      </w:r>
      <w:r>
        <w:t xml:space="preserve">  </w:t>
      </w:r>
      <w:r w:rsidRPr="00030A52">
        <w:rPr>
          <w:i/>
        </w:rPr>
        <w:t>Id.</w:t>
      </w:r>
      <w:r>
        <w:t xml:space="preserve"> at 1.</w:t>
      </w:r>
    </w:p>
  </w:footnote>
  <w:footnote w:id="3">
    <w:p w:rsidR="00030A52" w:rsidRDefault="00030A52" w:rsidP="00C016C3">
      <w:pPr>
        <w:pStyle w:val="FootnoteText"/>
        <w:spacing w:before="0" w:after="120"/>
      </w:pPr>
      <w:r>
        <w:rPr>
          <w:rStyle w:val="FootnoteReference"/>
        </w:rPr>
        <w:footnoteRef/>
      </w:r>
      <w:r>
        <w:t xml:space="preserve">  </w:t>
      </w:r>
      <w:r w:rsidRPr="00030A52">
        <w:rPr>
          <w:i/>
        </w:rPr>
        <w:t>Id.</w:t>
      </w:r>
      <w:r>
        <w:t xml:space="preserve"> </w:t>
      </w:r>
    </w:p>
  </w:footnote>
  <w:footnote w:id="4">
    <w:p w:rsidR="001C3038" w:rsidRDefault="001C3038" w:rsidP="00C016C3">
      <w:pPr>
        <w:pStyle w:val="FootnoteText"/>
        <w:spacing w:before="0" w:after="120"/>
      </w:pPr>
      <w:r>
        <w:rPr>
          <w:rStyle w:val="FootnoteReference"/>
        </w:rPr>
        <w:footnoteRef/>
      </w:r>
      <w:r>
        <w:t xml:space="preserve">  Etoile Water Supply Corporation’s Response to Maryanne Theriot’s Request</w:t>
      </w:r>
      <w:r w:rsidR="00994343">
        <w:t xml:space="preserve"> at 1</w:t>
      </w:r>
      <w:r>
        <w:t xml:space="preserve"> (Oct. 23, 2015)</w:t>
      </w:r>
      <w:r w:rsidR="008F23E8">
        <w:t xml:space="preserve"> (Etoile Response)</w:t>
      </w:r>
      <w:r w:rsidR="004A3E32">
        <w:t xml:space="preserve"> (Etoile Response)</w:t>
      </w:r>
      <w:r>
        <w:t>.</w:t>
      </w:r>
    </w:p>
  </w:footnote>
  <w:footnote w:id="5">
    <w:p w:rsidR="00994343" w:rsidRDefault="00994343">
      <w:pPr>
        <w:pStyle w:val="FootnoteText"/>
      </w:pPr>
      <w:r>
        <w:rPr>
          <w:rStyle w:val="FootnoteReference"/>
        </w:rPr>
        <w:footnoteRef/>
      </w:r>
      <w:r>
        <w:t xml:space="preserve">  </w:t>
      </w:r>
      <w:r w:rsidRPr="00994343">
        <w:rPr>
          <w:i/>
        </w:rPr>
        <w:t>Id.</w:t>
      </w:r>
      <w:r>
        <w:t xml:space="preserve"> at 2.</w:t>
      </w:r>
    </w:p>
  </w:footnote>
  <w:footnote w:id="6">
    <w:p w:rsidR="00994343" w:rsidRDefault="00994343" w:rsidP="00994343">
      <w:pPr>
        <w:pStyle w:val="FootnoteText"/>
      </w:pPr>
      <w:r>
        <w:rPr>
          <w:rStyle w:val="FootnoteReference"/>
        </w:rPr>
        <w:footnoteRef/>
      </w:r>
      <w:r>
        <w:t xml:space="preserve">  </w:t>
      </w:r>
      <w:r w:rsidRPr="001C3038">
        <w:rPr>
          <w:i/>
        </w:rPr>
        <w:t>Id.</w:t>
      </w:r>
      <w:r>
        <w:t xml:space="preserve"> at 2.</w:t>
      </w:r>
    </w:p>
  </w:footnote>
  <w:footnote w:id="7">
    <w:p w:rsidR="001C3038" w:rsidRDefault="001C3038">
      <w:pPr>
        <w:pStyle w:val="FootnoteText"/>
      </w:pPr>
      <w:r>
        <w:rPr>
          <w:rStyle w:val="FootnoteReference"/>
        </w:rPr>
        <w:footnoteRef/>
      </w:r>
      <w:r>
        <w:t xml:space="preserve">  </w:t>
      </w:r>
      <w:r w:rsidRPr="001C3038">
        <w:rPr>
          <w:i/>
        </w:rPr>
        <w:t xml:space="preserve">Id. </w:t>
      </w:r>
      <w:r>
        <w:t>at 2.</w:t>
      </w:r>
    </w:p>
  </w:footnote>
  <w:footnote w:id="8">
    <w:p w:rsidR="001C3038" w:rsidRDefault="001C3038">
      <w:pPr>
        <w:pStyle w:val="FootnoteText"/>
      </w:pPr>
      <w:r>
        <w:rPr>
          <w:rStyle w:val="FootnoteReference"/>
        </w:rPr>
        <w:footnoteRef/>
      </w:r>
      <w:r>
        <w:t xml:space="preserve">  </w:t>
      </w:r>
      <w:r w:rsidRPr="001C3038">
        <w:rPr>
          <w:i/>
        </w:rPr>
        <w:t>Id.</w:t>
      </w:r>
      <w:r>
        <w:t xml:space="preserve"> at 3.</w:t>
      </w:r>
    </w:p>
  </w:footnote>
  <w:footnote w:id="9">
    <w:p w:rsidR="00B45E26" w:rsidRDefault="00B45E26">
      <w:pPr>
        <w:pStyle w:val="FootnoteText"/>
      </w:pPr>
      <w:r>
        <w:rPr>
          <w:rStyle w:val="FootnoteReference"/>
        </w:rPr>
        <w:footnoteRef/>
      </w:r>
      <w:r>
        <w:t xml:space="preserve">  </w:t>
      </w:r>
      <w:r w:rsidRPr="00B45E26">
        <w:rPr>
          <w:i/>
        </w:rPr>
        <w:t>Id.</w:t>
      </w:r>
      <w:r>
        <w:t xml:space="preserve"> at 3.</w:t>
      </w:r>
    </w:p>
  </w:footnote>
  <w:footnote w:id="10">
    <w:p w:rsidR="00B45E26" w:rsidRDefault="00B45E26">
      <w:pPr>
        <w:pStyle w:val="FootnoteText"/>
      </w:pPr>
      <w:r>
        <w:rPr>
          <w:rStyle w:val="FootnoteReference"/>
        </w:rPr>
        <w:footnoteRef/>
      </w:r>
      <w:r>
        <w:t xml:space="preserve">  </w:t>
      </w:r>
      <w:r w:rsidR="004A3E32" w:rsidRPr="004A3E32">
        <w:t>Etoile Response</w:t>
      </w:r>
      <w:r w:rsidR="004A3E32">
        <w:rPr>
          <w:i/>
        </w:rPr>
        <w:t xml:space="preserve"> </w:t>
      </w:r>
      <w:r>
        <w:t>at 3.</w:t>
      </w:r>
    </w:p>
  </w:footnote>
  <w:footnote w:id="11">
    <w:p w:rsidR="00B45E26" w:rsidRDefault="00B45E26">
      <w:pPr>
        <w:pStyle w:val="FootnoteText"/>
      </w:pPr>
      <w:r>
        <w:rPr>
          <w:rStyle w:val="FootnoteReference"/>
        </w:rPr>
        <w:footnoteRef/>
      </w:r>
      <w:r>
        <w:t xml:space="preserve">  </w:t>
      </w:r>
      <w:r w:rsidRPr="004A3E32">
        <w:rPr>
          <w:i/>
        </w:rPr>
        <w:t>Id.</w:t>
      </w:r>
      <w:r>
        <w:t xml:space="preserve"> at 4. </w:t>
      </w:r>
    </w:p>
  </w:footnote>
  <w:footnote w:id="12">
    <w:p w:rsidR="008F23E8" w:rsidRDefault="008F23E8">
      <w:pPr>
        <w:pStyle w:val="FootnoteText"/>
      </w:pPr>
      <w:r>
        <w:rPr>
          <w:rStyle w:val="FootnoteReference"/>
        </w:rPr>
        <w:footnoteRef/>
      </w:r>
      <w:r>
        <w:t xml:space="preserve">  </w:t>
      </w:r>
      <w:r w:rsidRPr="004A3E32">
        <w:rPr>
          <w:i/>
        </w:rPr>
        <w:t>Id.</w:t>
      </w:r>
      <w:r>
        <w:t xml:space="preserve"> at 4. </w:t>
      </w:r>
    </w:p>
  </w:footnote>
  <w:footnote w:id="13">
    <w:p w:rsidR="008F23E8" w:rsidRDefault="008F23E8">
      <w:pPr>
        <w:pStyle w:val="FootnoteText"/>
      </w:pPr>
      <w:r>
        <w:rPr>
          <w:rStyle w:val="FootnoteReference"/>
        </w:rPr>
        <w:footnoteRef/>
      </w:r>
      <w:r>
        <w:t xml:space="preserve">  </w:t>
      </w:r>
      <w:r w:rsidRPr="004A3E32">
        <w:rPr>
          <w:i/>
        </w:rPr>
        <w:t>Id.</w:t>
      </w:r>
      <w:r>
        <w:t xml:space="preserve"> at 5.</w:t>
      </w:r>
    </w:p>
  </w:footnote>
  <w:footnote w:id="14">
    <w:p w:rsidR="008F23E8" w:rsidRDefault="008F23E8">
      <w:pPr>
        <w:pStyle w:val="FootnoteText"/>
      </w:pPr>
      <w:r>
        <w:rPr>
          <w:rStyle w:val="FootnoteReference"/>
        </w:rPr>
        <w:footnoteRef/>
      </w:r>
      <w:r>
        <w:t xml:space="preserve">  </w:t>
      </w:r>
      <w:r w:rsidR="004A3E32" w:rsidRPr="004A3E32">
        <w:rPr>
          <w:i/>
        </w:rPr>
        <w:t>Id.</w:t>
      </w:r>
      <w:r>
        <w:t xml:space="preserve"> at 5. </w:t>
      </w:r>
    </w:p>
  </w:footnote>
  <w:footnote w:id="15">
    <w:p w:rsidR="008F23E8" w:rsidRDefault="008F23E8" w:rsidP="005F7156">
      <w:pPr>
        <w:pStyle w:val="FootnoteText"/>
        <w:spacing w:before="0" w:after="120"/>
      </w:pPr>
      <w:r>
        <w:rPr>
          <w:rStyle w:val="FootnoteReference"/>
        </w:rPr>
        <w:footnoteRef/>
      </w:r>
      <w:r>
        <w:t xml:space="preserve">  </w:t>
      </w:r>
      <w:r w:rsidRPr="008F23E8">
        <w:rPr>
          <w:i/>
        </w:rPr>
        <w:t xml:space="preserve">Id. </w:t>
      </w:r>
      <w:r>
        <w:t xml:space="preserve">at 6. </w:t>
      </w:r>
    </w:p>
  </w:footnote>
  <w:footnote w:id="16">
    <w:p w:rsidR="008F23E8" w:rsidRDefault="008F23E8" w:rsidP="005F7156">
      <w:pPr>
        <w:pStyle w:val="FootnoteText"/>
        <w:spacing w:before="0" w:after="120"/>
      </w:pPr>
      <w:r>
        <w:rPr>
          <w:rStyle w:val="FootnoteReference"/>
        </w:rPr>
        <w:footnoteRef/>
      </w:r>
      <w:r>
        <w:t xml:space="preserve">  Commission Staff’s Statement of Position at 2 (Nov. 20, 2015).</w:t>
      </w:r>
    </w:p>
  </w:footnote>
  <w:footnote w:id="17">
    <w:p w:rsidR="008F23E8" w:rsidRDefault="008F23E8" w:rsidP="005F7156">
      <w:pPr>
        <w:pStyle w:val="FootnoteText"/>
        <w:spacing w:before="0" w:after="120"/>
      </w:pPr>
      <w:r>
        <w:rPr>
          <w:rStyle w:val="FootnoteReference"/>
        </w:rPr>
        <w:footnoteRef/>
      </w:r>
      <w:r>
        <w:t xml:space="preserve">  </w:t>
      </w:r>
      <w:r w:rsidRPr="008F23E8">
        <w:rPr>
          <w:i/>
        </w:rPr>
        <w:t>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07" w:rsidRPr="001F1BEB" w:rsidRDefault="00163707" w:rsidP="00D04F0B">
    <w:pPr>
      <w:pStyle w:val="OrderHeader"/>
      <w:tabs>
        <w:tab w:val="clear" w:pos="4680"/>
        <w:tab w:val="center" w:pos="4770"/>
      </w:tabs>
    </w:pPr>
    <w:r>
      <w:t xml:space="preserve">Docket No. </w:t>
    </w:r>
    <w:r w:rsidR="00A973F5">
      <w:t>44484</w:t>
    </w:r>
    <w:r w:rsidRPr="001F1BEB">
      <w:tab/>
    </w:r>
    <w:r w:rsidR="00406E77">
      <w:t>Order</w:t>
    </w:r>
    <w:r w:rsidRPr="001F1BEB">
      <w:tab/>
      <w:t xml:space="preserve">Page </w:t>
    </w:r>
    <w:r w:rsidR="00A36B02" w:rsidRPr="001F1BEB">
      <w:fldChar w:fldCharType="begin"/>
    </w:r>
    <w:r w:rsidRPr="001F1BEB">
      <w:instrText xml:space="preserve"> PAGE </w:instrText>
    </w:r>
    <w:r w:rsidR="00A36B02" w:rsidRPr="001F1BEB">
      <w:fldChar w:fldCharType="separate"/>
    </w:r>
    <w:r w:rsidR="00967836">
      <w:rPr>
        <w:noProof/>
      </w:rPr>
      <w:t>5</w:t>
    </w:r>
    <w:r w:rsidR="00A36B02" w:rsidRPr="001F1BEB">
      <w:fldChar w:fldCharType="end"/>
    </w:r>
    <w:r w:rsidRPr="001F1BEB">
      <w:t xml:space="preserve"> of </w:t>
    </w:r>
    <w:r w:rsidR="00967836">
      <w:fldChar w:fldCharType="begin"/>
    </w:r>
    <w:r w:rsidR="00967836">
      <w:instrText xml:space="preserve"> NUMPAGES </w:instrText>
    </w:r>
    <w:r w:rsidR="00967836">
      <w:fldChar w:fldCharType="separate"/>
    </w:r>
    <w:r w:rsidR="00967836">
      <w:rPr>
        <w:noProof/>
      </w:rPr>
      <w:t>5</w:t>
    </w:r>
    <w:r w:rsidR="00967836">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1"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2"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067448E"/>
    <w:multiLevelType w:val="multilevel"/>
    <w:tmpl w:val="99D05716"/>
    <w:lvl w:ilvl="0">
      <w:start w:val="1"/>
      <w:numFmt w:val="upperRoman"/>
      <w:pStyle w:val="OrderHeading1"/>
      <w:lvlText w:val="%1."/>
      <w:lvlJc w:val="left"/>
      <w:pPr>
        <w:tabs>
          <w:tab w:val="num" w:pos="4050"/>
        </w:tabs>
        <w:ind w:left="477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9"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0"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3"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6"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7"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8" w15:restartNumberingAfterBreak="0">
    <w:nsid w:val="4181225D"/>
    <w:multiLevelType w:val="hybridMultilevel"/>
    <w:tmpl w:val="FD5C5C58"/>
    <w:lvl w:ilvl="0" w:tplc="347E1D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0" w15:restartNumberingAfterBreak="0">
    <w:nsid w:val="4A34616D"/>
    <w:multiLevelType w:val="hybridMultilevel"/>
    <w:tmpl w:val="92BE17FC"/>
    <w:lvl w:ilvl="0" w:tplc="E1A2BF90">
      <w:start w:val="6"/>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EA7A24"/>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5"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8"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9"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0"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1"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6"/>
  </w:num>
  <w:num w:numId="12">
    <w:abstractNumId w:val="37"/>
  </w:num>
  <w:num w:numId="13">
    <w:abstractNumId w:val="34"/>
  </w:num>
  <w:num w:numId="14">
    <w:abstractNumId w:val="12"/>
  </w:num>
  <w:num w:numId="15">
    <w:abstractNumId w:val="13"/>
  </w:num>
  <w:num w:numId="16">
    <w:abstractNumId w:val="10"/>
  </w:num>
  <w:num w:numId="17">
    <w:abstractNumId w:val="23"/>
  </w:num>
  <w:num w:numId="18">
    <w:abstractNumId w:val="40"/>
  </w:num>
  <w:num w:numId="19">
    <w:abstractNumId w:val="41"/>
  </w:num>
  <w:num w:numId="20">
    <w:abstractNumId w:val="42"/>
  </w:num>
  <w:num w:numId="21">
    <w:abstractNumId w:val="17"/>
  </w:num>
  <w:num w:numId="22">
    <w:abstractNumId w:val="27"/>
  </w:num>
  <w:num w:numId="23">
    <w:abstractNumId w:val="29"/>
  </w:num>
  <w:num w:numId="24">
    <w:abstractNumId w:val="18"/>
  </w:num>
  <w:num w:numId="25">
    <w:abstractNumId w:val="19"/>
  </w:num>
  <w:num w:numId="26">
    <w:abstractNumId w:val="11"/>
  </w:num>
  <w:num w:numId="27">
    <w:abstractNumId w:val="38"/>
  </w:num>
  <w:num w:numId="28">
    <w:abstractNumId w:val="25"/>
  </w:num>
  <w:num w:numId="29">
    <w:abstractNumId w:val="39"/>
  </w:num>
  <w:num w:numId="30">
    <w:abstractNumId w:val="26"/>
  </w:num>
  <w:num w:numId="31">
    <w:abstractNumId w:val="22"/>
  </w:num>
  <w:num w:numId="32">
    <w:abstractNumId w:val="31"/>
  </w:num>
  <w:num w:numId="33">
    <w:abstractNumId w:val="15"/>
  </w:num>
  <w:num w:numId="34">
    <w:abstractNumId w:val="33"/>
  </w:num>
  <w:num w:numId="35">
    <w:abstractNumId w:val="14"/>
  </w:num>
  <w:num w:numId="36">
    <w:abstractNumId w:val="24"/>
  </w:num>
  <w:num w:numId="37">
    <w:abstractNumId w:val="20"/>
  </w:num>
  <w:num w:numId="38">
    <w:abstractNumId w:val="16"/>
  </w:num>
  <w:num w:numId="39">
    <w:abstractNumId w:val="21"/>
  </w:num>
  <w:num w:numId="40">
    <w:abstractNumId w:val="30"/>
  </w:num>
  <w:num w:numId="41">
    <w:abstractNumId w:val="32"/>
  </w:num>
  <w:num w:numId="42">
    <w:abstractNumId w:val="28"/>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7A5B"/>
    <w:rsid w:val="00014CC5"/>
    <w:rsid w:val="00025564"/>
    <w:rsid w:val="00030A52"/>
    <w:rsid w:val="00036428"/>
    <w:rsid w:val="000443FE"/>
    <w:rsid w:val="00051650"/>
    <w:rsid w:val="000545D3"/>
    <w:rsid w:val="0007019A"/>
    <w:rsid w:val="00075BF2"/>
    <w:rsid w:val="00082884"/>
    <w:rsid w:val="0008715E"/>
    <w:rsid w:val="0009049C"/>
    <w:rsid w:val="000921F3"/>
    <w:rsid w:val="00092A03"/>
    <w:rsid w:val="000A4FC5"/>
    <w:rsid w:val="000B26B3"/>
    <w:rsid w:val="000C20A0"/>
    <w:rsid w:val="000C24B7"/>
    <w:rsid w:val="000D496A"/>
    <w:rsid w:val="000E7F43"/>
    <w:rsid w:val="000F1323"/>
    <w:rsid w:val="000F2561"/>
    <w:rsid w:val="000F517A"/>
    <w:rsid w:val="00107A47"/>
    <w:rsid w:val="001254C8"/>
    <w:rsid w:val="00133B0C"/>
    <w:rsid w:val="001350F0"/>
    <w:rsid w:val="00141A3A"/>
    <w:rsid w:val="00145254"/>
    <w:rsid w:val="0015100C"/>
    <w:rsid w:val="001575D9"/>
    <w:rsid w:val="0016061D"/>
    <w:rsid w:val="00163707"/>
    <w:rsid w:val="0016377D"/>
    <w:rsid w:val="001660D1"/>
    <w:rsid w:val="00177BC5"/>
    <w:rsid w:val="001845E3"/>
    <w:rsid w:val="001910CF"/>
    <w:rsid w:val="00194537"/>
    <w:rsid w:val="001A717E"/>
    <w:rsid w:val="001A761F"/>
    <w:rsid w:val="001C3038"/>
    <w:rsid w:val="001C557D"/>
    <w:rsid w:val="001E54E3"/>
    <w:rsid w:val="001E7088"/>
    <w:rsid w:val="001E7668"/>
    <w:rsid w:val="00202BB5"/>
    <w:rsid w:val="00206533"/>
    <w:rsid w:val="00211D02"/>
    <w:rsid w:val="002159E2"/>
    <w:rsid w:val="0023631E"/>
    <w:rsid w:val="00241765"/>
    <w:rsid w:val="00246C70"/>
    <w:rsid w:val="00247396"/>
    <w:rsid w:val="00250DB6"/>
    <w:rsid w:val="00256B57"/>
    <w:rsid w:val="0026028E"/>
    <w:rsid w:val="002678DE"/>
    <w:rsid w:val="00280C36"/>
    <w:rsid w:val="002837D4"/>
    <w:rsid w:val="002900C0"/>
    <w:rsid w:val="0029623D"/>
    <w:rsid w:val="002A7705"/>
    <w:rsid w:val="002F5926"/>
    <w:rsid w:val="003054C7"/>
    <w:rsid w:val="00320B37"/>
    <w:rsid w:val="0032598F"/>
    <w:rsid w:val="0033597A"/>
    <w:rsid w:val="00342314"/>
    <w:rsid w:val="003425ED"/>
    <w:rsid w:val="00356226"/>
    <w:rsid w:val="00356599"/>
    <w:rsid w:val="00364772"/>
    <w:rsid w:val="00373BE6"/>
    <w:rsid w:val="003742A4"/>
    <w:rsid w:val="00381169"/>
    <w:rsid w:val="00382798"/>
    <w:rsid w:val="00386AA9"/>
    <w:rsid w:val="003970CD"/>
    <w:rsid w:val="003A0B60"/>
    <w:rsid w:val="003A389D"/>
    <w:rsid w:val="003A414E"/>
    <w:rsid w:val="003A581B"/>
    <w:rsid w:val="003B279A"/>
    <w:rsid w:val="003C0466"/>
    <w:rsid w:val="003C510E"/>
    <w:rsid w:val="003C5E49"/>
    <w:rsid w:val="003D0B7B"/>
    <w:rsid w:val="003D365E"/>
    <w:rsid w:val="003D779C"/>
    <w:rsid w:val="003E39FF"/>
    <w:rsid w:val="003E682B"/>
    <w:rsid w:val="003E7018"/>
    <w:rsid w:val="003F35C5"/>
    <w:rsid w:val="00402636"/>
    <w:rsid w:val="00406E77"/>
    <w:rsid w:val="00411605"/>
    <w:rsid w:val="00412FA5"/>
    <w:rsid w:val="004233FB"/>
    <w:rsid w:val="00424523"/>
    <w:rsid w:val="00440E38"/>
    <w:rsid w:val="00441FF9"/>
    <w:rsid w:val="0045719C"/>
    <w:rsid w:val="00466F8D"/>
    <w:rsid w:val="00483C03"/>
    <w:rsid w:val="00485317"/>
    <w:rsid w:val="004953E2"/>
    <w:rsid w:val="004A26B0"/>
    <w:rsid w:val="004A3E32"/>
    <w:rsid w:val="004A6DE2"/>
    <w:rsid w:val="004B1091"/>
    <w:rsid w:val="004B3F6C"/>
    <w:rsid w:val="004B7DAE"/>
    <w:rsid w:val="004C1C70"/>
    <w:rsid w:val="004E2974"/>
    <w:rsid w:val="004E6155"/>
    <w:rsid w:val="004F303E"/>
    <w:rsid w:val="005053DB"/>
    <w:rsid w:val="00512B22"/>
    <w:rsid w:val="00513BF7"/>
    <w:rsid w:val="00520682"/>
    <w:rsid w:val="00522001"/>
    <w:rsid w:val="005228D9"/>
    <w:rsid w:val="00524DB7"/>
    <w:rsid w:val="00541833"/>
    <w:rsid w:val="00556DDD"/>
    <w:rsid w:val="00561BC0"/>
    <w:rsid w:val="00562CF2"/>
    <w:rsid w:val="00566C31"/>
    <w:rsid w:val="00573F1D"/>
    <w:rsid w:val="005766FD"/>
    <w:rsid w:val="00581DB7"/>
    <w:rsid w:val="00582DED"/>
    <w:rsid w:val="0058449C"/>
    <w:rsid w:val="00584CF8"/>
    <w:rsid w:val="005954DA"/>
    <w:rsid w:val="005A544B"/>
    <w:rsid w:val="005B3A93"/>
    <w:rsid w:val="005B43A8"/>
    <w:rsid w:val="005B5E13"/>
    <w:rsid w:val="005C724F"/>
    <w:rsid w:val="005D43C9"/>
    <w:rsid w:val="005E5BA7"/>
    <w:rsid w:val="005F46F9"/>
    <w:rsid w:val="005F7156"/>
    <w:rsid w:val="00637CB9"/>
    <w:rsid w:val="00640A83"/>
    <w:rsid w:val="0064628C"/>
    <w:rsid w:val="00656263"/>
    <w:rsid w:val="00662AAB"/>
    <w:rsid w:val="0066634E"/>
    <w:rsid w:val="0067117D"/>
    <w:rsid w:val="006829B0"/>
    <w:rsid w:val="00691DC5"/>
    <w:rsid w:val="0069248E"/>
    <w:rsid w:val="006939E7"/>
    <w:rsid w:val="006B27C6"/>
    <w:rsid w:val="006C181F"/>
    <w:rsid w:val="006C460E"/>
    <w:rsid w:val="006D5065"/>
    <w:rsid w:val="006E1C2A"/>
    <w:rsid w:val="007211BD"/>
    <w:rsid w:val="00725B5F"/>
    <w:rsid w:val="00734517"/>
    <w:rsid w:val="00734F12"/>
    <w:rsid w:val="007443BC"/>
    <w:rsid w:val="00745E77"/>
    <w:rsid w:val="0075264B"/>
    <w:rsid w:val="007604FF"/>
    <w:rsid w:val="00771042"/>
    <w:rsid w:val="007713E7"/>
    <w:rsid w:val="00773A27"/>
    <w:rsid w:val="00777B36"/>
    <w:rsid w:val="00781266"/>
    <w:rsid w:val="00783C43"/>
    <w:rsid w:val="00786C7B"/>
    <w:rsid w:val="00790797"/>
    <w:rsid w:val="00795EED"/>
    <w:rsid w:val="007A04A0"/>
    <w:rsid w:val="007A411D"/>
    <w:rsid w:val="007A7B59"/>
    <w:rsid w:val="007B56B4"/>
    <w:rsid w:val="007C18A7"/>
    <w:rsid w:val="007C5C85"/>
    <w:rsid w:val="007C5EE5"/>
    <w:rsid w:val="007D27B0"/>
    <w:rsid w:val="007E07E1"/>
    <w:rsid w:val="007E20F2"/>
    <w:rsid w:val="007E706F"/>
    <w:rsid w:val="007F2928"/>
    <w:rsid w:val="00820713"/>
    <w:rsid w:val="008407B2"/>
    <w:rsid w:val="008617BC"/>
    <w:rsid w:val="0087102D"/>
    <w:rsid w:val="00875F53"/>
    <w:rsid w:val="00891F0C"/>
    <w:rsid w:val="0089738F"/>
    <w:rsid w:val="008B0DA0"/>
    <w:rsid w:val="008B567F"/>
    <w:rsid w:val="008C634D"/>
    <w:rsid w:val="008F23E8"/>
    <w:rsid w:val="008F2C00"/>
    <w:rsid w:val="008F33A9"/>
    <w:rsid w:val="008F42BB"/>
    <w:rsid w:val="008F7990"/>
    <w:rsid w:val="00903A7F"/>
    <w:rsid w:val="009071D1"/>
    <w:rsid w:val="009106F4"/>
    <w:rsid w:val="00911D1F"/>
    <w:rsid w:val="00942340"/>
    <w:rsid w:val="00955E16"/>
    <w:rsid w:val="00956CD3"/>
    <w:rsid w:val="00967836"/>
    <w:rsid w:val="0097191A"/>
    <w:rsid w:val="00993C2A"/>
    <w:rsid w:val="00994343"/>
    <w:rsid w:val="009945AE"/>
    <w:rsid w:val="009B02C4"/>
    <w:rsid w:val="009C44A3"/>
    <w:rsid w:val="009D57B0"/>
    <w:rsid w:val="009F25EA"/>
    <w:rsid w:val="009F4606"/>
    <w:rsid w:val="009F48F3"/>
    <w:rsid w:val="009F4E7E"/>
    <w:rsid w:val="00A01571"/>
    <w:rsid w:val="00A07B5B"/>
    <w:rsid w:val="00A132A6"/>
    <w:rsid w:val="00A14EE3"/>
    <w:rsid w:val="00A1595F"/>
    <w:rsid w:val="00A20DAE"/>
    <w:rsid w:val="00A21D6F"/>
    <w:rsid w:val="00A246BA"/>
    <w:rsid w:val="00A30AFE"/>
    <w:rsid w:val="00A31508"/>
    <w:rsid w:val="00A345BD"/>
    <w:rsid w:val="00A34609"/>
    <w:rsid w:val="00A36B02"/>
    <w:rsid w:val="00A4081C"/>
    <w:rsid w:val="00A502B6"/>
    <w:rsid w:val="00A57931"/>
    <w:rsid w:val="00A70A9E"/>
    <w:rsid w:val="00A722BE"/>
    <w:rsid w:val="00A72B54"/>
    <w:rsid w:val="00A74738"/>
    <w:rsid w:val="00A812BE"/>
    <w:rsid w:val="00A82CEB"/>
    <w:rsid w:val="00A83343"/>
    <w:rsid w:val="00A90502"/>
    <w:rsid w:val="00A9726D"/>
    <w:rsid w:val="00A973F5"/>
    <w:rsid w:val="00AB09D7"/>
    <w:rsid w:val="00AB1551"/>
    <w:rsid w:val="00AD3493"/>
    <w:rsid w:val="00AD5E56"/>
    <w:rsid w:val="00AF2764"/>
    <w:rsid w:val="00AF3926"/>
    <w:rsid w:val="00B009B9"/>
    <w:rsid w:val="00B073EB"/>
    <w:rsid w:val="00B10DDE"/>
    <w:rsid w:val="00B11B21"/>
    <w:rsid w:val="00B1530E"/>
    <w:rsid w:val="00B272BD"/>
    <w:rsid w:val="00B275BF"/>
    <w:rsid w:val="00B32517"/>
    <w:rsid w:val="00B3251E"/>
    <w:rsid w:val="00B34940"/>
    <w:rsid w:val="00B357B2"/>
    <w:rsid w:val="00B373FD"/>
    <w:rsid w:val="00B37D61"/>
    <w:rsid w:val="00B45E26"/>
    <w:rsid w:val="00B52F52"/>
    <w:rsid w:val="00B55A6F"/>
    <w:rsid w:val="00B62D15"/>
    <w:rsid w:val="00B644C3"/>
    <w:rsid w:val="00B64D71"/>
    <w:rsid w:val="00B9345E"/>
    <w:rsid w:val="00BC00B3"/>
    <w:rsid w:val="00BC045C"/>
    <w:rsid w:val="00BC093F"/>
    <w:rsid w:val="00BC2751"/>
    <w:rsid w:val="00BD23B1"/>
    <w:rsid w:val="00BF6156"/>
    <w:rsid w:val="00C01543"/>
    <w:rsid w:val="00C016C3"/>
    <w:rsid w:val="00C038CB"/>
    <w:rsid w:val="00C04828"/>
    <w:rsid w:val="00C048F3"/>
    <w:rsid w:val="00C132AA"/>
    <w:rsid w:val="00C1450D"/>
    <w:rsid w:val="00C15B74"/>
    <w:rsid w:val="00C3017F"/>
    <w:rsid w:val="00C310AC"/>
    <w:rsid w:val="00C34DF6"/>
    <w:rsid w:val="00C37DF7"/>
    <w:rsid w:val="00C56D42"/>
    <w:rsid w:val="00C64387"/>
    <w:rsid w:val="00C86485"/>
    <w:rsid w:val="00CA3E6F"/>
    <w:rsid w:val="00CA561A"/>
    <w:rsid w:val="00CB3541"/>
    <w:rsid w:val="00CC0483"/>
    <w:rsid w:val="00CC4493"/>
    <w:rsid w:val="00CD0CDF"/>
    <w:rsid w:val="00CD3B46"/>
    <w:rsid w:val="00CD3FE7"/>
    <w:rsid w:val="00CE3A22"/>
    <w:rsid w:val="00CE7556"/>
    <w:rsid w:val="00CF1487"/>
    <w:rsid w:val="00CF5D2D"/>
    <w:rsid w:val="00CF61E8"/>
    <w:rsid w:val="00D04F0B"/>
    <w:rsid w:val="00D05760"/>
    <w:rsid w:val="00D164D5"/>
    <w:rsid w:val="00D221AA"/>
    <w:rsid w:val="00D23C91"/>
    <w:rsid w:val="00D26748"/>
    <w:rsid w:val="00D42757"/>
    <w:rsid w:val="00D46759"/>
    <w:rsid w:val="00D46BAF"/>
    <w:rsid w:val="00D51BA6"/>
    <w:rsid w:val="00D53C7C"/>
    <w:rsid w:val="00D616A5"/>
    <w:rsid w:val="00D65D4A"/>
    <w:rsid w:val="00D80F93"/>
    <w:rsid w:val="00D858BB"/>
    <w:rsid w:val="00D90F58"/>
    <w:rsid w:val="00DA624C"/>
    <w:rsid w:val="00DA790C"/>
    <w:rsid w:val="00DB21F9"/>
    <w:rsid w:val="00DD3E80"/>
    <w:rsid w:val="00DD5014"/>
    <w:rsid w:val="00DE0FD1"/>
    <w:rsid w:val="00DE56F0"/>
    <w:rsid w:val="00DE6501"/>
    <w:rsid w:val="00E03F9F"/>
    <w:rsid w:val="00E17B6B"/>
    <w:rsid w:val="00E25569"/>
    <w:rsid w:val="00E30DD5"/>
    <w:rsid w:val="00E373DE"/>
    <w:rsid w:val="00E37A57"/>
    <w:rsid w:val="00E37D04"/>
    <w:rsid w:val="00E416D1"/>
    <w:rsid w:val="00E44670"/>
    <w:rsid w:val="00E46984"/>
    <w:rsid w:val="00E47E3B"/>
    <w:rsid w:val="00E50388"/>
    <w:rsid w:val="00E6260D"/>
    <w:rsid w:val="00E70CC3"/>
    <w:rsid w:val="00E85D41"/>
    <w:rsid w:val="00E93A6C"/>
    <w:rsid w:val="00E94023"/>
    <w:rsid w:val="00EA11C8"/>
    <w:rsid w:val="00EA1E63"/>
    <w:rsid w:val="00EB0B90"/>
    <w:rsid w:val="00EB2779"/>
    <w:rsid w:val="00EB4948"/>
    <w:rsid w:val="00EB5DF8"/>
    <w:rsid w:val="00EC7C7B"/>
    <w:rsid w:val="00ED1B51"/>
    <w:rsid w:val="00ED1CDC"/>
    <w:rsid w:val="00EF50D3"/>
    <w:rsid w:val="00EF5FDB"/>
    <w:rsid w:val="00F12A9F"/>
    <w:rsid w:val="00F1402A"/>
    <w:rsid w:val="00F22036"/>
    <w:rsid w:val="00F271E9"/>
    <w:rsid w:val="00F3543F"/>
    <w:rsid w:val="00F43A5A"/>
    <w:rsid w:val="00F45B8D"/>
    <w:rsid w:val="00F51223"/>
    <w:rsid w:val="00F52BE8"/>
    <w:rsid w:val="00F530D8"/>
    <w:rsid w:val="00F60BB9"/>
    <w:rsid w:val="00F6158F"/>
    <w:rsid w:val="00F712CC"/>
    <w:rsid w:val="00F72938"/>
    <w:rsid w:val="00F828F6"/>
    <w:rsid w:val="00FB106B"/>
    <w:rsid w:val="00FB189E"/>
    <w:rsid w:val="00FC1D3F"/>
    <w:rsid w:val="00FC35F0"/>
    <w:rsid w:val="00FD5F7A"/>
    <w:rsid w:val="00FF0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67962F-C24A-423B-BF96-4C816C923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24"/>
      </w:numPr>
      <w:tabs>
        <w:tab w:val="clear" w:pos="4050"/>
      </w:tabs>
      <w:spacing w:before="480" w:after="120"/>
      <w:ind w:left="7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BodyText">
    <w:name w:val="Body Text"/>
    <w:basedOn w:val="Normal"/>
    <w:link w:val="BodyTextChar"/>
    <w:rsid w:val="00CA561A"/>
    <w:pPr>
      <w:spacing w:after="120"/>
    </w:pPr>
  </w:style>
  <w:style w:type="character" w:customStyle="1" w:styleId="BodyTextChar">
    <w:name w:val="Body Text Char"/>
    <w:basedOn w:val="DefaultParagraphFont"/>
    <w:link w:val="BodyText"/>
    <w:rsid w:val="00CA561A"/>
    <w:rPr>
      <w:sz w:val="24"/>
      <w:lang w:eastAsia="zh-TW"/>
    </w:rPr>
  </w:style>
  <w:style w:type="paragraph" w:customStyle="1" w:styleId="FOFNumbered">
    <w:name w:val="FOF Numbered"/>
    <w:basedOn w:val="Normal"/>
    <w:rsid w:val="003970CD"/>
    <w:pPr>
      <w:numPr>
        <w:numId w:val="40"/>
      </w:numPr>
      <w:spacing w:before="120" w:line="360" w:lineRule="auto"/>
    </w:pPr>
    <w:rPr>
      <w:snapToGrid w:val="0"/>
      <w:lang w:eastAsia="en-US"/>
    </w:rPr>
  </w:style>
  <w:style w:type="paragraph" w:styleId="BalloonText">
    <w:name w:val="Balloon Text"/>
    <w:basedOn w:val="Normal"/>
    <w:link w:val="BalloonTextChar"/>
    <w:rsid w:val="00C048F3"/>
    <w:rPr>
      <w:rFonts w:ascii="Tahoma" w:hAnsi="Tahoma" w:cs="Tahoma"/>
      <w:sz w:val="16"/>
      <w:szCs w:val="16"/>
    </w:rPr>
  </w:style>
  <w:style w:type="character" w:customStyle="1" w:styleId="BalloonTextChar">
    <w:name w:val="Balloon Text Char"/>
    <w:basedOn w:val="DefaultParagraphFont"/>
    <w:link w:val="BalloonText"/>
    <w:rsid w:val="00C048F3"/>
    <w:rPr>
      <w:rFonts w:ascii="Tahoma" w:hAnsi="Tahoma" w:cs="Tahoma"/>
      <w:sz w:val="16"/>
      <w:szCs w:val="16"/>
      <w:lang w:eastAsia="zh-TW"/>
    </w:rPr>
  </w:style>
  <w:style w:type="paragraph" w:customStyle="1" w:styleId="l2t01">
    <w:name w:val="l2t01"/>
    <w:basedOn w:val="Normal"/>
    <w:rsid w:val="0023631E"/>
    <w:pPr>
      <w:spacing w:before="120" w:after="120" w:line="270" w:lineRule="atLeast"/>
      <w:ind w:left="489" w:right="612"/>
      <w:jc w:val="left"/>
    </w:pPr>
    <w:rPr>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67893-D7FA-4D7F-B380-7ED1C4D19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2</TotalTime>
  <Pages>5</Pages>
  <Words>1328</Words>
  <Characters>7210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Kang</dc:creator>
  <cp:lastModifiedBy>Roundtree-Williams, Keva</cp:lastModifiedBy>
  <cp:revision>5</cp:revision>
  <cp:lastPrinted>2016-04-14T14:49:00Z</cp:lastPrinted>
  <dcterms:created xsi:type="dcterms:W3CDTF">2016-04-13T19:41:00Z</dcterms:created>
  <dcterms:modified xsi:type="dcterms:W3CDTF">2016-04-14T14:51:00Z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