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FA201A" w:rsidP="007572FC">
      <w:pPr>
        <w:pStyle w:val="Docketnumber"/>
      </w:pPr>
      <w:bookmarkStart w:id="0" w:name="_GoBack"/>
      <w:bookmarkEnd w:id="0"/>
      <w:r>
        <w:t>PUC DOCKET NO. 43146</w:t>
      </w:r>
      <w:r>
        <w:br/>
        <w:t xml:space="preserve">SOAH DOCKET NO. </w:t>
      </w:r>
      <w:r>
        <w:rPr>
          <w:bCs/>
        </w:rPr>
        <w:t>473-16-2033.WS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FA201A">
        <w:tc>
          <w:tcPr>
            <w:tcW w:w="4500" w:type="dxa"/>
          </w:tcPr>
          <w:p w:rsidR="00FA201A" w:rsidRPr="008C0EC7" w:rsidRDefault="00FA201A" w:rsidP="00FA201A">
            <w:pPr>
              <w:tabs>
                <w:tab w:val="left" w:pos="720"/>
                <w:tab w:val="left" w:pos="1440"/>
                <w:tab w:val="left" w:pos="2160"/>
                <w:tab w:val="left" w:pos="2880"/>
                <w:tab w:val="left" w:pos="4953"/>
                <w:tab w:val="left" w:pos="5760"/>
                <w:tab w:val="left" w:pos="7026"/>
                <w:tab w:val="left" w:pos="7200"/>
                <w:tab w:val="left" w:pos="7920"/>
                <w:tab w:val="left" w:pos="8640"/>
                <w:tab w:val="left" w:pos="9360"/>
              </w:tabs>
              <w:rPr>
                <w:b/>
                <w:bCs/>
              </w:rPr>
            </w:pPr>
            <w:r>
              <w:rPr>
                <w:b/>
                <w:bCs/>
              </w:rPr>
              <w:t>COMPLAINT OF CAROL D. GILLESPIE AGAINST AVALON WATER SUPPLY AND SEWER SERVICES CORPORATION</w:t>
            </w:r>
          </w:p>
          <w:p w:rsidR="007572FC" w:rsidRDefault="007572FC" w:rsidP="001E360C">
            <w:pPr>
              <w:pStyle w:val="Docketstyle"/>
            </w:pP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FA201A">
            <w:pPr>
              <w:pStyle w:val="Docketstyle"/>
            </w:pPr>
            <w:r>
              <w:t>§</w:t>
            </w:r>
            <w:r w:rsidR="00FA201A">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FA201A">
      <w:pPr>
        <w:pStyle w:val="Titleoforder"/>
        <w:spacing w:before="360"/>
      </w:pPr>
      <w:r>
        <w:t>ORDER</w:t>
      </w:r>
    </w:p>
    <w:p w:rsidR="00D82905" w:rsidRDefault="00266F9F" w:rsidP="00D82905">
      <w:pPr>
        <w:spacing w:line="360" w:lineRule="auto"/>
        <w:ind w:firstLine="720"/>
        <w:jc w:val="both"/>
      </w:pPr>
      <w:r>
        <w:t>This Order address</w:t>
      </w:r>
      <w:r w:rsidR="001D4F4B">
        <w:t>es</w:t>
      </w:r>
      <w:r>
        <w:t xml:space="preserve"> the </w:t>
      </w:r>
      <w:r w:rsidR="00AF6A08">
        <w:t>complaint</w:t>
      </w:r>
      <w:r w:rsidR="002E3EFE">
        <w:t>s of Carol Gillespie that</w:t>
      </w:r>
      <w:r w:rsidR="00AF6A08">
        <w:t xml:space="preserve"> Avalon Water Supply and Sewer Services Corporation </w:t>
      </w:r>
      <w:r w:rsidR="002E3EFE">
        <w:t>did not</w:t>
      </w:r>
      <w:r w:rsidR="00AF6A08">
        <w:t xml:space="preserve"> operat</w:t>
      </w:r>
      <w:r w:rsidR="002E3EFE">
        <w:t>e in accordance with its</w:t>
      </w:r>
      <w:r w:rsidR="00AF6A08">
        <w:t xml:space="preserve"> bylaws or in a manner that complies with the requirements for classification as a nonprofit water supply corporation.</w:t>
      </w:r>
      <w:r w:rsidR="0069065C">
        <w:t xml:space="preserve">  In</w:t>
      </w:r>
      <w:r w:rsidR="00F401DA">
        <w:t xml:space="preserve"> general, Ms. Gillespie complains</w:t>
      </w:r>
      <w:r w:rsidR="0069065C">
        <w:t xml:space="preserve"> that Avalon has failed to conduct annual or special meetings, failed to operate in accordance with its bylaws, and violated the Texas Open Meetings Act.  </w:t>
      </w:r>
    </w:p>
    <w:p w:rsidR="00F401DA" w:rsidRDefault="00D82905" w:rsidP="002E3EFE">
      <w:pPr>
        <w:spacing w:line="360" w:lineRule="auto"/>
        <w:ind w:firstLine="720"/>
        <w:jc w:val="both"/>
      </w:pPr>
      <w:r>
        <w:t xml:space="preserve">On December 8, 2016, the SOAH </w:t>
      </w:r>
      <w:r w:rsidR="002E3EFE">
        <w:t>a</w:t>
      </w:r>
      <w:r w:rsidR="00637CF9">
        <w:t xml:space="preserve">dministrative </w:t>
      </w:r>
      <w:r w:rsidR="002E3EFE">
        <w:t>l</w:t>
      </w:r>
      <w:r w:rsidR="00637CF9">
        <w:t xml:space="preserve">aw </w:t>
      </w:r>
      <w:r w:rsidR="002E3EFE">
        <w:t>j</w:t>
      </w:r>
      <w:r w:rsidR="00637CF9">
        <w:t>udges (ALJ</w:t>
      </w:r>
      <w:r>
        <w:t>s</w:t>
      </w:r>
      <w:r w:rsidR="00637CF9">
        <w:t>)</w:t>
      </w:r>
      <w:r>
        <w:t xml:space="preserve"> issued a proposal for decision to dismiss Ms. Gillespie’s case in its entirety </w:t>
      </w:r>
      <w:r w:rsidR="002E3EFE">
        <w:t>for seven enumerated reasons.  First,</w:t>
      </w:r>
      <w:r w:rsidR="0084733B">
        <w:t xml:space="preserve"> Ms. Gillespie does not have</w:t>
      </w:r>
      <w:r>
        <w:t xml:space="preserve"> standing to assert the Commission’s jurisdiction under </w:t>
      </w:r>
      <w:r w:rsidR="0084733B">
        <w:t>Texas Water Code (</w:t>
      </w:r>
      <w:r>
        <w:t>TWC</w:t>
      </w:r>
      <w:r w:rsidR="0084733B">
        <w:t>)</w:t>
      </w:r>
      <w:r>
        <w:t xml:space="preserve"> §13.004 or to bring an enforcement action</w:t>
      </w:r>
      <w:r w:rsidR="002E3EFE">
        <w:t xml:space="preserve"> on behalf of Commission Staff.  Second, </w:t>
      </w:r>
      <w:r>
        <w:t>Ms. Gillespie failed to state a claim upon which relief can be granted and only pointed to general jurisdictional provisions, rather than specific causes of action, as the bases for her claims</w:t>
      </w:r>
      <w:r w:rsidR="002E3EFE">
        <w:t>.  Third,</w:t>
      </w:r>
      <w:r>
        <w:t xml:space="preserve"> the Commission does not have jurisdiction under </w:t>
      </w:r>
      <w:r w:rsidR="00904860">
        <w:t>TWC</w:t>
      </w:r>
      <w:r>
        <w:t xml:space="preserve"> § 13.004(a</w:t>
      </w:r>
      <w:proofErr w:type="gramStart"/>
      <w:r>
        <w:t>)(</w:t>
      </w:r>
      <w:proofErr w:type="gramEnd"/>
      <w:r>
        <w:t>2) o</w:t>
      </w:r>
      <w:r w:rsidR="002E3EFE">
        <w:t>ver Ms. Gillespie’s allegations.  Fourth,</w:t>
      </w:r>
      <w:r>
        <w:t xml:space="preserve"> Ms. Gillespie failed to comply with SOAH Order No. 6 by failing to articulate the Commission’s jurisdiction and the legal base</w:t>
      </w:r>
      <w:r w:rsidR="002E3EFE">
        <w:t>s for her complaints as ordered.  Fifth,</w:t>
      </w:r>
      <w:r>
        <w:t xml:space="preserve"> Ms. Gillespie’s claims before September 1, 2014 were investigated by TCEQ Staff and </w:t>
      </w:r>
      <w:r w:rsidR="002E3EFE">
        <w:t>were found to be without merit.  Sixth, neither</w:t>
      </w:r>
      <w:r>
        <w:t xml:space="preserve"> the Commission nor SOAH has jurisdiction to adjudicate Ms. Gillespie’s</w:t>
      </w:r>
      <w:r w:rsidR="002E3EFE">
        <w:t xml:space="preserve"> Texas Open Meetings Act claims.  And seventh,</w:t>
      </w:r>
      <w:r>
        <w:t xml:space="preserve"> Ms. Gillespie added new allegations against Avalon in her verified brief but did not amend her pleadings as required by SOAH Order No. 6.</w:t>
      </w:r>
      <w:r w:rsidR="002E3EFE">
        <w:t xml:space="preserve">  </w:t>
      </w:r>
      <w:r>
        <w:t xml:space="preserve">In addition, the ALJs concluded that the Texas Water Code and Commission rules only authorize a Commission Staff-initiated enforcement action for complaints against a water supply corporation.  </w:t>
      </w:r>
    </w:p>
    <w:p w:rsidR="0084733B" w:rsidRDefault="00ED3939" w:rsidP="003B0A29">
      <w:pPr>
        <w:spacing w:line="360" w:lineRule="auto"/>
        <w:ind w:firstLine="720"/>
        <w:jc w:val="both"/>
      </w:pPr>
      <w:r w:rsidRPr="00903FED">
        <w:rPr>
          <w:rFonts w:eastAsia="Times New Roman"/>
          <w:snapToGrid w:val="0"/>
          <w:szCs w:val="20"/>
        </w:rPr>
        <w:t>The Commission agrees with t</w:t>
      </w:r>
      <w:r w:rsidR="0001031B">
        <w:rPr>
          <w:rFonts w:eastAsia="Times New Roman"/>
          <w:snapToGrid w:val="0"/>
          <w:szCs w:val="20"/>
        </w:rPr>
        <w:t>he recommendations of the ALJs to the extent that the facts presented i</w:t>
      </w:r>
      <w:r w:rsidR="00701335">
        <w:rPr>
          <w:rFonts w:eastAsia="Times New Roman"/>
          <w:snapToGrid w:val="0"/>
          <w:szCs w:val="20"/>
        </w:rPr>
        <w:t xml:space="preserve">n this docket do not support a finding </w:t>
      </w:r>
      <w:r w:rsidR="00701335">
        <w:t xml:space="preserve">that Avalon failed to conduct annual or special </w:t>
      </w:r>
      <w:r w:rsidR="00701335">
        <w:lastRenderedPageBreak/>
        <w:t xml:space="preserve">meetings, failed to operate in accordance with its bylaws, and violated the Texas Open Meetings Act.  </w:t>
      </w:r>
      <w:r w:rsidR="00A00A47">
        <w:t>In addition, w</w:t>
      </w:r>
      <w:r w:rsidR="00FE6CC3">
        <w:t>hile the Commission agrees that an individual has no right to initiate a formal complaint under TWC</w:t>
      </w:r>
      <w:r w:rsidR="00267533">
        <w:t xml:space="preserve"> §</w:t>
      </w:r>
      <w:r w:rsidR="00FE6CC3">
        <w:t xml:space="preserve"> 13.004, the </w:t>
      </w:r>
      <w:r w:rsidR="00701335">
        <w:t>Commission disagrees with the</w:t>
      </w:r>
      <w:r w:rsidRPr="00903FED">
        <w:rPr>
          <w:rFonts w:eastAsia="Times New Roman"/>
          <w:snapToGrid w:val="0"/>
          <w:szCs w:val="20"/>
        </w:rPr>
        <w:t xml:space="preserve"> </w:t>
      </w:r>
      <w:r w:rsidRPr="00903FED">
        <w:t>ALJs’ determination that proceeding</w:t>
      </w:r>
      <w:r w:rsidR="00B55F2B">
        <w:t xml:space="preserve">s under TWC § 13.004 should never </w:t>
      </w:r>
      <w:r w:rsidRPr="00903FED">
        <w:t>be referred to SOAH</w:t>
      </w:r>
      <w:r w:rsidR="00762B40">
        <w:t xml:space="preserve">, as the Commission </w:t>
      </w:r>
      <w:r w:rsidR="00B55F2B">
        <w:t>may need</w:t>
      </w:r>
      <w:r w:rsidR="0001031B">
        <w:t xml:space="preserve">, in some limited circumstances, </w:t>
      </w:r>
      <w:r w:rsidR="00762B40">
        <w:t xml:space="preserve">to refer matters for development of an evidentiary record.  Additionally, the Commission </w:t>
      </w:r>
      <w:r w:rsidR="00762B40" w:rsidRPr="00903FED">
        <w:t>disagrees with the ALJs’ reliance on a</w:t>
      </w:r>
      <w:r w:rsidR="00B55F2B">
        <w:t xml:space="preserve"> letter from the staff of the</w:t>
      </w:r>
      <w:r w:rsidR="00762B40" w:rsidRPr="00903FED">
        <w:t xml:space="preserve"> TCEQ in support of dismissal of some of Ms. Gillespie’s </w:t>
      </w:r>
      <w:r w:rsidR="00762B40" w:rsidRPr="00397088">
        <w:t>claims</w:t>
      </w:r>
      <w:r w:rsidR="00C66579">
        <w:t xml:space="preserve">.  The Commission also disagrees with the ALJs’ determination that Ms. Gillespie failed to state a claim upon which relief can be granted and </w:t>
      </w:r>
      <w:r w:rsidR="00762B40" w:rsidRPr="00903FED">
        <w:t>with the ALJs’ conclusion that M</w:t>
      </w:r>
      <w:r w:rsidR="00B55F2B">
        <w:t>s. Gillespie’s claims do not allege</w:t>
      </w:r>
      <w:r w:rsidR="00762B40" w:rsidRPr="00903FED">
        <w:t xml:space="preserve"> that Avalon is failing to conduct annual or special meetings in compliance with TWC §</w:t>
      </w:r>
      <w:r w:rsidR="004A0DD6">
        <w:t xml:space="preserve"> 67.007, as three of Ms. Gillespie’s claims directly reference Avalon’s conduct regarding annual meetings.  Instead, the Commission bases its dismissal of Ms. Gillespie’s claims on the applicable facts and law.  The Commission concludes that the facts in this docket do not subject Avalon to the Comm</w:t>
      </w:r>
      <w:r w:rsidR="00904860">
        <w:t xml:space="preserve">ission’s jurisdiction under TWC </w:t>
      </w:r>
      <w:r w:rsidR="004A0DD6">
        <w:t>§</w:t>
      </w:r>
      <w:r w:rsidR="003B0A29">
        <w:t xml:space="preserve"> </w:t>
      </w:r>
      <w:r w:rsidR="004A0DD6">
        <w:t>13.004(a).  Accordingly, the Commission adds conclusions of law 2A</w:t>
      </w:r>
      <w:r w:rsidR="00C66579">
        <w:t xml:space="preserve"> and 8</w:t>
      </w:r>
      <w:r w:rsidR="004A0DD6">
        <w:t>.</w:t>
      </w:r>
      <w:r w:rsidR="00FE6CC3">
        <w:t xml:space="preserve">  </w:t>
      </w:r>
    </w:p>
    <w:p w:rsidR="002D0C98" w:rsidRDefault="002D0C98" w:rsidP="002D0C98">
      <w:pPr>
        <w:pStyle w:val="BodyText"/>
      </w:pPr>
      <w:r w:rsidRPr="002D0C98">
        <w:t>The Commission adopts the proposal for decision, including findings of fact and conclusions of law, but disagrees with the ALJs as detailed in this Order.</w:t>
      </w:r>
    </w:p>
    <w:p w:rsidR="00A8572C" w:rsidRDefault="00A8572C" w:rsidP="00A8572C">
      <w:pPr>
        <w:pStyle w:val="Heading1"/>
      </w:pPr>
      <w:r>
        <w:t>Discussion</w:t>
      </w:r>
    </w:p>
    <w:p w:rsidR="001A409D" w:rsidRDefault="00FE3FE1" w:rsidP="00A8572C">
      <w:pPr>
        <w:pStyle w:val="Heading2"/>
      </w:pPr>
      <w:r>
        <w:t>Case processing</w:t>
      </w:r>
    </w:p>
    <w:p w:rsidR="00AD02C7" w:rsidRDefault="00AD02C7" w:rsidP="00AD02C7">
      <w:pPr>
        <w:pStyle w:val="BodyText"/>
      </w:pPr>
      <w:r w:rsidRPr="00701335">
        <w:t xml:space="preserve">The Commission agrees with the ALJs’ determination that an individual lacks standing to initiate a </w:t>
      </w:r>
      <w:r w:rsidR="0001031B" w:rsidRPr="00701335">
        <w:t xml:space="preserve">formal </w:t>
      </w:r>
      <w:r w:rsidRPr="00701335">
        <w:t xml:space="preserve">complaint action under TWC § 13.004 because the statue does not provide </w:t>
      </w:r>
      <w:r w:rsidR="0001031B" w:rsidRPr="00701335">
        <w:t>an independent cause of action.  Nor does this section provide any remedy to an individual complainant.</w:t>
      </w:r>
      <w:r w:rsidRPr="00701335">
        <w:t xml:space="preserve"> </w:t>
      </w:r>
      <w:r w:rsidR="0001031B" w:rsidRPr="00701335">
        <w:t xml:space="preserve"> </w:t>
      </w:r>
      <w:r w:rsidRPr="00701335">
        <w:t>While an individual is entitled to articulate grievances against a water supply corporation and its governance, it is</w:t>
      </w:r>
      <w:r w:rsidR="0001031B" w:rsidRPr="00701335">
        <w:t xml:space="preserve"> the Commission’</w:t>
      </w:r>
      <w:r w:rsidRPr="00701335">
        <w:t>s prerogative to initiate an investigation or enforcement proceeding to determine whether a water supply corporation is operating in accordance with TWC § 13.004.</w:t>
      </w:r>
      <w:r w:rsidR="0001031B" w:rsidRPr="00701335">
        <w:t xml:space="preserve">  And if the requisite findings are made under TWC § 13.004, the result places the water supply corporation or sewer service corporation into a different regulatory </w:t>
      </w:r>
      <w:r w:rsidR="00701335" w:rsidRPr="00701335">
        <w:t>framework:</w:t>
      </w:r>
      <w:r w:rsidR="0001031B" w:rsidRPr="00701335">
        <w:t xml:space="preserve"> the framework applicable to a public utility.</w:t>
      </w:r>
      <w:r w:rsidR="0001031B">
        <w:t xml:space="preserve"> </w:t>
      </w:r>
      <w:r w:rsidR="00267533">
        <w:t xml:space="preserve"> The Commission modifies conclusion of law 1 to reflect that Ms. Gillespie has no right to initiate a formal complaint under TWC § 13.004 </w:t>
      </w:r>
      <w:r w:rsidR="00904860">
        <w:lastRenderedPageBreak/>
        <w:t>and deletes the citation</w:t>
      </w:r>
      <w:r w:rsidR="00267533">
        <w:t xml:space="preserve"> to 16 TAC § 22.246 because Ms. Gillespie never requested administrative penalties against Avalon.   </w:t>
      </w:r>
    </w:p>
    <w:p w:rsidR="00FE6CC3" w:rsidRDefault="00AD02C7" w:rsidP="00FE6CC3">
      <w:pPr>
        <w:pStyle w:val="BodyText"/>
      </w:pPr>
      <w:r>
        <w:t xml:space="preserve">However, the Commission </w:t>
      </w:r>
      <w:r w:rsidR="00637CF9">
        <w:t xml:space="preserve">does not </w:t>
      </w:r>
      <w:r w:rsidR="00F401DA">
        <w:t xml:space="preserve">agree </w:t>
      </w:r>
      <w:r w:rsidR="00637CF9">
        <w:t>with the ALJs’ determination</w:t>
      </w:r>
      <w:r>
        <w:t xml:space="preserve"> that proceedings under TWC § 13.004 should not be referred to SOAH.  </w:t>
      </w:r>
      <w:r w:rsidR="00BC1D7C" w:rsidRPr="00BC1D7C">
        <w:t xml:space="preserve">Although an individual cannot initiate a formal complaint proceeding under TWC § 13.004, the Commission </w:t>
      </w:r>
      <w:r w:rsidR="00904860">
        <w:t xml:space="preserve">can and after doing so, the Commission may refer </w:t>
      </w:r>
      <w:r w:rsidR="0001031B">
        <w:t>such</w:t>
      </w:r>
      <w:r w:rsidR="00BC1D7C" w:rsidRPr="00BC1D7C">
        <w:t xml:space="preserve"> matter</w:t>
      </w:r>
      <w:r w:rsidR="00BC1D7C">
        <w:t>s</w:t>
      </w:r>
      <w:r w:rsidR="00BC1D7C" w:rsidRPr="00BC1D7C">
        <w:t xml:space="preserve"> to SOAH for the development of a factual record</w:t>
      </w:r>
      <w:r w:rsidR="00904860">
        <w:t>.</w:t>
      </w:r>
      <w:r w:rsidR="0001031B">
        <w:t xml:space="preserve">  The Commission anticipates that</w:t>
      </w:r>
      <w:r>
        <w:t xml:space="preserve"> the majority of c</w:t>
      </w:r>
      <w:r w:rsidR="0001031B">
        <w:t>omplaints</w:t>
      </w:r>
      <w:r>
        <w:t xml:space="preserve"> under TWC § 13.004 </w:t>
      </w:r>
      <w:r w:rsidR="0001031B">
        <w:t>will rely on a Commission Staff investigation</w:t>
      </w:r>
      <w:r>
        <w:t xml:space="preserve">, </w:t>
      </w:r>
      <w:r w:rsidR="0001031B">
        <w:t xml:space="preserve">however, </w:t>
      </w:r>
      <w:r>
        <w:t>the Commission will refer</w:t>
      </w:r>
      <w:r w:rsidR="00904860">
        <w:t xml:space="preserve"> a proceeding</w:t>
      </w:r>
      <w:r>
        <w:t xml:space="preserve"> under </w:t>
      </w:r>
      <w:r w:rsidR="00BC1D7C">
        <w:t>the statute</w:t>
      </w:r>
      <w:r>
        <w:t xml:space="preserve"> to SOAH when necessary for the development of an evidentiary record when the matter presents complex situat</w:t>
      </w:r>
      <w:r w:rsidR="00FE6CC3">
        <w:t xml:space="preserve">ions or unusual circumstances.  </w:t>
      </w:r>
    </w:p>
    <w:p w:rsidR="003141AE" w:rsidRDefault="003141AE" w:rsidP="003141AE">
      <w:pPr>
        <w:pStyle w:val="Heading2"/>
      </w:pPr>
      <w:r>
        <w:t>Failure to amend pleadings</w:t>
      </w:r>
    </w:p>
    <w:p w:rsidR="00393806" w:rsidRDefault="00393806" w:rsidP="00393806">
      <w:pPr>
        <w:pStyle w:val="BodyText"/>
      </w:pPr>
      <w:r>
        <w:t>Ms. Gillespie filed her initial complaint with TCEQ on August 25, 2014.  Ms. Gillespie amended her complaint by letters dated September 29, 2014 (filed September 30, 2014),        October 1, 2014 (filed October 6, 2014), January 31, 2015 (filed February 3, 2015) and                   July 14, 2014 (filed February 6, 2015).  Ms. Gillespie’s January 31, 2015 letter allege</w:t>
      </w:r>
      <w:r w:rsidR="0001031B">
        <w:t>s that a violation</w:t>
      </w:r>
      <w:r>
        <w:t xml:space="preserve"> </w:t>
      </w:r>
      <w:r w:rsidR="0001031B">
        <w:t>occurred on October 9, 2014; this is</w:t>
      </w:r>
      <w:r>
        <w:t xml:space="preserve"> the most recent allegation </w:t>
      </w:r>
      <w:r w:rsidR="00904860">
        <w:t xml:space="preserve">that Ms. Gillespie makes </w:t>
      </w:r>
      <w:r>
        <w:t xml:space="preserve">against Avalon.  </w:t>
      </w:r>
    </w:p>
    <w:p w:rsidR="00393806" w:rsidRDefault="00393806" w:rsidP="00393806">
      <w:pPr>
        <w:pStyle w:val="BodyText"/>
      </w:pPr>
      <w:r>
        <w:t>On July 7, 2016, the ALJs issued SOAH Order No. 6, which ordered Ms. Gillespie to file a verified brief addressing the factual background, legal authority, and remedy for each and every alleged deficiency committed by Avalon.  In addition, Ms. Gillespie was required to properly amend her complaint if new claims were alleged in her brief.</w:t>
      </w:r>
    </w:p>
    <w:p w:rsidR="00393806" w:rsidRDefault="00393806" w:rsidP="00393806">
      <w:pPr>
        <w:pStyle w:val="BodyText"/>
      </w:pPr>
      <w:r>
        <w:t xml:space="preserve">In Ms. Gillespie’s verified brief in response to SOAH Order No. 6, Ms. Gillespie </w:t>
      </w:r>
      <w:r w:rsidR="0001031B">
        <w:t xml:space="preserve">asserted </w:t>
      </w:r>
      <w:r>
        <w:t>additional claims against Avalon without reference to specific dates</w:t>
      </w:r>
      <w:r w:rsidR="0001031B">
        <w:t>.</w:t>
      </w:r>
      <w:r>
        <w:t xml:space="preserve">  Despite adding new claims in her verified brief, Ms. Gillespie did not amend her complaint as required by SOAH Order </w:t>
      </w:r>
      <w:r w:rsidR="0001031B">
        <w:t xml:space="preserve">        </w:t>
      </w:r>
      <w:r>
        <w:t>No. 6.</w:t>
      </w:r>
    </w:p>
    <w:p w:rsidR="00393806" w:rsidRPr="00393806" w:rsidRDefault="00393806" w:rsidP="00393806">
      <w:pPr>
        <w:pStyle w:val="BodyText"/>
      </w:pPr>
      <w:r>
        <w:t xml:space="preserve">Accordingly, the Commission agrees with the ALJs recommendation to dismiss </w:t>
      </w:r>
      <w:r w:rsidR="00701335">
        <w:t xml:space="preserve">(or perhaps more properly, to disregard) </w:t>
      </w:r>
      <w:r>
        <w:t xml:space="preserve">these claims as Ms. Gillespie did not properly amend her complaint as required by SOAH Order No. 6 to include additional allegations against Avalon. </w:t>
      </w:r>
      <w:r w:rsidR="0001031B">
        <w:t xml:space="preserve">  </w:t>
      </w:r>
    </w:p>
    <w:p w:rsidR="003141AE" w:rsidRDefault="003141AE" w:rsidP="003141AE">
      <w:pPr>
        <w:pStyle w:val="Heading2"/>
      </w:pPr>
      <w:r>
        <w:lastRenderedPageBreak/>
        <w:t>Texas Open Meetings Act</w:t>
      </w:r>
    </w:p>
    <w:p w:rsidR="003141AE" w:rsidRDefault="00F401DA" w:rsidP="003141AE">
      <w:pPr>
        <w:pStyle w:val="BodyText"/>
      </w:pPr>
      <w:r>
        <w:t>Ms. Gillespie asserted</w:t>
      </w:r>
      <w:r w:rsidR="003141AE">
        <w:t xml:space="preserve"> 20 claims against Avalon based on alleged violations of the Texas Open Meetings Act.</w:t>
      </w:r>
      <w:r w:rsidR="003141AE">
        <w:rPr>
          <w:rStyle w:val="FootnoteReference"/>
        </w:rPr>
        <w:footnoteReference w:id="1"/>
      </w:r>
      <w:r w:rsidR="003141AE">
        <w:t xml:space="preserve">  Although Avalon acknowledges that it is subject to the Texas Open Meetings Act,</w:t>
      </w:r>
      <w:r w:rsidR="003141AE">
        <w:rPr>
          <w:rStyle w:val="FootnoteReference"/>
        </w:rPr>
        <w:footnoteReference w:id="2"/>
      </w:r>
      <w:r w:rsidR="003141AE">
        <w:t xml:space="preserve"> the Commission lacks jurisdiction to ad</w:t>
      </w:r>
      <w:r>
        <w:t xml:space="preserve">judicate these alleged violations. </w:t>
      </w:r>
    </w:p>
    <w:p w:rsidR="003141AE" w:rsidRDefault="003141AE" w:rsidP="003141AE">
      <w:pPr>
        <w:pStyle w:val="BodyText"/>
      </w:pPr>
      <w:r>
        <w:t xml:space="preserve">The Texas Open Meetings Act provides civil remedies and criminal penalties for violations of its provisions.  The act allows an interested person to bring an action by mandamus or injunction to stop, prevent, or reverse a violation or threatened violation of the act by members of a governmental body and establishes Texas district courts as the proper venue for these actions.  </w:t>
      </w:r>
      <w:r w:rsidR="00904860">
        <w:t>T</w:t>
      </w:r>
      <w:r>
        <w:t>he act does not authorize a state agency to interpret or enforce the act.</w:t>
      </w:r>
      <w:r>
        <w:rPr>
          <w:rStyle w:val="FootnoteReference"/>
        </w:rPr>
        <w:footnoteReference w:id="3"/>
      </w:r>
      <w:r>
        <w:t xml:space="preserve">  Without </w:t>
      </w:r>
      <w:r w:rsidR="00904860">
        <w:t>express</w:t>
      </w:r>
      <w:r>
        <w:t xml:space="preserve"> statutory language </w:t>
      </w:r>
      <w:r w:rsidR="00904860">
        <w:t>granting the Commission</w:t>
      </w:r>
      <w:r>
        <w:t xml:space="preserve"> jurisdiction on these matters, the Commission does not have the authority to evaluate these types of violations.</w:t>
      </w:r>
      <w:r>
        <w:rPr>
          <w:rStyle w:val="FootnoteReference"/>
        </w:rPr>
        <w:footnoteReference w:id="4"/>
      </w:r>
      <w:r w:rsidR="006122F5">
        <w:t xml:space="preserve">  Accordingly, the Commission</w:t>
      </w:r>
      <w:r>
        <w:t xml:space="preserve"> dismiss</w:t>
      </w:r>
      <w:r w:rsidR="006122F5">
        <w:t>es</w:t>
      </w:r>
      <w:r>
        <w:t xml:space="preserve"> all of Ms. Gillespie’s claims related to violations of the Texas</w:t>
      </w:r>
      <w:r w:rsidR="00F401DA">
        <w:t xml:space="preserve"> Open Meetings Act.</w:t>
      </w:r>
    </w:p>
    <w:p w:rsidR="003141AE" w:rsidRDefault="003141AE" w:rsidP="003141AE">
      <w:pPr>
        <w:pStyle w:val="Heading2"/>
      </w:pPr>
      <w:r>
        <w:t>TCEQ deference</w:t>
      </w:r>
    </w:p>
    <w:p w:rsidR="00053ABB" w:rsidRDefault="00053ABB" w:rsidP="006122F5">
      <w:pPr>
        <w:pStyle w:val="BodyText"/>
      </w:pPr>
      <w:r>
        <w:t xml:space="preserve">The ALJs determined that Ms. Gillespie’s claims based on facts prior to August 25, 2014 should be dismissed in deference to TCEQ action.  In 2014, TCEQ staff twice investigated Ms. Gillespie’s allegations and found no violations.  On August 25, 2014, TCEQ staff issued </w:t>
      </w:r>
      <w:r w:rsidR="00F401DA">
        <w:t>a letter, again determining</w:t>
      </w:r>
      <w:r>
        <w:t xml:space="preserve"> that Avalon was properly operating as a non-profit, member-owned and member-controlled water supply corporation.  TCEQ staff closed the complaint and took no action against Avalon.  The ALJs took official notice of TCEQ’s August 25, 2014 letter and its findings and recommended that any claim</w:t>
      </w:r>
      <w:r w:rsidR="00F401DA">
        <w:t>s already investigated by TCEQ s</w:t>
      </w:r>
      <w:r>
        <w:t xml:space="preserve">taff should be dismissed in deference to TCEQ’s jurisdiction and action.  </w:t>
      </w:r>
    </w:p>
    <w:p w:rsidR="003141AE" w:rsidRPr="003141AE" w:rsidRDefault="003141AE" w:rsidP="00A478B6">
      <w:pPr>
        <w:pStyle w:val="BodyText"/>
      </w:pPr>
      <w:r w:rsidRPr="00397088">
        <w:t>Instead of</w:t>
      </w:r>
      <w:r>
        <w:t xml:space="preserve"> relying on deference to TCEQ, the Commission bases its dismissal of Ms. Gillespie’s claims on the applicable facts and law.  </w:t>
      </w:r>
      <w:r w:rsidR="006122F5">
        <w:t xml:space="preserve">A TCEQ </w:t>
      </w:r>
      <w:r w:rsidR="00F401DA">
        <w:t>s</w:t>
      </w:r>
      <w:r w:rsidR="006122F5">
        <w:t>t</w:t>
      </w:r>
      <w:r w:rsidR="00F401DA">
        <w:t>aff letter does not constitute a</w:t>
      </w:r>
      <w:r w:rsidR="006122F5">
        <w:t xml:space="preserve"> policy or decision of the TCEQ or its executive director. </w:t>
      </w:r>
      <w:r w:rsidR="00A478B6">
        <w:t xml:space="preserve"> </w:t>
      </w:r>
      <w:r>
        <w:t xml:space="preserve">Accordingly, the Commission deletes conclusion of law 6.  </w:t>
      </w:r>
    </w:p>
    <w:p w:rsidR="00FE3FE1" w:rsidRDefault="00FE3FE1" w:rsidP="00A8572C">
      <w:pPr>
        <w:pStyle w:val="Heading2"/>
      </w:pPr>
      <w:r>
        <w:lastRenderedPageBreak/>
        <w:t>Claims regrading Avalon’s bylaws</w:t>
      </w:r>
    </w:p>
    <w:p w:rsidR="00F401DA" w:rsidRDefault="00F401DA" w:rsidP="00F401DA">
      <w:pPr>
        <w:pStyle w:val="BodyText"/>
      </w:pPr>
      <w:r>
        <w:rPr>
          <w:rStyle w:val="BodyTextChar"/>
        </w:rPr>
        <w:t>TWC § 13.004(a)(2) speaks to whether a water supply corporation “is operating in a manner that does not comply with the requirements for classifications as a nonprofit water supply or sewer corporation prescribed by Sections 13.002(11) and (24).”</w:t>
      </w:r>
      <w:r>
        <w:t xml:space="preserve">  Section 13.002(24) defines </w:t>
      </w:r>
      <w:r w:rsidRPr="00725A34">
        <w:rPr>
          <w:i/>
        </w:rPr>
        <w:t xml:space="preserve">water supply corporation </w:t>
      </w:r>
      <w:r>
        <w:t xml:space="preserve">as a nonprofit corporation organized and operating under chapter 67 that has “adopted and is operating in accordance with by-laws or articles of incorporation </w:t>
      </w:r>
      <w:r w:rsidRPr="00F401DA">
        <w:t>which ensure that it is member-owned and member controlled.”</w:t>
      </w:r>
    </w:p>
    <w:p w:rsidR="00C61946" w:rsidRDefault="00482042" w:rsidP="002E6B47">
      <w:pPr>
        <w:pStyle w:val="BodyText"/>
      </w:pPr>
      <w:r>
        <w:t xml:space="preserve">The Commission agrees with the ALJs’ narrow reading of </w:t>
      </w:r>
      <w:r w:rsidR="002D0C98">
        <w:t xml:space="preserve">TWC § </w:t>
      </w:r>
      <w:r>
        <w:t>13.004(a</w:t>
      </w:r>
      <w:proofErr w:type="gramStart"/>
      <w:r>
        <w:t>)(</w:t>
      </w:r>
      <w:proofErr w:type="gramEnd"/>
      <w:r>
        <w:t xml:space="preserve">2) and TWC </w:t>
      </w:r>
      <w:r w:rsidR="00904860">
        <w:t xml:space="preserve">§ </w:t>
      </w:r>
      <w:r>
        <w:t>13.002(24).  The plain language of TWC § 13.002(24) sets the limits of the Commission’s evaluation.  The Commission can only evaluate whether a water supply corporation is operating in accordance with its bylaws or articles of incorporation that ensure that the water supply corporation is member-owned and member-controlled.</w:t>
      </w:r>
      <w:r w:rsidR="00BC1D7C">
        <w:t xml:space="preserve">  </w:t>
      </w:r>
      <w:r w:rsidR="00C61946">
        <w:t xml:space="preserve">Therefore, </w:t>
      </w:r>
      <w:r w:rsidR="00C61946" w:rsidRPr="00BC1D7C">
        <w:t xml:space="preserve">Ms. Gillespie’s complaints alleging </w:t>
      </w:r>
      <w:r w:rsidR="00C61946">
        <w:t>violations of Avalon’s bylaws should be dismissed b</w:t>
      </w:r>
      <w:r w:rsidR="00BC1D7C" w:rsidRPr="00BC1D7C">
        <w:t>ecause none of Ms. Gillespie’s complaints relate to the bylaws or articles of incorporation that ensure that Avalon is memb</w:t>
      </w:r>
      <w:r w:rsidR="00C61946">
        <w:t xml:space="preserve">er-owned and member controlled.  </w:t>
      </w:r>
      <w:r>
        <w:t xml:space="preserve">Accordingly, the Commission </w:t>
      </w:r>
      <w:r w:rsidR="002E6B47">
        <w:t>dismisses Ms. Gillespie’s</w:t>
      </w:r>
      <w:r>
        <w:t xml:space="preserve"> eight clai</w:t>
      </w:r>
      <w:r w:rsidR="00A478B6">
        <w:t xml:space="preserve">ms related to Avalon’s bylaws, deletes conclusion of law 5 and adds conclusion of law 5A.   </w:t>
      </w:r>
    </w:p>
    <w:p w:rsidR="00FE3FE1" w:rsidRPr="00FE3FE1" w:rsidRDefault="00FE3FE1" w:rsidP="00A8572C">
      <w:pPr>
        <w:pStyle w:val="Heading2"/>
      </w:pPr>
      <w:r>
        <w:t>Claims regrading Avalon’s annual meetings</w:t>
      </w:r>
    </w:p>
    <w:p w:rsidR="004063F3" w:rsidRDefault="002E6B47" w:rsidP="004063F3">
      <w:pPr>
        <w:pStyle w:val="BodyText"/>
      </w:pPr>
      <w:r>
        <w:t xml:space="preserve">TWC § 13.004(a)(1) states that the Commission can assume jurisdiction over a </w:t>
      </w:r>
      <w:r w:rsidRPr="002B6FC1">
        <w:t>water supply</w:t>
      </w:r>
      <w:r w:rsidR="00904860">
        <w:t xml:space="preserve"> corporation</w:t>
      </w:r>
      <w:r w:rsidRPr="002B6FC1">
        <w:t xml:space="preserve"> </w:t>
      </w:r>
      <w:r>
        <w:t>if the</w:t>
      </w:r>
      <w:r w:rsidRPr="002B6FC1">
        <w:t xml:space="preserve"> commission finds that the water supp</w:t>
      </w:r>
      <w:r>
        <w:t xml:space="preserve">ly corporation </w:t>
      </w:r>
      <w:r w:rsidRPr="002B6FC1">
        <w:t>is failing to conduct annual or special meetings in co</w:t>
      </w:r>
      <w:r>
        <w:t xml:space="preserve">mpliance with Section 67.007.  </w:t>
      </w:r>
      <w:r w:rsidRPr="002B6FC1">
        <w:t>Section 67.007</w:t>
      </w:r>
      <w:r>
        <w:t xml:space="preserve"> requires water supply corporations to comply with various requirements for an</w:t>
      </w:r>
      <w:r w:rsidR="0071315C">
        <w:t>nual meetings, including the adoption</w:t>
      </w:r>
      <w:r>
        <w:t xml:space="preserve"> of written procedures and when annual meetings must be held.  </w:t>
      </w:r>
    </w:p>
    <w:p w:rsidR="00C66579" w:rsidRPr="004063F3" w:rsidRDefault="004063F3" w:rsidP="00FE6CC3">
      <w:pPr>
        <w:spacing w:line="360" w:lineRule="auto"/>
        <w:ind w:firstLine="720"/>
        <w:jc w:val="both"/>
      </w:pPr>
      <w:r w:rsidRPr="004063F3">
        <w:t>The Commission disagrees with the ALJs’ conclusion that Ms</w:t>
      </w:r>
      <w:r w:rsidR="000951D5">
        <w:t>. Gillespie’s claims do not allege</w:t>
      </w:r>
      <w:r w:rsidRPr="004063F3">
        <w:t xml:space="preserve"> that Avalon is failing to conduct annual or </w:t>
      </w:r>
      <w:r w:rsidR="000951D5" w:rsidRPr="004063F3">
        <w:t>special</w:t>
      </w:r>
      <w:r w:rsidR="000951D5">
        <w:t xml:space="preserve"> meetings</w:t>
      </w:r>
      <w:r w:rsidR="002E6B47">
        <w:t xml:space="preserve"> in</w:t>
      </w:r>
      <w:r w:rsidR="00FE6CC3">
        <w:t xml:space="preserve"> accordance with section 67.007 and thus, failed to state a claim upon which relief can be granted.</w:t>
      </w:r>
      <w:r w:rsidR="002E6B47">
        <w:t xml:space="preserve">  Ms. Gillespie </w:t>
      </w:r>
      <w:r w:rsidR="000951D5">
        <w:t xml:space="preserve">specifically </w:t>
      </w:r>
      <w:r w:rsidR="002E6B47">
        <w:t>alleges that Avalon failed to adopt written procedures for conducting annual meetings or special meetings in 2</w:t>
      </w:r>
      <w:r w:rsidR="0071315C">
        <w:t xml:space="preserve">011 and </w:t>
      </w:r>
      <w:r w:rsidR="002E6B47">
        <w:t>2012, failed to</w:t>
      </w:r>
      <w:r w:rsidR="00904860">
        <w:t xml:space="preserve"> timely</w:t>
      </w:r>
      <w:r w:rsidR="002E6B47">
        <w:t xml:space="preserve"> hold its a</w:t>
      </w:r>
      <w:r w:rsidR="0071315C">
        <w:t xml:space="preserve">nnual meetings from 2011 through 2013, </w:t>
      </w:r>
      <w:r w:rsidR="002E6B47">
        <w:t xml:space="preserve">and failed to hold an annual meeting in 2013.   </w:t>
      </w:r>
      <w:r w:rsidR="00FE6CC3">
        <w:t>Accordingly,</w:t>
      </w:r>
      <w:r w:rsidR="00C66579">
        <w:t xml:space="preserve"> the Commission deletes conclusions of law 2 and 4. </w:t>
      </w:r>
    </w:p>
    <w:p w:rsidR="002E6B47" w:rsidRDefault="00C66579" w:rsidP="002E6B47">
      <w:pPr>
        <w:pStyle w:val="BodyText"/>
      </w:pPr>
      <w:r>
        <w:lastRenderedPageBreak/>
        <w:t>T</w:t>
      </w:r>
      <w:r w:rsidR="002E6B47" w:rsidRPr="005C716E">
        <w:t>he Commission dismiss</w:t>
      </w:r>
      <w:r w:rsidR="0071315C">
        <w:t>es</w:t>
      </w:r>
      <w:r w:rsidR="002E6B47" w:rsidRPr="005C716E">
        <w:t xml:space="preserve"> </w:t>
      </w:r>
      <w:r>
        <w:t>Ms. Gillespie’s</w:t>
      </w:r>
      <w:r w:rsidR="009352BF">
        <w:t xml:space="preserve"> three </w:t>
      </w:r>
      <w:r>
        <w:t xml:space="preserve">annual meeting </w:t>
      </w:r>
      <w:r w:rsidR="002E6B47">
        <w:t>claims</w:t>
      </w:r>
      <w:r w:rsidR="0071315C">
        <w:t xml:space="preserve"> because the record</w:t>
      </w:r>
      <w:r w:rsidR="002E6B47" w:rsidRPr="005C716E">
        <w:t xml:space="preserve"> does not support Ms. Gillespie’s assertions.</w:t>
      </w:r>
      <w:r w:rsidR="002E6B47">
        <w:t xml:space="preserve">  </w:t>
      </w:r>
      <w:r w:rsidR="002E6B47" w:rsidRPr="005C716E">
        <w:t>Avalon has adopted written procedures for its annual meetings in its bylaws.</w:t>
      </w:r>
      <w:r w:rsidR="002E6B47">
        <w:rPr>
          <w:rStyle w:val="FootnoteReference"/>
        </w:rPr>
        <w:footnoteReference w:id="5"/>
      </w:r>
      <w:r w:rsidR="002E6B47" w:rsidRPr="005C716E">
        <w:t xml:space="preserve">   These procedures were last revised in 1996, and were therefore applicable to the 2011 and 2012 annual meetings.  In addition, the written procedures were properly amended at the 2012 annual meeting</w:t>
      </w:r>
      <w:r w:rsidR="002E6B47">
        <w:t>.</w:t>
      </w:r>
      <w:r w:rsidR="002E6B47">
        <w:rPr>
          <w:rStyle w:val="FootnoteReference"/>
        </w:rPr>
        <w:footnoteReference w:id="6"/>
      </w:r>
      <w:r w:rsidR="002E6B47">
        <w:t xml:space="preserve">  </w:t>
      </w:r>
    </w:p>
    <w:p w:rsidR="000951D5" w:rsidRPr="00A713B8" w:rsidRDefault="002E6B47" w:rsidP="00A713B8">
      <w:pPr>
        <w:pStyle w:val="BodyText"/>
      </w:pPr>
      <w:r>
        <w:t xml:space="preserve">Regarding Ms. Gillespie’s claim that Avalon did not timely hold annual meetings from 2011 through 2013, the record shows that the annual meetings in 2011 and 2012 were timely held.  </w:t>
      </w:r>
      <w:r w:rsidRPr="005C716E">
        <w:rPr>
          <w:szCs w:val="20"/>
        </w:rPr>
        <w:t>The 2011 annual mee</w:t>
      </w:r>
      <w:r w:rsidR="0071315C">
        <w:rPr>
          <w:szCs w:val="20"/>
        </w:rPr>
        <w:t>ting was held on March 14, 2011</w:t>
      </w:r>
      <w:r w:rsidRPr="005C716E">
        <w:rPr>
          <w:szCs w:val="20"/>
          <w:vertAlign w:val="superscript"/>
        </w:rPr>
        <w:footnoteReference w:id="7"/>
      </w:r>
      <w:r>
        <w:t xml:space="preserve"> </w:t>
      </w:r>
      <w:r w:rsidR="0071315C">
        <w:t>and t</w:t>
      </w:r>
      <w:r w:rsidRPr="005C716E">
        <w:t>he 2012 annual meeting was held on April 9, 2012</w:t>
      </w:r>
      <w:r w:rsidRPr="00A713B8">
        <w:t>.</w:t>
      </w:r>
      <w:r w:rsidRPr="00A713B8">
        <w:rPr>
          <w:vertAlign w:val="superscript"/>
        </w:rPr>
        <w:footnoteReference w:id="8"/>
      </w:r>
      <w:r w:rsidR="000951D5" w:rsidRPr="00A713B8">
        <w:t xml:space="preserve">  Avalon’s response contains the minutes from the 2014 annual meeting, which references the 2013 annual meeting and the 2013 annual meeting minutes.</w:t>
      </w:r>
      <w:r w:rsidR="000951D5" w:rsidRPr="00A713B8">
        <w:rPr>
          <w:rStyle w:val="FootnoteReference"/>
        </w:rPr>
        <w:footnoteReference w:id="9"/>
      </w:r>
      <w:r w:rsidR="000951D5" w:rsidRPr="00A713B8">
        <w:t xml:space="preserve">  In addition, Ms. Gillespie’s’ own statements and pleadings acknowledge that an annual meeting was held in 2013.</w:t>
      </w:r>
      <w:r w:rsidR="000951D5" w:rsidRPr="00A713B8">
        <w:rPr>
          <w:rStyle w:val="FootnoteReference"/>
        </w:rPr>
        <w:footnoteReference w:id="10"/>
      </w:r>
      <w:r w:rsidR="000951D5" w:rsidRPr="00A713B8">
        <w:t xml:space="preserve">   </w:t>
      </w:r>
    </w:p>
    <w:p w:rsidR="00FE3FE1" w:rsidRDefault="002E6B47" w:rsidP="00C66579">
      <w:pPr>
        <w:pStyle w:val="BodyText"/>
      </w:pPr>
      <w:r w:rsidRPr="00A713B8">
        <w:t xml:space="preserve">However, the record reflects that Avalon’s </w:t>
      </w:r>
      <w:r w:rsidR="000951D5" w:rsidRPr="00A713B8">
        <w:t xml:space="preserve">2013 annual meeting was held on </w:t>
      </w:r>
      <w:r w:rsidRPr="00A713B8">
        <w:t>June 13, 2013, outside of the time period prescribed by with TWC §67.007(a).</w:t>
      </w:r>
      <w:r w:rsidRPr="00A713B8">
        <w:rPr>
          <w:rStyle w:val="FootnoteReference"/>
        </w:rPr>
        <w:footnoteReference w:id="11"/>
      </w:r>
      <w:r>
        <w:t xml:space="preserve">  However, the Commission </w:t>
      </w:r>
      <w:r w:rsidR="0059296A">
        <w:t>will</w:t>
      </w:r>
      <w:r>
        <w:t xml:space="preserve"> not use this </w:t>
      </w:r>
      <w:r w:rsidR="00904860">
        <w:t xml:space="preserve">single deviation from the statutory time period </w:t>
      </w:r>
      <w:r>
        <w:t xml:space="preserve">as a basis to assume jurisdiction over Avalon.  </w:t>
      </w:r>
      <w:r w:rsidR="0084733B">
        <w:t>Accordingly, the Commission adds conclusion of law 2A</w:t>
      </w:r>
      <w:r w:rsidR="00C66579">
        <w:t xml:space="preserve"> and </w:t>
      </w:r>
      <w:r>
        <w:t xml:space="preserve">dismisses Ms. Gillespie’s </w:t>
      </w:r>
      <w:r w:rsidR="009352BF">
        <w:t xml:space="preserve">three </w:t>
      </w:r>
      <w:r>
        <w:t>claim</w:t>
      </w:r>
      <w:r w:rsidR="009352BF">
        <w:t>s</w:t>
      </w:r>
      <w:r>
        <w:t xml:space="preserve"> regarding Avalon’</w:t>
      </w:r>
      <w:r w:rsidR="009352BF">
        <w:t>s 2011, 2012</w:t>
      </w:r>
      <w:r w:rsidR="00A478B6">
        <w:t>, and 2013 annual meetings</w:t>
      </w:r>
      <w:r w:rsidR="00C66579">
        <w:t>.  Lastly</w:t>
      </w:r>
      <w:r w:rsidR="00A713B8">
        <w:t>, the Commission adds findings</w:t>
      </w:r>
      <w:r w:rsidR="00C66579">
        <w:t xml:space="preserve"> of fact 24-29 to reflect its findings regarding Avalon’s annual meetings conduct.   </w:t>
      </w:r>
    </w:p>
    <w:p w:rsidR="008D1724" w:rsidRDefault="00ED3939" w:rsidP="00762B40">
      <w:pPr>
        <w:pStyle w:val="BodyText"/>
      </w:pPr>
      <w:r>
        <w:t>The Commission adopts the following findings of fact and conclusions of law:</w:t>
      </w:r>
    </w:p>
    <w:p w:rsidR="008D1724" w:rsidRPr="008D1724" w:rsidRDefault="00EE5DDA" w:rsidP="008D1724">
      <w:pPr>
        <w:pStyle w:val="Heading1"/>
      </w:pPr>
      <w:r>
        <w:t>Findings of Fact</w:t>
      </w:r>
    </w:p>
    <w:p w:rsidR="00373722" w:rsidRDefault="002A5A5B" w:rsidP="00373722">
      <w:pPr>
        <w:pStyle w:val="FOFNumbered"/>
      </w:pPr>
      <w:bookmarkStart w:id="1" w:name="_Toc468963063"/>
      <w:bookmarkStart w:id="2" w:name="_Toc468963776"/>
      <w:bookmarkStart w:id="3" w:name="_Toc468968544"/>
      <w:r>
        <w:t xml:space="preserve">Carol D. Gillespie </w:t>
      </w:r>
      <w:r w:rsidR="00373722">
        <w:t>filed</w:t>
      </w:r>
      <w:r>
        <w:t xml:space="preserve"> complaints with the T</w:t>
      </w:r>
      <w:r w:rsidR="000951D5">
        <w:t xml:space="preserve">exas </w:t>
      </w:r>
      <w:r>
        <w:t>C</w:t>
      </w:r>
      <w:r w:rsidR="000951D5">
        <w:t xml:space="preserve">ommission on </w:t>
      </w:r>
      <w:r>
        <w:t>E</w:t>
      </w:r>
      <w:r w:rsidR="000951D5">
        <w:t xml:space="preserve">nvironmental </w:t>
      </w:r>
      <w:r>
        <w:t>Q</w:t>
      </w:r>
      <w:r w:rsidR="000951D5">
        <w:t>uality</w:t>
      </w:r>
      <w:r w:rsidR="00373722">
        <w:t xml:space="preserve"> against Avalon Water Supply and Sewer Services Corporation.  TCEQ Staff investigated the complaints; found that Avalon was properly operating as a non-profit member-owned, member-controlled water supply corporation; and closed the complaints.</w:t>
      </w:r>
      <w:bookmarkEnd w:id="1"/>
      <w:bookmarkEnd w:id="2"/>
      <w:bookmarkEnd w:id="3"/>
    </w:p>
    <w:p w:rsidR="00373722" w:rsidRDefault="002A5A5B" w:rsidP="00373722">
      <w:pPr>
        <w:pStyle w:val="FOFNumbered"/>
      </w:pPr>
      <w:bookmarkStart w:id="4" w:name="_Toc468963064"/>
      <w:bookmarkStart w:id="5" w:name="_Toc468963777"/>
      <w:bookmarkStart w:id="6" w:name="_Toc468968545"/>
      <w:r>
        <w:lastRenderedPageBreak/>
        <w:t>TCEQ Staff issued a letter to Ms. Gillespie</w:t>
      </w:r>
      <w:r w:rsidR="00373722">
        <w:t xml:space="preserve"> explaining its findings and closing the complaints on August 25, 2014.</w:t>
      </w:r>
      <w:bookmarkEnd w:id="4"/>
      <w:bookmarkEnd w:id="5"/>
      <w:bookmarkEnd w:id="6"/>
    </w:p>
    <w:p w:rsidR="00373722" w:rsidRDefault="00373722" w:rsidP="00373722">
      <w:pPr>
        <w:pStyle w:val="FOFNumbered"/>
      </w:pPr>
      <w:bookmarkStart w:id="7" w:name="_Toc468963065"/>
      <w:bookmarkStart w:id="8" w:name="_Toc468963778"/>
      <w:bookmarkStart w:id="9" w:name="_Toc468968546"/>
      <w:r>
        <w:t xml:space="preserve">On September 1, 2014, jurisdiction over water utilities transferred from TCEQ to the Public Utility Commission of Texas </w:t>
      </w:r>
      <w:r w:rsidR="002A5A5B">
        <w:t>(</w:t>
      </w:r>
      <w:r>
        <w:t>Commission).</w:t>
      </w:r>
      <w:bookmarkEnd w:id="7"/>
      <w:bookmarkEnd w:id="8"/>
      <w:bookmarkEnd w:id="9"/>
    </w:p>
    <w:p w:rsidR="00373722" w:rsidRPr="00232FC0" w:rsidRDefault="002A5A5B" w:rsidP="00373722">
      <w:pPr>
        <w:pStyle w:val="FOFNumbered"/>
      </w:pPr>
      <w:bookmarkStart w:id="10" w:name="_Toc468963066"/>
      <w:bookmarkStart w:id="11" w:name="_Toc468963779"/>
      <w:bookmarkStart w:id="12" w:name="_Toc468968547"/>
      <w:r w:rsidRPr="00232FC0">
        <w:t>On September 16, 2014, Ms. Gillespie</w:t>
      </w:r>
      <w:r w:rsidR="00373722" w:rsidRPr="00232FC0">
        <w:t xml:space="preserve"> filed complaints with the Commission asserting some of </w:t>
      </w:r>
      <w:r w:rsidRPr="00232FC0">
        <w:t>the same allegations that TCEQ s</w:t>
      </w:r>
      <w:r w:rsidR="00373722" w:rsidRPr="00232FC0">
        <w:t>taff had investigated and determined to be without merit.</w:t>
      </w:r>
      <w:bookmarkEnd w:id="10"/>
      <w:bookmarkEnd w:id="11"/>
      <w:bookmarkEnd w:id="12"/>
    </w:p>
    <w:p w:rsidR="00373722" w:rsidRDefault="00373722" w:rsidP="00373722">
      <w:pPr>
        <w:pStyle w:val="FOFNumbered"/>
      </w:pPr>
      <w:bookmarkStart w:id="13" w:name="_Toc468963067"/>
      <w:bookmarkStart w:id="14" w:name="_Toc468963780"/>
      <w:bookmarkStart w:id="15" w:name="_Toc468968548"/>
      <w:r>
        <w:t>Avalon filed a response consisting of three volumes of records totaling 184 pages.  Avalon also submitted supplemental responses.</w:t>
      </w:r>
      <w:bookmarkEnd w:id="13"/>
      <w:bookmarkEnd w:id="14"/>
      <w:bookmarkEnd w:id="15"/>
    </w:p>
    <w:p w:rsidR="00373722" w:rsidRDefault="00373722" w:rsidP="00373722">
      <w:pPr>
        <w:pStyle w:val="FOFNumbered"/>
      </w:pPr>
      <w:bookmarkStart w:id="16" w:name="_Toc468963068"/>
      <w:bookmarkStart w:id="17" w:name="_Toc468963781"/>
      <w:bookmarkStart w:id="18" w:name="_Toc468968549"/>
      <w:r>
        <w:t xml:space="preserve">On April 10, 2015, </w:t>
      </w:r>
      <w:r w:rsidR="002A5A5B">
        <w:t xml:space="preserve">Commission </w:t>
      </w:r>
      <w:r>
        <w:t>Staff reviewed the complaints and A</w:t>
      </w:r>
      <w:r w:rsidR="002A5A5B">
        <w:t>valon’s responses and issued a s</w:t>
      </w:r>
      <w:r>
        <w:t xml:space="preserve">tatement of </w:t>
      </w:r>
      <w:r w:rsidR="002A5A5B">
        <w:t>p</w:t>
      </w:r>
      <w:r>
        <w:t>osition recommending dismissing the complaints for failure to state a claim upon which relief can be granted.</w:t>
      </w:r>
      <w:bookmarkEnd w:id="16"/>
      <w:bookmarkEnd w:id="17"/>
      <w:bookmarkEnd w:id="18"/>
    </w:p>
    <w:p w:rsidR="00373722" w:rsidRDefault="00373722" w:rsidP="00373722">
      <w:pPr>
        <w:pStyle w:val="FOFNumbered"/>
      </w:pPr>
      <w:bookmarkStart w:id="19" w:name="_Toc468963069"/>
      <w:bookmarkStart w:id="20" w:name="_Toc468963782"/>
      <w:bookmarkStart w:id="21" w:name="_Toc468968550"/>
      <w:r>
        <w:t xml:space="preserve">On November 4, 2015, </w:t>
      </w:r>
      <w:r w:rsidR="002A5A5B">
        <w:t xml:space="preserve">Commission </w:t>
      </w:r>
      <w:r>
        <w:t>Staff reviewed additional complaints and A</w:t>
      </w:r>
      <w:r w:rsidR="002A5A5B">
        <w:t>valon’s responses and issued a s</w:t>
      </w:r>
      <w:r>
        <w:t xml:space="preserve">upplemental </w:t>
      </w:r>
      <w:r w:rsidR="002A5A5B">
        <w:t>r</w:t>
      </w:r>
      <w:r>
        <w:t>ecommendati</w:t>
      </w:r>
      <w:r w:rsidR="002A5A5B">
        <w:t>on that the complaints made by Ms. Gillespie</w:t>
      </w:r>
      <w:r>
        <w:t xml:space="preserve"> be dismissed for failure to state a claim upon which relief can be granted.</w:t>
      </w:r>
      <w:bookmarkEnd w:id="19"/>
      <w:bookmarkEnd w:id="20"/>
      <w:bookmarkEnd w:id="21"/>
    </w:p>
    <w:p w:rsidR="00373722" w:rsidRDefault="00373722" w:rsidP="00373722">
      <w:pPr>
        <w:pStyle w:val="FOFNumbered"/>
      </w:pPr>
      <w:bookmarkStart w:id="22" w:name="_Toc468963070"/>
      <w:bookmarkStart w:id="23" w:name="_Toc468963783"/>
      <w:bookmarkStart w:id="24" w:name="_Toc468968551"/>
      <w:r>
        <w:t>On January 25, 2016, the Commission issued an order of referral to the State Office of Administrative Hearings (SOAH) for a hearing and proposal for decision, if necessary.</w:t>
      </w:r>
      <w:bookmarkEnd w:id="22"/>
      <w:bookmarkEnd w:id="23"/>
      <w:bookmarkEnd w:id="24"/>
      <w:r>
        <w:t xml:space="preserve">  </w:t>
      </w:r>
    </w:p>
    <w:p w:rsidR="00373722" w:rsidRDefault="00373722" w:rsidP="00373722">
      <w:pPr>
        <w:pStyle w:val="FOFNumbered"/>
      </w:pPr>
      <w:bookmarkStart w:id="25" w:name="_Toc468963071"/>
      <w:bookmarkStart w:id="26" w:name="_Toc468963784"/>
      <w:bookmarkStart w:id="27" w:name="_Toc468968552"/>
      <w:r>
        <w:t>On March 22, 2016, the Commission issued a preliminary order setting</w:t>
      </w:r>
      <w:r w:rsidR="000951D5">
        <w:t xml:space="preserve"> forth the issues for the SOAH a</w:t>
      </w:r>
      <w:r>
        <w:t xml:space="preserve">dministrative </w:t>
      </w:r>
      <w:r w:rsidR="000951D5">
        <w:t>law j</w:t>
      </w:r>
      <w:r>
        <w:t>udges (ALJs) to consider.</w:t>
      </w:r>
      <w:bookmarkEnd w:id="25"/>
      <w:bookmarkEnd w:id="26"/>
      <w:bookmarkEnd w:id="27"/>
    </w:p>
    <w:p w:rsidR="00373722" w:rsidRDefault="00373722" w:rsidP="00373722">
      <w:pPr>
        <w:pStyle w:val="FOFNumbered"/>
      </w:pPr>
      <w:bookmarkStart w:id="28" w:name="_Toc468963072"/>
      <w:bookmarkStart w:id="29" w:name="_Toc468963785"/>
      <w:bookmarkStart w:id="30" w:name="_Toc468968553"/>
      <w:r>
        <w:t>On March 18, 2016, a telephone prehearing conference was convened by SOAH during which the parties agreed to a procedural schedule.</w:t>
      </w:r>
      <w:bookmarkEnd w:id="28"/>
      <w:bookmarkEnd w:id="29"/>
      <w:bookmarkEnd w:id="30"/>
      <w:r>
        <w:t xml:space="preserve">  </w:t>
      </w:r>
    </w:p>
    <w:p w:rsidR="00373722" w:rsidRDefault="002A5A5B" w:rsidP="00373722">
      <w:pPr>
        <w:pStyle w:val="FOFNumbered"/>
      </w:pPr>
      <w:bookmarkStart w:id="31" w:name="_Toc468963073"/>
      <w:bookmarkStart w:id="32" w:name="_Toc468963786"/>
      <w:bookmarkStart w:id="33" w:name="_Toc468968554"/>
      <w:r>
        <w:t>On April 20, 2016, Avalon and Ms. Gillespie</w:t>
      </w:r>
      <w:r w:rsidR="00373722">
        <w:t xml:space="preserve"> filed an agreed request to abate the case so that the parties could explore mediation and possible settlement.  On April 21, 2016, SOAH issued an order granting the motion.</w:t>
      </w:r>
      <w:bookmarkEnd w:id="31"/>
      <w:bookmarkEnd w:id="32"/>
      <w:bookmarkEnd w:id="33"/>
    </w:p>
    <w:p w:rsidR="00373722" w:rsidRDefault="00373722" w:rsidP="00373722">
      <w:pPr>
        <w:pStyle w:val="FOFNumbered"/>
      </w:pPr>
      <w:bookmarkStart w:id="34" w:name="_Toc468963074"/>
      <w:bookmarkStart w:id="35" w:name="_Toc468963787"/>
      <w:bookmarkStart w:id="36" w:name="_Toc468968555"/>
      <w:r>
        <w:t>The parties did not participate in mediation.</w:t>
      </w:r>
      <w:bookmarkEnd w:id="34"/>
      <w:bookmarkEnd w:id="35"/>
      <w:bookmarkEnd w:id="36"/>
    </w:p>
    <w:p w:rsidR="00373722" w:rsidRDefault="00373722" w:rsidP="00373722">
      <w:pPr>
        <w:pStyle w:val="FOFNumbered"/>
      </w:pPr>
      <w:bookmarkStart w:id="37" w:name="_Toc468963075"/>
      <w:bookmarkStart w:id="38" w:name="_Toc468963788"/>
      <w:bookmarkStart w:id="39" w:name="_Toc468968556"/>
      <w:r>
        <w:t>On</w:t>
      </w:r>
      <w:r w:rsidR="002A5A5B">
        <w:t xml:space="preserve"> June 17, 2016, Avalon filed a motion to dismiss and alternate motion to certify question and c</w:t>
      </w:r>
      <w:r>
        <w:t xml:space="preserve">ontinue </w:t>
      </w:r>
      <w:r w:rsidR="002A5A5B">
        <w:t>temporary a</w:t>
      </w:r>
      <w:r>
        <w:t xml:space="preserve">batement of </w:t>
      </w:r>
      <w:r w:rsidR="002A5A5B">
        <w:t>d</w:t>
      </w:r>
      <w:r>
        <w:t xml:space="preserve">iscovery and </w:t>
      </w:r>
      <w:r w:rsidR="002A5A5B">
        <w:t>h</w:t>
      </w:r>
      <w:r>
        <w:t xml:space="preserve">earing </w:t>
      </w:r>
      <w:r w:rsidR="002A5A5B">
        <w:t>s</w:t>
      </w:r>
      <w:r>
        <w:t xml:space="preserve">chedule.  On June 24, 2016, </w:t>
      </w:r>
      <w:r w:rsidR="002A5A5B">
        <w:lastRenderedPageBreak/>
        <w:t xml:space="preserve">Commission </w:t>
      </w:r>
      <w:r>
        <w:t xml:space="preserve">Staff filed a response opposing the motion to dismiss but supporting the motion to certify a question to the Commission.  The same day, </w:t>
      </w:r>
      <w:r w:rsidR="002A5A5B">
        <w:t>Ms. Gillespie</w:t>
      </w:r>
      <w:r>
        <w:t xml:space="preserve"> filed a response opposing both motions.</w:t>
      </w:r>
      <w:bookmarkEnd w:id="37"/>
      <w:bookmarkEnd w:id="38"/>
      <w:bookmarkEnd w:id="39"/>
    </w:p>
    <w:p w:rsidR="00373722" w:rsidRDefault="00373722" w:rsidP="00373722">
      <w:pPr>
        <w:pStyle w:val="FOFNumbered"/>
      </w:pPr>
      <w:bookmarkStart w:id="40" w:name="_Toc468963076"/>
      <w:bookmarkStart w:id="41" w:name="_Toc468963789"/>
      <w:bookmarkStart w:id="42" w:name="_Toc468968557"/>
      <w:r>
        <w:t xml:space="preserve">On July 7, 2016, the ALJs issued SOAH Order No. 6, </w:t>
      </w:r>
      <w:r w:rsidR="002A5A5B">
        <w:t>abating the case and requiring Ms. Gillespie</w:t>
      </w:r>
      <w:r>
        <w:t xml:space="preserve"> to file, by July 22, 2016, a verified brief addressing the factual background, legal authority, and remedy for each and every alleged deficiency committed by Avalon.  </w:t>
      </w:r>
      <w:r w:rsidR="002A5A5B">
        <w:t>Ms. Gillespie</w:t>
      </w:r>
      <w:r>
        <w:t>’s brief was required to include a table as follows:</w:t>
      </w:r>
      <w:bookmarkEnd w:id="40"/>
      <w:bookmarkEnd w:id="41"/>
      <w:bookmarkEnd w:id="42"/>
      <w:r>
        <w:t xml:space="preserve"> </w:t>
      </w:r>
    </w:p>
    <w:p w:rsidR="002A5A5B" w:rsidRDefault="002A5A5B" w:rsidP="002A5A5B">
      <w:pPr>
        <w:pStyle w:val="FOFNumbered"/>
        <w:numPr>
          <w:ilvl w:val="0"/>
          <w:numId w:val="0"/>
        </w:numPr>
        <w:ind w:left="720"/>
      </w:pPr>
    </w:p>
    <w:p w:rsidR="00373722" w:rsidRDefault="00373722" w:rsidP="00373722">
      <w:pPr>
        <w:spacing w:line="360" w:lineRule="auto"/>
        <w:outlineLvl w:val="0"/>
      </w:pPr>
    </w:p>
    <w:tbl>
      <w:tblPr>
        <w:tblStyle w:val="TableGrid"/>
        <w:tblW w:w="0" w:type="auto"/>
        <w:tblInd w:w="108" w:type="dxa"/>
        <w:tblLook w:val="04A0" w:firstRow="1" w:lastRow="0" w:firstColumn="1" w:lastColumn="0" w:noHBand="0" w:noVBand="1"/>
      </w:tblPr>
      <w:tblGrid>
        <w:gridCol w:w="2389"/>
        <w:gridCol w:w="2305"/>
        <w:gridCol w:w="1418"/>
        <w:gridCol w:w="1392"/>
        <w:gridCol w:w="1738"/>
      </w:tblGrid>
      <w:tr w:rsidR="00373722" w:rsidTr="00D71CFC">
        <w:tc>
          <w:tcPr>
            <w:tcW w:w="2430" w:type="dxa"/>
          </w:tcPr>
          <w:p w:rsidR="00373722" w:rsidRDefault="00373722" w:rsidP="00D71CFC">
            <w:r>
              <w:t>Alleged Deficiency (including factual background and date of occurrence)</w:t>
            </w:r>
          </w:p>
        </w:tc>
        <w:tc>
          <w:tcPr>
            <w:tcW w:w="2340" w:type="dxa"/>
          </w:tcPr>
          <w:p w:rsidR="00373722" w:rsidRDefault="00373722" w:rsidP="00D71CFC">
            <w:r>
              <w:t>Detailed Statutory Basis for Commission Jurisdiction</w:t>
            </w:r>
          </w:p>
        </w:tc>
        <w:tc>
          <w:tcPr>
            <w:tcW w:w="1440" w:type="dxa"/>
          </w:tcPr>
          <w:p w:rsidR="00373722" w:rsidRDefault="00373722" w:rsidP="00D71CFC">
            <w:r>
              <w:t>Legal Cause of Action</w:t>
            </w:r>
          </w:p>
        </w:tc>
        <w:tc>
          <w:tcPr>
            <w:tcW w:w="1394" w:type="dxa"/>
          </w:tcPr>
          <w:p w:rsidR="00373722" w:rsidRDefault="00373722" w:rsidP="00D71CFC">
            <w:r>
              <w:t>Remedy Description</w:t>
            </w:r>
          </w:p>
        </w:tc>
        <w:tc>
          <w:tcPr>
            <w:tcW w:w="1756" w:type="dxa"/>
          </w:tcPr>
          <w:p w:rsidR="00373722" w:rsidRDefault="00373722" w:rsidP="00D71CFC">
            <w:r>
              <w:t>Statutory and Regulatory Authority for Remedy</w:t>
            </w:r>
          </w:p>
        </w:tc>
      </w:tr>
      <w:tr w:rsidR="00373722" w:rsidTr="00D71CFC">
        <w:tc>
          <w:tcPr>
            <w:tcW w:w="2430" w:type="dxa"/>
          </w:tcPr>
          <w:p w:rsidR="00373722" w:rsidRDefault="00373722" w:rsidP="00D71CFC">
            <w:pPr>
              <w:spacing w:line="360" w:lineRule="auto"/>
              <w:jc w:val="both"/>
            </w:pPr>
            <w:r>
              <w:t>1.</w:t>
            </w:r>
          </w:p>
        </w:tc>
        <w:tc>
          <w:tcPr>
            <w:tcW w:w="2340" w:type="dxa"/>
          </w:tcPr>
          <w:p w:rsidR="00373722" w:rsidRDefault="00373722" w:rsidP="00D71CFC">
            <w:pPr>
              <w:spacing w:line="360" w:lineRule="auto"/>
              <w:jc w:val="both"/>
            </w:pPr>
          </w:p>
        </w:tc>
        <w:tc>
          <w:tcPr>
            <w:tcW w:w="1440" w:type="dxa"/>
          </w:tcPr>
          <w:p w:rsidR="00373722" w:rsidRDefault="00373722" w:rsidP="00D71CFC">
            <w:pPr>
              <w:spacing w:line="360" w:lineRule="auto"/>
              <w:jc w:val="both"/>
            </w:pPr>
          </w:p>
        </w:tc>
        <w:tc>
          <w:tcPr>
            <w:tcW w:w="1394" w:type="dxa"/>
          </w:tcPr>
          <w:p w:rsidR="00373722" w:rsidRDefault="00373722" w:rsidP="00D71CFC">
            <w:pPr>
              <w:spacing w:line="360" w:lineRule="auto"/>
              <w:jc w:val="both"/>
            </w:pPr>
          </w:p>
        </w:tc>
        <w:tc>
          <w:tcPr>
            <w:tcW w:w="1756" w:type="dxa"/>
          </w:tcPr>
          <w:p w:rsidR="00373722" w:rsidRDefault="00373722" w:rsidP="00D71CFC">
            <w:pPr>
              <w:spacing w:line="360" w:lineRule="auto"/>
              <w:jc w:val="both"/>
            </w:pPr>
          </w:p>
        </w:tc>
      </w:tr>
      <w:tr w:rsidR="00373722" w:rsidTr="00D71CFC">
        <w:tc>
          <w:tcPr>
            <w:tcW w:w="2430" w:type="dxa"/>
          </w:tcPr>
          <w:p w:rsidR="00373722" w:rsidRDefault="00373722" w:rsidP="00D71CFC">
            <w:pPr>
              <w:spacing w:line="360" w:lineRule="auto"/>
              <w:jc w:val="both"/>
            </w:pPr>
            <w:r>
              <w:t>2.</w:t>
            </w:r>
          </w:p>
        </w:tc>
        <w:tc>
          <w:tcPr>
            <w:tcW w:w="2340" w:type="dxa"/>
          </w:tcPr>
          <w:p w:rsidR="00373722" w:rsidRDefault="00373722" w:rsidP="00D71CFC">
            <w:pPr>
              <w:spacing w:line="360" w:lineRule="auto"/>
              <w:jc w:val="both"/>
            </w:pPr>
          </w:p>
        </w:tc>
        <w:tc>
          <w:tcPr>
            <w:tcW w:w="1440" w:type="dxa"/>
          </w:tcPr>
          <w:p w:rsidR="00373722" w:rsidRDefault="00373722" w:rsidP="00D71CFC">
            <w:pPr>
              <w:spacing w:line="360" w:lineRule="auto"/>
              <w:jc w:val="both"/>
            </w:pPr>
          </w:p>
        </w:tc>
        <w:tc>
          <w:tcPr>
            <w:tcW w:w="1394" w:type="dxa"/>
          </w:tcPr>
          <w:p w:rsidR="00373722" w:rsidRDefault="00373722" w:rsidP="00D71CFC">
            <w:pPr>
              <w:spacing w:line="360" w:lineRule="auto"/>
              <w:jc w:val="both"/>
            </w:pPr>
          </w:p>
        </w:tc>
        <w:tc>
          <w:tcPr>
            <w:tcW w:w="1756" w:type="dxa"/>
          </w:tcPr>
          <w:p w:rsidR="00373722" w:rsidRDefault="00373722" w:rsidP="00D71CFC">
            <w:pPr>
              <w:spacing w:line="360" w:lineRule="auto"/>
              <w:jc w:val="both"/>
            </w:pPr>
          </w:p>
        </w:tc>
      </w:tr>
      <w:tr w:rsidR="00373722" w:rsidTr="00D71CFC">
        <w:tc>
          <w:tcPr>
            <w:tcW w:w="2430" w:type="dxa"/>
          </w:tcPr>
          <w:p w:rsidR="00373722" w:rsidRDefault="00373722" w:rsidP="00D71CFC">
            <w:pPr>
              <w:spacing w:line="360" w:lineRule="auto"/>
              <w:jc w:val="both"/>
            </w:pPr>
            <w:r>
              <w:t>Etc.</w:t>
            </w:r>
          </w:p>
        </w:tc>
        <w:tc>
          <w:tcPr>
            <w:tcW w:w="2340" w:type="dxa"/>
          </w:tcPr>
          <w:p w:rsidR="00373722" w:rsidRDefault="00373722" w:rsidP="00D71CFC">
            <w:pPr>
              <w:spacing w:line="360" w:lineRule="auto"/>
              <w:jc w:val="both"/>
            </w:pPr>
          </w:p>
        </w:tc>
        <w:tc>
          <w:tcPr>
            <w:tcW w:w="1440" w:type="dxa"/>
          </w:tcPr>
          <w:p w:rsidR="00373722" w:rsidRDefault="00373722" w:rsidP="00D71CFC">
            <w:pPr>
              <w:spacing w:line="360" w:lineRule="auto"/>
              <w:jc w:val="both"/>
            </w:pPr>
          </w:p>
        </w:tc>
        <w:tc>
          <w:tcPr>
            <w:tcW w:w="1394" w:type="dxa"/>
          </w:tcPr>
          <w:p w:rsidR="00373722" w:rsidRDefault="00373722" w:rsidP="00D71CFC">
            <w:pPr>
              <w:spacing w:line="360" w:lineRule="auto"/>
              <w:jc w:val="both"/>
            </w:pPr>
          </w:p>
        </w:tc>
        <w:tc>
          <w:tcPr>
            <w:tcW w:w="1756" w:type="dxa"/>
          </w:tcPr>
          <w:p w:rsidR="00373722" w:rsidRDefault="00373722" w:rsidP="00D71CFC">
            <w:pPr>
              <w:spacing w:line="360" w:lineRule="auto"/>
              <w:jc w:val="both"/>
            </w:pPr>
          </w:p>
        </w:tc>
      </w:tr>
    </w:tbl>
    <w:p w:rsidR="00373722" w:rsidRDefault="00373722" w:rsidP="00373722">
      <w:pPr>
        <w:spacing w:line="360" w:lineRule="auto"/>
        <w:outlineLvl w:val="0"/>
      </w:pPr>
    </w:p>
    <w:p w:rsidR="00373722" w:rsidRDefault="002A5A5B" w:rsidP="00373722">
      <w:pPr>
        <w:pStyle w:val="FOFNumbered"/>
      </w:pPr>
      <w:bookmarkStart w:id="43" w:name="_Toc468963077"/>
      <w:bookmarkStart w:id="44" w:name="_Toc468963790"/>
      <w:bookmarkStart w:id="45" w:name="_Toc468968558"/>
      <w:r>
        <w:t>SOAH Order No. 6 required Ms. Gillespie</w:t>
      </w:r>
      <w:r w:rsidR="00373722">
        <w:t xml:space="preserve">, through the table, to set forth every alleged deficiency that formed her complaint. </w:t>
      </w:r>
      <w:r>
        <w:t xml:space="preserve"> It also required the table in Ms. Gillespie</w:t>
      </w:r>
      <w:r w:rsidR="00373722">
        <w:t>’s brief to be an exhaustive list of the alleged deficiencies for purposes of a hearing and any further pleadings, motions, or briefs.</w:t>
      </w:r>
      <w:bookmarkEnd w:id="43"/>
      <w:bookmarkEnd w:id="44"/>
      <w:bookmarkEnd w:id="45"/>
    </w:p>
    <w:p w:rsidR="00373722" w:rsidRDefault="00373722" w:rsidP="00373722">
      <w:pPr>
        <w:pStyle w:val="FOFNumbered"/>
      </w:pPr>
      <w:bookmarkStart w:id="46" w:name="_Toc468963078"/>
      <w:bookmarkStart w:id="47" w:name="_Toc468963791"/>
      <w:bookmarkStart w:id="48" w:name="_Toc468968559"/>
      <w:r>
        <w:t xml:space="preserve">SOAH Order No. 6 specifically required the columns addressing jurisdiction, causes of action, and statutory and regulatory authority for each remedy to address every applicable subsection of the statutory and regulatory authority.  In particular, for jurisdiction, the ALJs noted </w:t>
      </w:r>
      <w:r w:rsidR="002A5A5B">
        <w:t>that it was not sufficient for Ms. Gillespie</w:t>
      </w:r>
      <w:r>
        <w:t xml:space="preserve"> to simply refer to Texas Water Code </w:t>
      </w:r>
      <w:r w:rsidR="002A5A5B">
        <w:t xml:space="preserve">              § 13.004(a</w:t>
      </w:r>
      <w:proofErr w:type="gramStart"/>
      <w:r w:rsidR="002A5A5B">
        <w:t>)(</w:t>
      </w:r>
      <w:proofErr w:type="gramEnd"/>
      <w:r w:rsidR="002A5A5B">
        <w:t>1).  Rather, Ms. Gillespie</w:t>
      </w:r>
      <w:r>
        <w:t xml:space="preserve"> was required to provide specific citations and explain how the Commission has the same jurisdiction over Avalon as over a water and sewer utility, including the specific criteria.  Additionally, if new claims were added in the br</w:t>
      </w:r>
      <w:r w:rsidR="002A5A5B">
        <w:t>ief, SOAH Order No. 6 required Ms. Gillespie</w:t>
      </w:r>
      <w:r>
        <w:t xml:space="preserve"> to amend her pleadings accordingly.</w:t>
      </w:r>
      <w:bookmarkEnd w:id="46"/>
      <w:bookmarkEnd w:id="47"/>
      <w:bookmarkEnd w:id="48"/>
    </w:p>
    <w:p w:rsidR="00373722" w:rsidRDefault="002A5A5B" w:rsidP="00373722">
      <w:pPr>
        <w:pStyle w:val="FOFNumbered"/>
      </w:pPr>
      <w:bookmarkStart w:id="49" w:name="_Toc468963079"/>
      <w:bookmarkStart w:id="50" w:name="_Toc468963792"/>
      <w:bookmarkStart w:id="51" w:name="_Toc468968560"/>
      <w:r>
        <w:lastRenderedPageBreak/>
        <w:t>Ms. Gillespie</w:t>
      </w:r>
      <w:r w:rsidR="00373722">
        <w:t xml:space="preserve"> filed a verified brief on July 22, 2016.  </w:t>
      </w:r>
      <w:r>
        <w:t>Ms. Gillespie</w:t>
      </w:r>
      <w:r w:rsidR="00373722">
        <w:t xml:space="preserve"> asserted 72 separate claims against Avalon, spanning approximately 31 pages, including claims that Avalon violated the Texas Open Meetings Act.</w:t>
      </w:r>
      <w:bookmarkEnd w:id="49"/>
      <w:bookmarkEnd w:id="50"/>
      <w:bookmarkEnd w:id="51"/>
    </w:p>
    <w:p w:rsidR="00373722" w:rsidRDefault="00373722" w:rsidP="00373722">
      <w:pPr>
        <w:pStyle w:val="FOFNumbered"/>
      </w:pPr>
      <w:bookmarkStart w:id="52" w:name="_Toc468963080"/>
      <w:bookmarkStart w:id="53" w:name="_Toc468963793"/>
      <w:bookmarkStart w:id="54" w:name="_Toc468968561"/>
      <w:r>
        <w:t xml:space="preserve">Despite adding new claims in her verified brief, </w:t>
      </w:r>
      <w:r w:rsidR="002A5A5B">
        <w:t>Ms. Gillespie</w:t>
      </w:r>
      <w:r>
        <w:t xml:space="preserve"> did not amend her pleadings as required by SOAH Order No. 6.</w:t>
      </w:r>
      <w:bookmarkEnd w:id="52"/>
      <w:bookmarkEnd w:id="53"/>
      <w:bookmarkEnd w:id="54"/>
    </w:p>
    <w:p w:rsidR="00373722" w:rsidRDefault="002A5A5B" w:rsidP="00373722">
      <w:pPr>
        <w:pStyle w:val="FOFNumbered"/>
      </w:pPr>
      <w:bookmarkStart w:id="55" w:name="_Toc468963081"/>
      <w:bookmarkStart w:id="56" w:name="_Toc468963794"/>
      <w:bookmarkStart w:id="57" w:name="_Toc468968562"/>
      <w:r>
        <w:t xml:space="preserve">Commission </w:t>
      </w:r>
      <w:r w:rsidR="00373722">
        <w:t xml:space="preserve">Staff and Avalon timely filed responsive briefs by August 15, 2016.  Avalon seeks dismissal of all claims on several grounds.  </w:t>
      </w:r>
      <w:r>
        <w:t xml:space="preserve">Commission </w:t>
      </w:r>
      <w:r w:rsidR="00373722">
        <w:t>Staff seeks dismissal of most, but not all, claims.</w:t>
      </w:r>
      <w:bookmarkEnd w:id="55"/>
      <w:bookmarkEnd w:id="56"/>
      <w:bookmarkEnd w:id="57"/>
      <w:r w:rsidR="00373722">
        <w:t xml:space="preserve">  </w:t>
      </w:r>
    </w:p>
    <w:p w:rsidR="00373722" w:rsidRDefault="00373722" w:rsidP="00373722">
      <w:pPr>
        <w:pStyle w:val="FOFNumbered"/>
      </w:pPr>
      <w:bookmarkStart w:id="58" w:name="_Toc468963082"/>
      <w:bookmarkStart w:id="59" w:name="_Toc468963795"/>
      <w:bookmarkStart w:id="60" w:name="_Toc468968563"/>
      <w:r>
        <w:t>On August 15, 2016, Texas Rural Water Association filed an amicus brief in support of Avalon’s motion to dismiss.</w:t>
      </w:r>
      <w:bookmarkEnd w:id="58"/>
      <w:bookmarkEnd w:id="59"/>
      <w:bookmarkEnd w:id="60"/>
    </w:p>
    <w:p w:rsidR="00373722" w:rsidRDefault="00373722" w:rsidP="00373722">
      <w:pPr>
        <w:pStyle w:val="FOFNumbered"/>
      </w:pPr>
      <w:bookmarkStart w:id="61" w:name="_Toc468963083"/>
      <w:bookmarkStart w:id="62" w:name="_Toc468963796"/>
      <w:bookmarkStart w:id="63" w:name="_Toc468968564"/>
      <w:r>
        <w:t xml:space="preserve">On August 22, 2016, </w:t>
      </w:r>
      <w:r w:rsidR="002A5A5B">
        <w:t>Ms. Gillespie</w:t>
      </w:r>
      <w:r>
        <w:t xml:space="preserve"> filed a reply.  The same day, </w:t>
      </w:r>
      <w:r w:rsidR="002A5A5B">
        <w:t xml:space="preserve">Commission </w:t>
      </w:r>
      <w:r>
        <w:t>Staff filed a motion to strike the reply, which was denied by the ALJs in this proposal for decision.</w:t>
      </w:r>
      <w:bookmarkEnd w:id="61"/>
      <w:bookmarkEnd w:id="62"/>
      <w:bookmarkEnd w:id="63"/>
    </w:p>
    <w:p w:rsidR="00373722" w:rsidRDefault="002A5A5B" w:rsidP="00373722">
      <w:pPr>
        <w:pStyle w:val="FOFNumbered"/>
      </w:pPr>
      <w:bookmarkStart w:id="64" w:name="_Toc468963084"/>
      <w:bookmarkStart w:id="65" w:name="_Toc468963797"/>
      <w:bookmarkStart w:id="66" w:name="_Toc468968565"/>
      <w:r>
        <w:t>Ms. Gillespie</w:t>
      </w:r>
      <w:r w:rsidR="00373722">
        <w:t>’s verified brief did not comply with SOAH Order No. 6.</w:t>
      </w:r>
      <w:bookmarkEnd w:id="64"/>
      <w:bookmarkEnd w:id="65"/>
      <w:bookmarkEnd w:id="66"/>
    </w:p>
    <w:p w:rsidR="00373722" w:rsidRDefault="002A5A5B" w:rsidP="00373722">
      <w:pPr>
        <w:pStyle w:val="FOFNumbered"/>
      </w:pPr>
      <w:bookmarkStart w:id="67" w:name="_Toc468963085"/>
      <w:bookmarkStart w:id="68" w:name="_Toc468963798"/>
      <w:bookmarkStart w:id="69" w:name="_Toc468968566"/>
      <w:r>
        <w:t>Ms. Gillespie</w:t>
      </w:r>
      <w:r w:rsidR="00373722">
        <w:t xml:space="preserve"> did not adequately demonstrate the legal bases for her claims or the source of the Commission’s jurisdiction over her claims.</w:t>
      </w:r>
      <w:bookmarkEnd w:id="67"/>
      <w:bookmarkEnd w:id="68"/>
      <w:bookmarkEnd w:id="69"/>
      <w:r w:rsidR="00373722">
        <w:t xml:space="preserve">  </w:t>
      </w:r>
    </w:p>
    <w:p w:rsidR="00A713B8" w:rsidRDefault="00A713B8" w:rsidP="00A713B8">
      <w:pPr>
        <w:pStyle w:val="FOFNumbered"/>
      </w:pPr>
      <w:r w:rsidRPr="005C716E">
        <w:t>Avalon has adopted written procedures for its annual meetings in its bylaws.</w:t>
      </w:r>
      <w:r>
        <w:t xml:space="preserve">  T</w:t>
      </w:r>
      <w:r w:rsidRPr="005C716E">
        <w:t>he written procedures were properly amended at the 2012 annual meeting</w:t>
      </w:r>
      <w:r>
        <w:t>.</w:t>
      </w:r>
    </w:p>
    <w:p w:rsidR="00A713B8" w:rsidRDefault="00A713B8" w:rsidP="00A713B8">
      <w:pPr>
        <w:pStyle w:val="FOFNumbered"/>
      </w:pPr>
      <w:r>
        <w:t xml:space="preserve">The annual meetings in 2011 and 2012 were timely held.  </w:t>
      </w:r>
      <w:r w:rsidRPr="005C716E">
        <w:t>The 2011 annual mee</w:t>
      </w:r>
      <w:r>
        <w:t>ting was held on March 14, 2011 and t</w:t>
      </w:r>
      <w:r w:rsidRPr="005C716E">
        <w:t>he 2012 annual meeting was held on April 9, 2012.</w:t>
      </w:r>
    </w:p>
    <w:p w:rsidR="00A713B8" w:rsidRPr="00A713B8" w:rsidRDefault="00A713B8" w:rsidP="00A713B8">
      <w:pPr>
        <w:pStyle w:val="FOFNumbered"/>
      </w:pPr>
      <w:r w:rsidRPr="00A713B8">
        <w:t>Avalon’s response contains the minutes from the 2014 annual meeting, which references the 2013 annual meeting and the 2013 annual meeting minutes.</w:t>
      </w:r>
    </w:p>
    <w:p w:rsidR="00A713B8" w:rsidRPr="00A713B8" w:rsidRDefault="00A713B8" w:rsidP="00A713B8">
      <w:pPr>
        <w:pStyle w:val="FOFNumbered"/>
      </w:pPr>
      <w:r w:rsidRPr="00A713B8">
        <w:t>Ms. Gillespie’s’ own statements and pleadings acknowledge that an annual meeting was held in 2013.</w:t>
      </w:r>
    </w:p>
    <w:p w:rsidR="00A713B8" w:rsidRPr="00A713B8" w:rsidRDefault="00A713B8" w:rsidP="00A713B8">
      <w:pPr>
        <w:pStyle w:val="FOFNumbered"/>
      </w:pPr>
      <w:r w:rsidRPr="00A713B8">
        <w:t>Avalon’s 2013 annual meeting was held on June 13, 2013, outside of the time period prescribed by with TWC §67.007(a).</w:t>
      </w:r>
    </w:p>
    <w:p w:rsidR="00373722" w:rsidRDefault="00904860" w:rsidP="002D0C98">
      <w:pPr>
        <w:pStyle w:val="FOFNumbered"/>
      </w:pPr>
      <w:r>
        <w:t xml:space="preserve">The Commission </w:t>
      </w:r>
      <w:r w:rsidR="00EE5F6E">
        <w:t>should not</w:t>
      </w:r>
      <w:r>
        <w:t xml:space="preserve"> assume jurisdiction over Avalon for this </w:t>
      </w:r>
      <w:r w:rsidR="00A713B8" w:rsidRPr="00A713B8">
        <w:t>single</w:t>
      </w:r>
      <w:r>
        <w:t>,</w:t>
      </w:r>
      <w:r w:rsidR="00A713B8" w:rsidRPr="00A713B8">
        <w:t xml:space="preserve"> </w:t>
      </w:r>
      <w:r>
        <w:t xml:space="preserve">minor </w:t>
      </w:r>
      <w:r w:rsidR="00A713B8" w:rsidRPr="00A713B8">
        <w:t xml:space="preserve">deviation of the statute.  </w:t>
      </w:r>
    </w:p>
    <w:p w:rsidR="00EE5DDA" w:rsidRDefault="00EE5DDA" w:rsidP="00EE5DDA">
      <w:pPr>
        <w:pStyle w:val="Heading1"/>
      </w:pPr>
      <w:r>
        <w:lastRenderedPageBreak/>
        <w:t>Conclusions of Law</w:t>
      </w:r>
    </w:p>
    <w:p w:rsidR="00373722" w:rsidRPr="00633E46" w:rsidRDefault="002A5A5B" w:rsidP="00373722">
      <w:pPr>
        <w:pStyle w:val="COLNumbered"/>
      </w:pPr>
      <w:bookmarkStart w:id="70" w:name="_Toc468963087"/>
      <w:bookmarkStart w:id="71" w:name="_Toc468963800"/>
      <w:bookmarkStart w:id="72" w:name="_Toc468968568"/>
      <w:r w:rsidRPr="00633E46">
        <w:t>Ms. Gillespie</w:t>
      </w:r>
      <w:r w:rsidR="00373722" w:rsidRPr="00633E46">
        <w:t xml:space="preserve"> </w:t>
      </w:r>
      <w:r w:rsidR="00633E46">
        <w:t xml:space="preserve">has no right to initiate formal complaint under </w:t>
      </w:r>
      <w:r w:rsidR="00373722" w:rsidRPr="00633E46">
        <w:t>Tex. Water Code § 13.004</w:t>
      </w:r>
      <w:bookmarkEnd w:id="70"/>
      <w:bookmarkEnd w:id="71"/>
      <w:bookmarkEnd w:id="72"/>
      <w:r w:rsidR="00633E46">
        <w:t>.</w:t>
      </w:r>
    </w:p>
    <w:p w:rsidR="0084733B" w:rsidRDefault="00C66579" w:rsidP="002D0C98">
      <w:pPr>
        <w:pStyle w:val="COLNumbered"/>
      </w:pPr>
      <w:bookmarkStart w:id="73" w:name="_Toc468963089"/>
      <w:bookmarkStart w:id="74" w:name="_Toc468963802"/>
      <w:bookmarkStart w:id="75" w:name="_Toc468968570"/>
      <w:r>
        <w:t>[DELETED]</w:t>
      </w:r>
    </w:p>
    <w:p w:rsidR="002D0C98" w:rsidRDefault="0084733B" w:rsidP="0084733B">
      <w:pPr>
        <w:pStyle w:val="COLNumbered"/>
        <w:numPr>
          <w:ilvl w:val="0"/>
          <w:numId w:val="0"/>
        </w:numPr>
        <w:ind w:left="720" w:hanging="720"/>
      </w:pPr>
      <w:r>
        <w:t>2A.</w:t>
      </w:r>
      <w:r>
        <w:tab/>
      </w:r>
      <w:proofErr w:type="gramStart"/>
      <w:r w:rsidR="002D0C98">
        <w:t>The</w:t>
      </w:r>
      <w:proofErr w:type="gramEnd"/>
      <w:r w:rsidR="002D0C98">
        <w:t xml:space="preserve"> facts in this docket do not subject Avalon to the Commission’s jurisdiction under Texas Water Code § 13.004(a).</w:t>
      </w:r>
    </w:p>
    <w:p w:rsidR="00373722" w:rsidRDefault="002A5A5B" w:rsidP="00373722">
      <w:pPr>
        <w:pStyle w:val="COLNumbered"/>
      </w:pPr>
      <w:r>
        <w:t>Ms. Gillespie</w:t>
      </w:r>
      <w:r w:rsidR="00373722">
        <w:t>’s allegations do not state that the Commission has the same jurisdiction over Avalon as it does over a water or sewer utility under Texas Water Code § 13.004(a).</w:t>
      </w:r>
      <w:bookmarkEnd w:id="73"/>
      <w:bookmarkEnd w:id="74"/>
      <w:bookmarkEnd w:id="75"/>
    </w:p>
    <w:p w:rsidR="00373722" w:rsidRPr="00633E46" w:rsidRDefault="00633E46" w:rsidP="00373722">
      <w:pPr>
        <w:pStyle w:val="COLNumbered"/>
      </w:pPr>
      <w:r w:rsidRPr="00633E46">
        <w:t>[DELETED]</w:t>
      </w:r>
    </w:p>
    <w:p w:rsidR="00633E46" w:rsidRDefault="00633E46" w:rsidP="00633E46">
      <w:pPr>
        <w:pStyle w:val="COLNumbered"/>
      </w:pPr>
      <w:bookmarkStart w:id="76" w:name="_Toc468963092"/>
      <w:bookmarkStart w:id="77" w:name="_Toc468963805"/>
      <w:bookmarkStart w:id="78" w:name="_Toc468968573"/>
      <w:r w:rsidRPr="00633E46">
        <w:t>[DELETED]</w:t>
      </w:r>
    </w:p>
    <w:p w:rsidR="00A713B8" w:rsidRPr="00633E46" w:rsidRDefault="00A713B8" w:rsidP="002D0C98">
      <w:pPr>
        <w:pStyle w:val="COLNumbered"/>
        <w:numPr>
          <w:ilvl w:val="0"/>
          <w:numId w:val="0"/>
        </w:numPr>
        <w:ind w:left="720" w:hanging="720"/>
      </w:pPr>
      <w:r>
        <w:t xml:space="preserve">5A. </w:t>
      </w:r>
      <w:r>
        <w:tab/>
      </w:r>
      <w:r w:rsidR="002D0C98">
        <w:t>The Commission can only evaluate whether a water supply corporation is operating in accordance with its bylaws or articles of incorporation that ensure that the water supply corporation is member-owned and member-controlled.  TWC § 13.004(a</w:t>
      </w:r>
      <w:proofErr w:type="gramStart"/>
      <w:r w:rsidR="002D0C98">
        <w:t>)(</w:t>
      </w:r>
      <w:proofErr w:type="gramEnd"/>
      <w:r w:rsidR="002D0C98">
        <w:t xml:space="preserve">2) and TWC        § 13.002(24).  </w:t>
      </w:r>
    </w:p>
    <w:p w:rsidR="00633E46" w:rsidRPr="00633E46" w:rsidRDefault="00633E46" w:rsidP="00633E46">
      <w:pPr>
        <w:pStyle w:val="COLNumbered"/>
      </w:pPr>
      <w:bookmarkStart w:id="79" w:name="_Toc468963093"/>
      <w:bookmarkStart w:id="80" w:name="_Toc468963806"/>
      <w:bookmarkStart w:id="81" w:name="_Toc468968574"/>
      <w:bookmarkEnd w:id="76"/>
      <w:bookmarkEnd w:id="77"/>
      <w:bookmarkEnd w:id="78"/>
      <w:r w:rsidRPr="00633E46">
        <w:t>[DELETED]</w:t>
      </w:r>
    </w:p>
    <w:p w:rsidR="00373722" w:rsidRDefault="00373722" w:rsidP="00373722">
      <w:pPr>
        <w:pStyle w:val="COLNumbered"/>
      </w:pPr>
      <w:r>
        <w:t xml:space="preserve">The Commission and SOAH do not have jurisdiction to adjudicate claims under </w:t>
      </w:r>
      <w:r w:rsidR="002A5A5B">
        <w:t xml:space="preserve">the </w:t>
      </w:r>
      <w:r>
        <w:t>T</w:t>
      </w:r>
      <w:r w:rsidR="002A5A5B">
        <w:t xml:space="preserve">exas </w:t>
      </w:r>
      <w:r>
        <w:t>O</w:t>
      </w:r>
      <w:r w:rsidR="002A5A5B">
        <w:t xml:space="preserve">pen </w:t>
      </w:r>
      <w:r>
        <w:t>M</w:t>
      </w:r>
      <w:r w:rsidR="002A5A5B">
        <w:t xml:space="preserve">eetings </w:t>
      </w:r>
      <w:r>
        <w:t>A</w:t>
      </w:r>
      <w:r w:rsidR="002A5A5B">
        <w:t>ct</w:t>
      </w:r>
      <w:r>
        <w:t xml:space="preserve">.  Tex. Gov’t Code </w:t>
      </w:r>
      <w:proofErr w:type="spellStart"/>
      <w:r>
        <w:t>ch.</w:t>
      </w:r>
      <w:proofErr w:type="spellEnd"/>
      <w:r>
        <w:t xml:space="preserve"> 551; Tex. Water Code </w:t>
      </w:r>
      <w:proofErr w:type="spellStart"/>
      <w:r>
        <w:t>ch.</w:t>
      </w:r>
      <w:proofErr w:type="spellEnd"/>
      <w:r>
        <w:t xml:space="preserve"> 13.</w:t>
      </w:r>
      <w:bookmarkEnd w:id="79"/>
      <w:bookmarkEnd w:id="80"/>
      <w:bookmarkEnd w:id="81"/>
    </w:p>
    <w:p w:rsidR="00481994" w:rsidRPr="00EE7EBA" w:rsidRDefault="00481994" w:rsidP="00481994">
      <w:pPr>
        <w:pStyle w:val="COLNumbered"/>
      </w:pPr>
      <w:r>
        <w:t>A proceeding involving a retail public utility as defined by section 13.002 of this code may be an informal proceeding, except that the proceeding is subject to the public notice requirements of this chapter and the rules and orders of the regulatory authority involved.</w:t>
      </w:r>
      <w:r w:rsidR="002D0C98">
        <w:t xml:space="preserve">  TWC § 13.015.</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373722" w:rsidRDefault="00373722" w:rsidP="00373722">
      <w:pPr>
        <w:jc w:val="both"/>
        <w:outlineLvl w:val="0"/>
      </w:pPr>
    </w:p>
    <w:p w:rsidR="00EE5F6E" w:rsidRDefault="00EE5F6E" w:rsidP="00373722">
      <w:pPr>
        <w:pStyle w:val="OrderingParagraph"/>
      </w:pPr>
      <w:bookmarkStart w:id="82" w:name="_Toc468963096"/>
      <w:bookmarkStart w:id="83" w:name="_Toc468963809"/>
      <w:bookmarkStart w:id="84" w:name="_Toc468968457"/>
      <w:bookmarkStart w:id="85" w:name="_Toc468968577"/>
      <w:r>
        <w:t xml:space="preserve">The Commission declines to assume jurisdiction over Avalon for this </w:t>
      </w:r>
      <w:r w:rsidRPr="00A713B8">
        <w:t>single</w:t>
      </w:r>
      <w:r>
        <w:t>,</w:t>
      </w:r>
      <w:r w:rsidRPr="00A713B8">
        <w:t xml:space="preserve"> </w:t>
      </w:r>
      <w:r>
        <w:t xml:space="preserve">minor </w:t>
      </w:r>
      <w:r w:rsidRPr="00A713B8">
        <w:t xml:space="preserve">deviation of the statute.  </w:t>
      </w:r>
    </w:p>
    <w:p w:rsidR="00373722" w:rsidRDefault="008A068C" w:rsidP="00373722">
      <w:pPr>
        <w:pStyle w:val="OrderingParagraph"/>
      </w:pPr>
      <w:r>
        <w:t xml:space="preserve">This docket </w:t>
      </w:r>
      <w:r w:rsidR="00373722">
        <w:t>is dismissed</w:t>
      </w:r>
      <w:r>
        <w:t>.</w:t>
      </w:r>
      <w:r w:rsidR="00373722">
        <w:t xml:space="preserve"> </w:t>
      </w:r>
      <w:bookmarkEnd w:id="82"/>
      <w:bookmarkEnd w:id="83"/>
      <w:bookmarkEnd w:id="84"/>
      <w:bookmarkEnd w:id="85"/>
    </w:p>
    <w:p w:rsidR="00373722" w:rsidRDefault="00373722" w:rsidP="00373722">
      <w:pPr>
        <w:pStyle w:val="OrderingParagraph"/>
      </w:pPr>
      <w:bookmarkStart w:id="86" w:name="_Toc468963097"/>
      <w:bookmarkStart w:id="87" w:name="_Toc468963810"/>
      <w:bookmarkStart w:id="88" w:name="_Toc468968458"/>
      <w:bookmarkStart w:id="89" w:name="_Toc468968578"/>
      <w:r>
        <w:lastRenderedPageBreak/>
        <w:t>All other motions, requests for entry of specific findings of fact and conclusions of law, and any other requests for general or specific relief, if not expressly granted, are denied.</w:t>
      </w:r>
      <w:bookmarkEnd w:id="86"/>
      <w:bookmarkEnd w:id="87"/>
      <w:bookmarkEnd w:id="88"/>
      <w:bookmarkEnd w:id="89"/>
    </w:p>
    <w:p w:rsidR="00EE5F6E" w:rsidRPr="001A5F9C" w:rsidRDefault="00EE5F6E" w:rsidP="00EE5F6E">
      <w:pPr>
        <w:pStyle w:val="OrderingParagraph"/>
        <w:numPr>
          <w:ilvl w:val="0"/>
          <w:numId w:val="0"/>
        </w:numPr>
        <w:ind w:left="720"/>
      </w:pPr>
    </w:p>
    <w:p w:rsidR="00160DCD" w:rsidRDefault="00160DCD" w:rsidP="00160DCD"/>
    <w:p w:rsidR="00160DCD" w:rsidRDefault="00160DCD" w:rsidP="00373722">
      <w:pPr>
        <w:pStyle w:val="Dateline"/>
        <w:spacing w:before="120"/>
      </w:pPr>
      <w:r>
        <w:t xml:space="preserve">Signed at Austin, Texas the ______ day of </w:t>
      </w:r>
      <w:r w:rsidR="002D0C98">
        <w:t xml:space="preserve">March </w:t>
      </w:r>
      <w:r w:rsidR="00373722">
        <w:t>2017</w:t>
      </w:r>
      <w:r w:rsidR="008D1724">
        <w:t>.</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Pr="00373722" w:rsidRDefault="00373722" w:rsidP="0062202F">
      <w:pPr>
        <w:pStyle w:val="EndMatter"/>
        <w:rPr>
          <w:sz w:val="16"/>
          <w:szCs w:val="16"/>
        </w:rPr>
      </w:pPr>
      <w:r w:rsidRPr="00373722">
        <w:rPr>
          <w:sz w:val="16"/>
          <w:szCs w:val="16"/>
        </w:rPr>
        <w:t>w2013</w:t>
      </w:r>
    </w:p>
    <w:p w:rsidR="00160DCD" w:rsidRPr="00373722" w:rsidRDefault="00B07E7D" w:rsidP="0062202F">
      <w:pPr>
        <w:pStyle w:val="EndMatter"/>
        <w:rPr>
          <w:sz w:val="16"/>
          <w:szCs w:val="16"/>
        </w:rPr>
      </w:pPr>
      <w:r w:rsidRPr="00373722">
        <w:rPr>
          <w:sz w:val="16"/>
          <w:szCs w:val="16"/>
        </w:rPr>
        <w:fldChar w:fldCharType="begin"/>
      </w:r>
      <w:r w:rsidRPr="00373722">
        <w:rPr>
          <w:sz w:val="16"/>
          <w:szCs w:val="16"/>
        </w:rPr>
        <w:instrText xml:space="preserve"> FILENAME  \* Lower \p  \* MERGEFORMAT </w:instrText>
      </w:r>
      <w:r w:rsidRPr="00373722">
        <w:rPr>
          <w:sz w:val="16"/>
          <w:szCs w:val="16"/>
        </w:rPr>
        <w:fldChar w:fldCharType="separate"/>
      </w:r>
      <w:r w:rsidR="00373722">
        <w:rPr>
          <w:noProof/>
          <w:sz w:val="16"/>
          <w:szCs w:val="16"/>
        </w:rPr>
        <w:t>q:\cadm\orders\final\43000\43146fo.docx</w:t>
      </w:r>
      <w:r w:rsidRPr="00373722">
        <w:rPr>
          <w:noProof/>
          <w:sz w:val="16"/>
          <w:szCs w:val="16"/>
        </w:rPr>
        <w:fldChar w:fldCharType="end"/>
      </w:r>
    </w:p>
    <w:sectPr w:rsidR="00160DCD" w:rsidRPr="00373722"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796" w:rsidRDefault="001C6796" w:rsidP="00D03394">
      <w:r>
        <w:separator/>
      </w:r>
    </w:p>
  </w:endnote>
  <w:endnote w:type="continuationSeparator" w:id="0">
    <w:p w:rsidR="001C6796" w:rsidRDefault="001C6796"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796" w:rsidRDefault="001C6796" w:rsidP="00D03394">
      <w:r>
        <w:separator/>
      </w:r>
    </w:p>
  </w:footnote>
  <w:footnote w:type="continuationSeparator" w:id="0">
    <w:p w:rsidR="001C6796" w:rsidRDefault="001C6796" w:rsidP="00D03394">
      <w:r>
        <w:continuationSeparator/>
      </w:r>
    </w:p>
  </w:footnote>
  <w:footnote w:id="1">
    <w:p w:rsidR="003141AE" w:rsidRDefault="003141AE" w:rsidP="003141AE">
      <w:pPr>
        <w:pStyle w:val="FootnoteText"/>
      </w:pPr>
      <w:r>
        <w:rPr>
          <w:rStyle w:val="FootnoteReference"/>
        </w:rPr>
        <w:footnoteRef/>
      </w:r>
      <w:r>
        <w:t xml:space="preserve"> </w:t>
      </w:r>
      <w:r w:rsidRPr="0099258D">
        <w:rPr>
          <w:i/>
        </w:rPr>
        <w:t>See</w:t>
      </w:r>
      <w:r>
        <w:t xml:space="preserve"> Proposal for Decision, Attachment D. </w:t>
      </w:r>
    </w:p>
  </w:footnote>
  <w:footnote w:id="2">
    <w:p w:rsidR="003141AE" w:rsidRDefault="003141AE" w:rsidP="003141AE">
      <w:pPr>
        <w:pStyle w:val="FootnoteText"/>
      </w:pPr>
      <w:r>
        <w:rPr>
          <w:rStyle w:val="FootnoteReference"/>
        </w:rPr>
        <w:footnoteRef/>
      </w:r>
      <w:r>
        <w:t xml:space="preserve"> </w:t>
      </w:r>
      <w:r w:rsidRPr="0099258D">
        <w:rPr>
          <w:i/>
        </w:rPr>
        <w:t>See</w:t>
      </w:r>
      <w:r>
        <w:t xml:space="preserve"> Tex. Gov’t Code § 551.001(3</w:t>
      </w:r>
      <w:proofErr w:type="gramStart"/>
      <w:r>
        <w:t>)(</w:t>
      </w:r>
      <w:proofErr w:type="gramEnd"/>
      <w:r>
        <w:t>K).</w:t>
      </w:r>
    </w:p>
  </w:footnote>
  <w:footnote w:id="3">
    <w:p w:rsidR="003141AE" w:rsidRPr="00FC04EF" w:rsidRDefault="003141AE" w:rsidP="003141AE">
      <w:pPr>
        <w:pStyle w:val="FootnoteText"/>
      </w:pPr>
      <w:r>
        <w:rPr>
          <w:rStyle w:val="FootnoteReference"/>
        </w:rPr>
        <w:footnoteRef/>
      </w:r>
      <w:r>
        <w:t xml:space="preserve"> </w:t>
      </w:r>
      <w:r w:rsidRPr="00FC04EF">
        <w:rPr>
          <w:i/>
        </w:rPr>
        <w:t>See</w:t>
      </w:r>
      <w:r>
        <w:rPr>
          <w:i/>
        </w:rPr>
        <w:t xml:space="preserve"> </w:t>
      </w:r>
      <w:r>
        <w:t xml:space="preserve">Tex. Govt. Code § 551.142; </w:t>
      </w:r>
      <w:r w:rsidRPr="00705AC1">
        <w:rPr>
          <w:i/>
        </w:rPr>
        <w:t>see also</w:t>
      </w:r>
      <w:r>
        <w:t xml:space="preserve"> Office of the Attorney General of Texas, </w:t>
      </w:r>
      <w:r w:rsidRPr="00705AC1">
        <w:rPr>
          <w:i/>
        </w:rPr>
        <w:t xml:space="preserve">Open Meetings Handbook 2016 </w:t>
      </w:r>
      <w:r>
        <w:t xml:space="preserve">at 63. </w:t>
      </w:r>
    </w:p>
  </w:footnote>
  <w:footnote w:id="4">
    <w:p w:rsidR="003141AE" w:rsidRDefault="003141AE" w:rsidP="003141AE">
      <w:pPr>
        <w:pStyle w:val="FootnoteText"/>
      </w:pPr>
      <w:r>
        <w:rPr>
          <w:rStyle w:val="FootnoteReference"/>
        </w:rPr>
        <w:footnoteRef/>
      </w:r>
      <w:r>
        <w:t xml:space="preserve"> </w:t>
      </w:r>
      <w:r w:rsidRPr="0099258D">
        <w:rPr>
          <w:i/>
        </w:rPr>
        <w:t>See Subaru of Am., Inc. v. David McDavid Nissan, Inc</w:t>
      </w:r>
      <w:r>
        <w:t>., 84 S.W.3d 212, 202 (Tex. 2002).</w:t>
      </w:r>
    </w:p>
  </w:footnote>
  <w:footnote w:id="5">
    <w:p w:rsidR="002E6B47" w:rsidRDefault="002E6B47" w:rsidP="002E6B47">
      <w:pPr>
        <w:pStyle w:val="FootnoteText"/>
      </w:pPr>
      <w:r>
        <w:rPr>
          <w:rStyle w:val="FootnoteReference"/>
        </w:rPr>
        <w:footnoteRef/>
      </w:r>
      <w:r>
        <w:t xml:space="preserve"> Avalon’s Second Supplemental Response at 14-16; 22-25 (Oct. 22, 2015).</w:t>
      </w:r>
    </w:p>
  </w:footnote>
  <w:footnote w:id="6">
    <w:p w:rsidR="002E6B47" w:rsidRDefault="002E6B47" w:rsidP="002E6B47">
      <w:pPr>
        <w:pStyle w:val="FootnoteText"/>
      </w:pPr>
      <w:r>
        <w:rPr>
          <w:rStyle w:val="FootnoteReference"/>
        </w:rPr>
        <w:footnoteRef/>
      </w:r>
      <w:r>
        <w:t xml:space="preserve"> </w:t>
      </w:r>
      <w:r w:rsidRPr="00A55292">
        <w:rPr>
          <w:i/>
        </w:rPr>
        <w:t>Id</w:t>
      </w:r>
      <w:r>
        <w:t>. at 22.</w:t>
      </w:r>
    </w:p>
  </w:footnote>
  <w:footnote w:id="7">
    <w:p w:rsidR="002E6B47" w:rsidRDefault="002E6B47" w:rsidP="002E6B47">
      <w:pPr>
        <w:pStyle w:val="FootnoteText"/>
      </w:pPr>
      <w:r>
        <w:rPr>
          <w:rStyle w:val="FootnoteReference"/>
        </w:rPr>
        <w:footnoteRef/>
      </w:r>
      <w:r>
        <w:t xml:space="preserve"> </w:t>
      </w:r>
      <w:r>
        <w:rPr>
          <w:i/>
        </w:rPr>
        <w:t>Id</w:t>
      </w:r>
      <w:r>
        <w:t>. at Bates Avalon000658 (Apr. 19, 2016).</w:t>
      </w:r>
    </w:p>
  </w:footnote>
  <w:footnote w:id="8">
    <w:p w:rsidR="002E6B47" w:rsidRDefault="002E6B47" w:rsidP="002E6B47">
      <w:pPr>
        <w:pStyle w:val="FootnoteText"/>
      </w:pPr>
      <w:r>
        <w:rPr>
          <w:rStyle w:val="FootnoteReference"/>
        </w:rPr>
        <w:footnoteRef/>
      </w:r>
      <w:r>
        <w:t xml:space="preserve"> Avalon’s Second Supplemental Response at 22 (Oct. 22, 2015).</w:t>
      </w:r>
    </w:p>
  </w:footnote>
  <w:footnote w:id="9">
    <w:p w:rsidR="000951D5" w:rsidRDefault="000951D5" w:rsidP="000951D5">
      <w:pPr>
        <w:pStyle w:val="FootnoteText"/>
      </w:pPr>
      <w:r>
        <w:rPr>
          <w:rStyle w:val="FootnoteReference"/>
        </w:rPr>
        <w:footnoteRef/>
      </w:r>
      <w:r>
        <w:t xml:space="preserve"> Filing of Carol D. Gillespie at 19 (Feb. 6, 2015).</w:t>
      </w:r>
    </w:p>
  </w:footnote>
  <w:footnote w:id="10">
    <w:p w:rsidR="000951D5" w:rsidRDefault="000951D5" w:rsidP="000951D5">
      <w:pPr>
        <w:pStyle w:val="FootnoteText"/>
      </w:pPr>
      <w:r>
        <w:rPr>
          <w:rStyle w:val="FootnoteReference"/>
        </w:rPr>
        <w:footnoteRef/>
      </w:r>
      <w:r>
        <w:t xml:space="preserve"> </w:t>
      </w:r>
      <w:r w:rsidRPr="00A55292">
        <w:rPr>
          <w:i/>
        </w:rPr>
        <w:t>Id</w:t>
      </w:r>
      <w:r>
        <w:t>.</w:t>
      </w:r>
    </w:p>
  </w:footnote>
  <w:footnote w:id="11">
    <w:p w:rsidR="002E6B47" w:rsidRDefault="002E6B47" w:rsidP="002E6B47">
      <w:pPr>
        <w:pStyle w:val="FootnoteText"/>
      </w:pPr>
      <w:r>
        <w:rPr>
          <w:rStyle w:val="FootnoteReference"/>
        </w:rPr>
        <w:footnoteRef/>
      </w:r>
      <w:r>
        <w:t xml:space="preserve"> Avalon’s Response to Gillespie’s 1st RFI at Bates Avalon0001278 (Apr. 19,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373722">
    <w:pPr>
      <w:pStyle w:val="Header"/>
      <w:tabs>
        <w:tab w:val="clear" w:pos="4680"/>
        <w:tab w:val="center" w:pos="4860"/>
      </w:tabs>
    </w:pPr>
    <w:r>
      <w:t>PUC Docket No. </w:t>
    </w:r>
    <w:r w:rsidR="00373722">
      <w:t>43146</w:t>
    </w:r>
    <w:r>
      <w:tab/>
      <w:t>Order</w:t>
    </w:r>
    <w:r>
      <w:tab/>
      <w:t xml:space="preserve">Page </w:t>
    </w:r>
    <w:r>
      <w:fldChar w:fldCharType="begin"/>
    </w:r>
    <w:r>
      <w:instrText xml:space="preserve"> PAGE   \* MERGEFORMAT </w:instrText>
    </w:r>
    <w:r>
      <w:fldChar w:fldCharType="separate"/>
    </w:r>
    <w:r w:rsidR="009825E7">
      <w:rPr>
        <w:noProof/>
      </w:rPr>
      <w:t>11</w:t>
    </w:r>
    <w:r>
      <w:fldChar w:fldCharType="end"/>
    </w:r>
    <w:r>
      <w:t xml:space="preserve"> of </w:t>
    </w:r>
    <w:fldSimple w:instr=" NUMPAGES   \* MERGEFORMAT ">
      <w:r w:rsidR="009825E7">
        <w:rPr>
          <w:noProof/>
        </w:rPr>
        <w:t>11</w:t>
      </w:r>
    </w:fldSimple>
  </w:p>
  <w:p w:rsidR="00ED04FC" w:rsidRDefault="00ED04FC">
    <w:pPr>
      <w:pStyle w:val="Header"/>
    </w:pPr>
    <w:r>
      <w:t>SOAH Docket No. </w:t>
    </w:r>
    <w:r w:rsidR="00373722">
      <w:rPr>
        <w:bCs/>
      </w:rPr>
      <w:t>473-16-2033.WS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44E10"/>
    <w:multiLevelType w:val="singleLevel"/>
    <w:tmpl w:val="B840281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E55185"/>
    <w:multiLevelType w:val="hybridMultilevel"/>
    <w:tmpl w:val="AA52857E"/>
    <w:lvl w:ilvl="0" w:tplc="B052CD56">
      <w:start w:val="1"/>
      <w:numFmt w:val="decimal"/>
      <w:lvlText w:val="%1."/>
      <w:lvlJc w:val="left"/>
      <w:pPr>
        <w:ind w:left="1440" w:hanging="360"/>
      </w:pPr>
      <w:rPr>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4CCC6322"/>
    <w:multiLevelType w:val="multilevel"/>
    <w:tmpl w:val="D59EBA00"/>
    <w:lvl w:ilvl="0">
      <w:start w:val="1"/>
      <w:numFmt w:val="decimal"/>
      <w:pStyle w:val="IssueHeading"/>
      <w:lvlText w:val="Issue %1:"/>
      <w:lvlJc w:val="left"/>
      <w:pPr>
        <w:ind w:left="720" w:hanging="720"/>
      </w:pPr>
      <w:rPr>
        <w:rFonts w:ascii="Times New Roman Bold" w:hAnsi="Times New Roman Bold" w:hint="default"/>
        <w:b/>
        <w:i w:val="0"/>
        <w:caps w:val="0"/>
        <w:strike w:val="0"/>
        <w:dstrike w:val="0"/>
        <w:outline w:val="0"/>
        <w:shadow w:val="0"/>
        <w:emboss w:val="0"/>
        <w:imprint w:val="0"/>
        <w:vanish w:val="0"/>
        <w:color w:val="auto"/>
        <w:sz w:val="28"/>
        <w:u w:val="none"/>
        <w:vertAlign w:val="baseline"/>
      </w:rPr>
    </w:lvl>
    <w:lvl w:ilvl="1">
      <w:start w:val="1"/>
      <w:numFmt w:val="upperLetter"/>
      <w:pStyle w:val="IssueSubHeading"/>
      <w:lvlText w:val="Subissue %2:"/>
      <w:lvlJc w:val="left"/>
      <w:pPr>
        <w:ind w:left="1440" w:hanging="1368"/>
      </w:pPr>
      <w:rPr>
        <w:rFonts w:ascii="Times New Roman Bold" w:hAnsi="Times New Roman Bold" w:hint="default"/>
        <w:b/>
        <w:i w:val="0"/>
        <w:caps w:val="0"/>
        <w:sz w:val="28"/>
      </w:rPr>
    </w:lvl>
    <w:lvl w:ilvl="2">
      <w:start w:val="1"/>
      <w:numFmt w:val="decimal"/>
      <w:pStyle w:val="Option"/>
      <w:lvlText w:val="Option %3: "/>
      <w:lvlJc w:val="left"/>
      <w:pPr>
        <w:ind w:left="1440" w:hanging="7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bullet"/>
      <w:pStyle w:val="Bullet1"/>
      <w:lvlText w:val=""/>
      <w:lvlJc w:val="left"/>
      <w:pPr>
        <w:ind w:left="1440" w:hanging="360"/>
      </w:pPr>
      <w:rPr>
        <w:rFonts w:ascii="Symbol" w:hAnsi="Symbol" w:hint="default"/>
      </w:rPr>
    </w:lvl>
    <w:lvl w:ilvl="4">
      <w:start w:val="1"/>
      <w:numFmt w:val="bullet"/>
      <w:pStyle w:val="Bullet2"/>
      <w:lvlText w:val="o"/>
      <w:lvlJc w:val="left"/>
      <w:pPr>
        <w:ind w:left="1800" w:hanging="360"/>
      </w:pPr>
      <w:rPr>
        <w:rFonts w:ascii="Courier New" w:hAnsi="Courier New" w:hint="default"/>
      </w:rPr>
    </w:lvl>
    <w:lvl w:ilvl="5">
      <w:start w:val="1"/>
      <w:numFmt w:val="bullet"/>
      <w:pStyle w:val="Bullet3"/>
      <w:lvlText w:val="‒"/>
      <w:lvlJc w:val="right"/>
      <w:pPr>
        <w:ind w:left="2160" w:hanging="360"/>
      </w:pPr>
      <w:rPr>
        <w:rFonts w:ascii="Times New Roman" w:hAnsi="Times New Roman" w:cs="Times New Roman"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666B6E08"/>
    <w:multiLevelType w:val="hybridMultilevel"/>
    <w:tmpl w:val="8DF0A56A"/>
    <w:lvl w:ilvl="0" w:tplc="5EBCC44A">
      <w:start w:val="1"/>
      <w:numFmt w:val="decimal"/>
      <w:pStyle w:val="COLNumbered"/>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52F56A9"/>
    <w:multiLevelType w:val="hybridMultilevel"/>
    <w:tmpl w:val="AA52857E"/>
    <w:lvl w:ilvl="0" w:tplc="B052CD56">
      <w:start w:val="1"/>
      <w:numFmt w:val="decimal"/>
      <w:lvlText w:val="%1."/>
      <w:lvlJc w:val="left"/>
      <w:pPr>
        <w:ind w:left="1440" w:hanging="360"/>
      </w:pPr>
      <w:rPr>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4"/>
  </w:num>
  <w:num w:numId="3">
    <w:abstractNumId w:val="2"/>
  </w:num>
  <w:num w:numId="4">
    <w:abstractNumId w:val="8"/>
  </w:num>
  <w:num w:numId="5">
    <w:abstractNumId w:val="4"/>
  </w:num>
  <w:num w:numId="6">
    <w:abstractNumId w:val="6"/>
  </w:num>
  <w:num w:numId="7">
    <w:abstractNumId w:val="7"/>
  </w:num>
  <w:num w:numId="8">
    <w:abstractNumId w:val="1"/>
  </w:num>
  <w:num w:numId="9">
    <w:abstractNumId w:val="9"/>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796"/>
    <w:rsid w:val="0001031B"/>
    <w:rsid w:val="00053ABB"/>
    <w:rsid w:val="000951D5"/>
    <w:rsid w:val="000E5DBE"/>
    <w:rsid w:val="001169CA"/>
    <w:rsid w:val="00160DCD"/>
    <w:rsid w:val="0018760B"/>
    <w:rsid w:val="001A409D"/>
    <w:rsid w:val="001C6796"/>
    <w:rsid w:val="001D4F4B"/>
    <w:rsid w:val="001E360C"/>
    <w:rsid w:val="00232FC0"/>
    <w:rsid w:val="00266F9F"/>
    <w:rsid w:val="00267533"/>
    <w:rsid w:val="00294C7A"/>
    <w:rsid w:val="002A5A5B"/>
    <w:rsid w:val="002D0C98"/>
    <w:rsid w:val="002E3EFE"/>
    <w:rsid w:val="002E6B47"/>
    <w:rsid w:val="002E7AB8"/>
    <w:rsid w:val="00312838"/>
    <w:rsid w:val="003141AE"/>
    <w:rsid w:val="00373722"/>
    <w:rsid w:val="00393806"/>
    <w:rsid w:val="00397088"/>
    <w:rsid w:val="003B0A29"/>
    <w:rsid w:val="004063F3"/>
    <w:rsid w:val="00433B5E"/>
    <w:rsid w:val="004737AE"/>
    <w:rsid w:val="00481994"/>
    <w:rsid w:val="00482042"/>
    <w:rsid w:val="004A0DD6"/>
    <w:rsid w:val="004E082A"/>
    <w:rsid w:val="005315BE"/>
    <w:rsid w:val="0059296A"/>
    <w:rsid w:val="005C3512"/>
    <w:rsid w:val="006122F5"/>
    <w:rsid w:val="0062202F"/>
    <w:rsid w:val="00633E46"/>
    <w:rsid w:val="00637CF9"/>
    <w:rsid w:val="00677B5E"/>
    <w:rsid w:val="0069065C"/>
    <w:rsid w:val="00701335"/>
    <w:rsid w:val="0071315C"/>
    <w:rsid w:val="007572FC"/>
    <w:rsid w:val="00762B40"/>
    <w:rsid w:val="0080046C"/>
    <w:rsid w:val="0084733B"/>
    <w:rsid w:val="008738BF"/>
    <w:rsid w:val="00873D2B"/>
    <w:rsid w:val="008A068C"/>
    <w:rsid w:val="008D1724"/>
    <w:rsid w:val="00903FED"/>
    <w:rsid w:val="00904860"/>
    <w:rsid w:val="00920115"/>
    <w:rsid w:val="009352BF"/>
    <w:rsid w:val="009727E0"/>
    <w:rsid w:val="009825E7"/>
    <w:rsid w:val="009C1919"/>
    <w:rsid w:val="00A00A47"/>
    <w:rsid w:val="00A035EA"/>
    <w:rsid w:val="00A40798"/>
    <w:rsid w:val="00A478B6"/>
    <w:rsid w:val="00A65E7A"/>
    <w:rsid w:val="00A713B8"/>
    <w:rsid w:val="00A8572C"/>
    <w:rsid w:val="00AD02C7"/>
    <w:rsid w:val="00AF6A08"/>
    <w:rsid w:val="00B07E7D"/>
    <w:rsid w:val="00B22348"/>
    <w:rsid w:val="00B55F2B"/>
    <w:rsid w:val="00B71CA8"/>
    <w:rsid w:val="00BC1D7C"/>
    <w:rsid w:val="00C54659"/>
    <w:rsid w:val="00C61946"/>
    <w:rsid w:val="00C66579"/>
    <w:rsid w:val="00D03394"/>
    <w:rsid w:val="00D1503F"/>
    <w:rsid w:val="00D3137D"/>
    <w:rsid w:val="00D451DC"/>
    <w:rsid w:val="00D706B4"/>
    <w:rsid w:val="00D72F27"/>
    <w:rsid w:val="00D82905"/>
    <w:rsid w:val="00EB3FB6"/>
    <w:rsid w:val="00ED04FC"/>
    <w:rsid w:val="00ED3939"/>
    <w:rsid w:val="00EE3CF9"/>
    <w:rsid w:val="00EE5DDA"/>
    <w:rsid w:val="00EE5F6E"/>
    <w:rsid w:val="00F401DA"/>
    <w:rsid w:val="00F84F03"/>
    <w:rsid w:val="00FA1E83"/>
    <w:rsid w:val="00FA201A"/>
    <w:rsid w:val="00FE3FE1"/>
    <w:rsid w:val="00FE4318"/>
    <w:rsid w:val="00FE6CC3"/>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2EEA9BE7-ABAA-4350-B0B4-EBBBEA553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373722"/>
    <w:pPr>
      <w:widowControl w:val="0"/>
      <w:autoSpaceDE w:val="0"/>
      <w:autoSpaceDN w:val="0"/>
      <w:adjustRightInd w:val="0"/>
      <w:ind w:left="720"/>
      <w:contextualSpacing/>
    </w:pPr>
    <w:rPr>
      <w:rFonts w:eastAsia="Times New Roman"/>
    </w:rPr>
  </w:style>
  <w:style w:type="paragraph" w:customStyle="1" w:styleId="IssueHeading">
    <w:name w:val="Issue Heading"/>
    <w:basedOn w:val="ListParagraph"/>
    <w:next w:val="BodyText"/>
    <w:qFormat/>
    <w:rsid w:val="002E6B47"/>
    <w:pPr>
      <w:widowControl/>
      <w:numPr>
        <w:numId w:val="10"/>
      </w:numPr>
      <w:autoSpaceDE/>
      <w:autoSpaceDN/>
      <w:adjustRightInd/>
      <w:spacing w:before="240"/>
      <w:jc w:val="both"/>
    </w:pPr>
    <w:rPr>
      <w:rFonts w:ascii="Times New Roman Bold" w:hAnsi="Times New Roman Bold"/>
      <w:b/>
      <w:sz w:val="28"/>
      <w:szCs w:val="28"/>
    </w:rPr>
  </w:style>
  <w:style w:type="paragraph" w:customStyle="1" w:styleId="IssueSubHeading">
    <w:name w:val="Issue Sub Heading"/>
    <w:basedOn w:val="ListParagraph"/>
    <w:next w:val="BodyText"/>
    <w:qFormat/>
    <w:rsid w:val="002E6B47"/>
    <w:pPr>
      <w:widowControl/>
      <w:numPr>
        <w:ilvl w:val="1"/>
        <w:numId w:val="10"/>
      </w:numPr>
      <w:autoSpaceDE/>
      <w:autoSpaceDN/>
      <w:adjustRightInd/>
      <w:spacing w:before="240"/>
      <w:contextualSpacing w:val="0"/>
      <w:jc w:val="both"/>
    </w:pPr>
    <w:rPr>
      <w:rFonts w:ascii="Times New Roman Bold" w:hAnsi="Times New Roman Bold"/>
      <w:b/>
      <w:sz w:val="28"/>
      <w:szCs w:val="28"/>
    </w:rPr>
  </w:style>
  <w:style w:type="paragraph" w:customStyle="1" w:styleId="Option">
    <w:name w:val="Option"/>
    <w:basedOn w:val="IssueSubHeading"/>
    <w:qFormat/>
    <w:rsid w:val="002E6B47"/>
    <w:pPr>
      <w:numPr>
        <w:ilvl w:val="2"/>
      </w:numPr>
    </w:pPr>
    <w:rPr>
      <w:sz w:val="24"/>
    </w:rPr>
  </w:style>
  <w:style w:type="paragraph" w:customStyle="1" w:styleId="Bullet1">
    <w:name w:val="Bullet 1"/>
    <w:basedOn w:val="Option"/>
    <w:link w:val="Bullet1Char"/>
    <w:qFormat/>
    <w:rsid w:val="002E6B47"/>
    <w:pPr>
      <w:numPr>
        <w:ilvl w:val="3"/>
      </w:numPr>
    </w:pPr>
    <w:rPr>
      <w:rFonts w:ascii="Times New Roman" w:hAnsi="Times New Roman"/>
      <w:b w:val="0"/>
    </w:rPr>
  </w:style>
  <w:style w:type="paragraph" w:customStyle="1" w:styleId="Bullet2">
    <w:name w:val="Bullet 2"/>
    <w:basedOn w:val="Option"/>
    <w:qFormat/>
    <w:rsid w:val="002E6B47"/>
    <w:pPr>
      <w:numPr>
        <w:ilvl w:val="4"/>
      </w:numPr>
    </w:pPr>
    <w:rPr>
      <w:rFonts w:ascii="Times New Roman" w:hAnsi="Times New Roman"/>
      <w:b w:val="0"/>
    </w:rPr>
  </w:style>
  <w:style w:type="character" w:customStyle="1" w:styleId="Bullet1Char">
    <w:name w:val="Bullet 1 Char"/>
    <w:basedOn w:val="DefaultParagraphFont"/>
    <w:link w:val="Bullet1"/>
    <w:rsid w:val="002E6B47"/>
    <w:rPr>
      <w:rFonts w:eastAsia="Times New Roman"/>
      <w:szCs w:val="28"/>
    </w:rPr>
  </w:style>
  <w:style w:type="paragraph" w:customStyle="1" w:styleId="Bullet3">
    <w:name w:val="Bullet 3"/>
    <w:basedOn w:val="Bullet2"/>
    <w:qFormat/>
    <w:rsid w:val="002E6B47"/>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17BFA-E3C1-42E9-823B-9640F0A09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2475</TotalTime>
  <Pages>11</Pages>
  <Words>3137</Words>
  <Characters>17887</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Roundtree-Williams, Keva</cp:lastModifiedBy>
  <cp:revision>43</cp:revision>
  <cp:lastPrinted>2017-03-06T23:10:00Z</cp:lastPrinted>
  <dcterms:created xsi:type="dcterms:W3CDTF">2016-12-09T13:02:00Z</dcterms:created>
  <dcterms:modified xsi:type="dcterms:W3CDTF">2017-03-08T16:09:00Z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