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0D8" w:rsidRPr="008C6FBE" w:rsidRDefault="000C70D8" w:rsidP="00CC4A76">
      <w:pPr>
        <w:pStyle w:val="DocketNumber"/>
        <w:spacing w:before="240" w:after="360"/>
        <w:rPr>
          <w:bCs/>
          <w:color w:val="000000" w:themeColor="text1"/>
        </w:rPr>
      </w:pPr>
      <w:r w:rsidRPr="008C6FBE">
        <w:rPr>
          <w:color w:val="000000" w:themeColor="text1"/>
        </w:rPr>
        <w:t xml:space="preserve">Docket No. </w:t>
      </w:r>
      <w:r>
        <w:rPr>
          <w:color w:val="000000" w:themeColor="text1"/>
        </w:rPr>
        <w:t>43121</w:t>
      </w:r>
    </w:p>
    <w:tbl>
      <w:tblPr>
        <w:tblW w:w="9094" w:type="dxa"/>
        <w:jc w:val="center"/>
        <w:tblLayout w:type="fixed"/>
        <w:tblLook w:val="01E0" w:firstRow="1" w:lastRow="1" w:firstColumn="1" w:lastColumn="1" w:noHBand="0" w:noVBand="0"/>
      </w:tblPr>
      <w:tblGrid>
        <w:gridCol w:w="4410"/>
        <w:gridCol w:w="281"/>
        <w:gridCol w:w="4403"/>
      </w:tblGrid>
      <w:tr w:rsidR="000C70D8" w:rsidRPr="008C6FBE" w:rsidTr="009B7E5C">
        <w:trPr>
          <w:trHeight w:val="927"/>
          <w:jc w:val="center"/>
        </w:trPr>
        <w:tc>
          <w:tcPr>
            <w:tcW w:w="4410" w:type="dxa"/>
          </w:tcPr>
          <w:p w:rsidR="000C70D8" w:rsidRPr="008C6FBE" w:rsidRDefault="000C70D8" w:rsidP="00F04612">
            <w:pPr>
              <w:ind w:left="-90"/>
              <w:jc w:val="left"/>
              <w:rPr>
                <w:b/>
                <w:szCs w:val="24"/>
              </w:rPr>
            </w:pPr>
            <w:r w:rsidRPr="00FA25EE">
              <w:rPr>
                <w:b/>
                <w:szCs w:val="24"/>
              </w:rPr>
              <w:t>REQUEST BY EDE AND RANDY BULLOCK FOR DETERMINATION OF RCH WATER SUPPLY CORPORATION'S COMPLIANCE WITH TEXAS WATER CODE § 13.004 (37766-I)</w:t>
            </w:r>
          </w:p>
        </w:tc>
        <w:tc>
          <w:tcPr>
            <w:tcW w:w="281" w:type="dxa"/>
          </w:tcPr>
          <w:p w:rsidR="000C70D8" w:rsidRPr="008C6FBE" w:rsidRDefault="000C70D8" w:rsidP="00F04612">
            <w:pPr>
              <w:rPr>
                <w:rStyle w:val="StyleBold"/>
                <w:rFonts w:eastAsia="SimSun"/>
              </w:rPr>
            </w:pPr>
            <w:r w:rsidRPr="008C6FBE">
              <w:rPr>
                <w:rStyle w:val="StyleBold"/>
                <w:rFonts w:eastAsia="SimSun"/>
              </w:rPr>
              <w:t>§</w:t>
            </w:r>
          </w:p>
          <w:p w:rsidR="000C70D8" w:rsidRPr="008C6FBE" w:rsidRDefault="000C70D8" w:rsidP="00F04612">
            <w:pPr>
              <w:rPr>
                <w:rStyle w:val="StyleBold"/>
                <w:rFonts w:eastAsia="SimSun"/>
              </w:rPr>
            </w:pPr>
            <w:r w:rsidRPr="008C6FBE">
              <w:rPr>
                <w:rStyle w:val="StyleBold"/>
                <w:rFonts w:eastAsia="SimSun"/>
              </w:rPr>
              <w:t>§</w:t>
            </w:r>
          </w:p>
          <w:p w:rsidR="000C70D8" w:rsidRDefault="000C70D8" w:rsidP="00F04612">
            <w:pPr>
              <w:rPr>
                <w:rStyle w:val="StyleBold"/>
                <w:rFonts w:eastAsia="SimSun"/>
              </w:rPr>
            </w:pPr>
            <w:r w:rsidRPr="008C6FBE">
              <w:rPr>
                <w:rStyle w:val="StyleBold"/>
                <w:rFonts w:eastAsia="SimSun"/>
              </w:rPr>
              <w:t>§</w:t>
            </w:r>
          </w:p>
          <w:p w:rsidR="000C70D8" w:rsidRDefault="000C70D8" w:rsidP="00F04612">
            <w:pPr>
              <w:rPr>
                <w:rStyle w:val="StyleBold"/>
                <w:rFonts w:eastAsia="SimSun"/>
              </w:rPr>
            </w:pPr>
            <w:r w:rsidRPr="008C6FBE">
              <w:rPr>
                <w:rStyle w:val="StyleBold"/>
                <w:rFonts w:eastAsia="SimSun"/>
              </w:rPr>
              <w:t>§</w:t>
            </w:r>
          </w:p>
          <w:p w:rsidR="000C70D8" w:rsidRPr="008C6FBE" w:rsidRDefault="000C70D8" w:rsidP="00F04612">
            <w:pPr>
              <w:rPr>
                <w:rFonts w:eastAsia="SimSun"/>
                <w:b/>
                <w:bCs/>
                <w:caps/>
                <w:szCs w:val="24"/>
              </w:rPr>
            </w:pPr>
            <w:r w:rsidRPr="008C6FBE">
              <w:rPr>
                <w:rStyle w:val="StyleBold"/>
                <w:rFonts w:eastAsia="SimSun"/>
              </w:rPr>
              <w:t>§§</w:t>
            </w:r>
          </w:p>
        </w:tc>
        <w:tc>
          <w:tcPr>
            <w:tcW w:w="4403" w:type="dxa"/>
          </w:tcPr>
          <w:p w:rsidR="000C70D8" w:rsidRPr="008C6FBE" w:rsidRDefault="000C70D8" w:rsidP="00F04612">
            <w:pPr>
              <w:jc w:val="center"/>
              <w:rPr>
                <w:rFonts w:eastAsia="SimSun"/>
                <w:b/>
                <w:caps/>
                <w:szCs w:val="24"/>
              </w:rPr>
            </w:pPr>
            <w:r w:rsidRPr="008C6FBE">
              <w:rPr>
                <w:rFonts w:eastAsia="SimSun"/>
                <w:b/>
                <w:caps/>
                <w:szCs w:val="24"/>
              </w:rPr>
              <w:t>Public Utility Commission</w:t>
            </w:r>
          </w:p>
          <w:p w:rsidR="000C70D8" w:rsidRPr="008C6FBE" w:rsidRDefault="000C70D8" w:rsidP="00F04612">
            <w:pPr>
              <w:jc w:val="center"/>
              <w:rPr>
                <w:rFonts w:eastAsia="SimSun"/>
                <w:b/>
                <w:caps/>
                <w:szCs w:val="24"/>
              </w:rPr>
            </w:pPr>
          </w:p>
          <w:p w:rsidR="000C70D8" w:rsidRPr="008C6FBE" w:rsidRDefault="000C70D8" w:rsidP="00F04612">
            <w:pPr>
              <w:jc w:val="center"/>
              <w:rPr>
                <w:rFonts w:eastAsia="SimSun"/>
                <w:szCs w:val="24"/>
              </w:rPr>
            </w:pPr>
            <w:r w:rsidRPr="008C6FBE">
              <w:rPr>
                <w:rFonts w:eastAsia="SimSun"/>
                <w:b/>
                <w:caps/>
                <w:szCs w:val="24"/>
              </w:rPr>
              <w:t>of Texas</w:t>
            </w:r>
          </w:p>
        </w:tc>
      </w:tr>
    </w:tbl>
    <w:p w:rsidR="00E416D1" w:rsidRDefault="00E416D1" w:rsidP="00F04612">
      <w:pPr>
        <w:pStyle w:val="OrderTitle"/>
        <w:spacing w:before="0" w:after="0" w:line="360" w:lineRule="auto"/>
        <w:rPr>
          <w:color w:val="000000"/>
          <w:spacing w:val="-11"/>
        </w:rPr>
      </w:pPr>
    </w:p>
    <w:p w:rsidR="00656263" w:rsidRDefault="00211D02" w:rsidP="00F04612">
      <w:pPr>
        <w:pStyle w:val="OrderTitle"/>
        <w:spacing w:before="0" w:after="0"/>
        <w:rPr>
          <w:color w:val="000000"/>
          <w:spacing w:val="-8"/>
        </w:rPr>
      </w:pPr>
      <w:r>
        <w:rPr>
          <w:color w:val="000000"/>
          <w:spacing w:val="-11"/>
        </w:rPr>
        <w:t>proposed order</w:t>
      </w:r>
    </w:p>
    <w:p w:rsidR="00CA561A" w:rsidRPr="00A01571" w:rsidRDefault="00211D02" w:rsidP="00F04612">
      <w:pPr>
        <w:pStyle w:val="BodyText"/>
        <w:spacing w:before="360" w:line="360" w:lineRule="auto"/>
        <w:ind w:firstLine="720"/>
        <w:rPr>
          <w:color w:val="000000"/>
          <w:szCs w:val="24"/>
        </w:rPr>
      </w:pPr>
      <w:r w:rsidRPr="00A01571">
        <w:rPr>
          <w:szCs w:val="24"/>
        </w:rPr>
        <w:t xml:space="preserve">This Order addresses the </w:t>
      </w:r>
      <w:r w:rsidR="000A4FC5">
        <w:rPr>
          <w:szCs w:val="24"/>
        </w:rPr>
        <w:t>request by</w:t>
      </w:r>
      <w:r w:rsidRPr="00A01571">
        <w:rPr>
          <w:szCs w:val="24"/>
        </w:rPr>
        <w:t xml:space="preserve"> </w:t>
      </w:r>
      <w:r w:rsidR="000C70D8">
        <w:rPr>
          <w:szCs w:val="24"/>
        </w:rPr>
        <w:t xml:space="preserve">Ede and Randy Bullock (collectively, </w:t>
      </w:r>
      <w:r w:rsidR="00FA4C66">
        <w:rPr>
          <w:szCs w:val="24"/>
        </w:rPr>
        <w:t xml:space="preserve">the </w:t>
      </w:r>
      <w:r w:rsidR="000C70D8">
        <w:rPr>
          <w:szCs w:val="24"/>
        </w:rPr>
        <w:t>Bullock</w:t>
      </w:r>
      <w:r w:rsidR="00FA4C66">
        <w:rPr>
          <w:szCs w:val="24"/>
        </w:rPr>
        <w:t>s</w:t>
      </w:r>
      <w:r w:rsidR="000C70D8">
        <w:rPr>
          <w:szCs w:val="24"/>
        </w:rPr>
        <w:t>)</w:t>
      </w:r>
      <w:r w:rsidR="00AF2764" w:rsidRPr="00A01571">
        <w:rPr>
          <w:szCs w:val="24"/>
        </w:rPr>
        <w:t xml:space="preserve"> </w:t>
      </w:r>
      <w:r w:rsidR="000A4FC5">
        <w:rPr>
          <w:szCs w:val="24"/>
        </w:rPr>
        <w:t xml:space="preserve">for the </w:t>
      </w:r>
      <w:r w:rsidR="000A4FC5" w:rsidRPr="00A01571">
        <w:rPr>
          <w:color w:val="000000"/>
          <w:szCs w:val="24"/>
        </w:rPr>
        <w:t xml:space="preserve">Public Utility Commission of Texas </w:t>
      </w:r>
      <w:r w:rsidR="000A4FC5">
        <w:rPr>
          <w:szCs w:val="24"/>
        </w:rPr>
        <w:t>(Commission) to investigate</w:t>
      </w:r>
      <w:r w:rsidR="00AF2764" w:rsidRPr="00A01571">
        <w:rPr>
          <w:szCs w:val="24"/>
        </w:rPr>
        <w:t xml:space="preserve"> </w:t>
      </w:r>
      <w:r w:rsidR="000C70D8">
        <w:rPr>
          <w:szCs w:val="24"/>
        </w:rPr>
        <w:t>RCH</w:t>
      </w:r>
      <w:r w:rsidR="00A4081C" w:rsidRPr="00A4081C">
        <w:rPr>
          <w:szCs w:val="24"/>
        </w:rPr>
        <w:t xml:space="preserve"> Water Supply Corporation</w:t>
      </w:r>
      <w:r w:rsidR="00A4081C" w:rsidRPr="00A01571">
        <w:rPr>
          <w:szCs w:val="24"/>
        </w:rPr>
        <w:t xml:space="preserve"> </w:t>
      </w:r>
      <w:r w:rsidR="00AF2764" w:rsidRPr="00A01571">
        <w:rPr>
          <w:szCs w:val="24"/>
        </w:rPr>
        <w:t>(</w:t>
      </w:r>
      <w:r w:rsidR="000C70D8">
        <w:rPr>
          <w:szCs w:val="24"/>
        </w:rPr>
        <w:t>RCH</w:t>
      </w:r>
      <w:r w:rsidR="00AF2764" w:rsidRPr="00A01571">
        <w:rPr>
          <w:szCs w:val="24"/>
        </w:rPr>
        <w:t xml:space="preserve">) </w:t>
      </w:r>
      <w:r w:rsidR="000C70D8">
        <w:rPr>
          <w:szCs w:val="24"/>
        </w:rPr>
        <w:t>pursuant to</w:t>
      </w:r>
      <w:r w:rsidR="00AF2764" w:rsidRPr="00A01571">
        <w:rPr>
          <w:szCs w:val="24"/>
        </w:rPr>
        <w:t xml:space="preserve"> </w:t>
      </w:r>
      <w:r w:rsidR="00A30AFE">
        <w:rPr>
          <w:szCs w:val="24"/>
        </w:rPr>
        <w:t>Tex. Water Code</w:t>
      </w:r>
      <w:r w:rsidR="00A4081C">
        <w:rPr>
          <w:szCs w:val="24"/>
        </w:rPr>
        <w:t xml:space="preserve"> </w:t>
      </w:r>
      <w:r w:rsidR="00A01571">
        <w:rPr>
          <w:szCs w:val="24"/>
        </w:rPr>
        <w:t>§</w:t>
      </w:r>
      <w:r w:rsidR="00CC4493" w:rsidRPr="00A01571">
        <w:rPr>
          <w:rStyle w:val="StyleBold"/>
          <w:rFonts w:eastAsia="SimSun"/>
          <w:b w:val="0"/>
          <w:szCs w:val="24"/>
        </w:rPr>
        <w:t> 13.004</w:t>
      </w:r>
      <w:r w:rsidR="00A4081C">
        <w:rPr>
          <w:rStyle w:val="StyleBold"/>
          <w:rFonts w:eastAsia="SimSun"/>
          <w:b w:val="0"/>
          <w:caps w:val="0"/>
          <w:szCs w:val="24"/>
        </w:rPr>
        <w:t xml:space="preserve"> </w:t>
      </w:r>
      <w:r w:rsidR="00A01571" w:rsidRPr="00A01571">
        <w:rPr>
          <w:szCs w:val="24"/>
        </w:rPr>
        <w:t xml:space="preserve">(TWC).  </w:t>
      </w:r>
      <w:r w:rsidR="000A4FC5">
        <w:rPr>
          <w:color w:val="000000"/>
          <w:szCs w:val="24"/>
        </w:rPr>
        <w:t>Commission</w:t>
      </w:r>
      <w:r w:rsidR="00CA561A" w:rsidRPr="00A01571">
        <w:rPr>
          <w:color w:val="000000"/>
          <w:szCs w:val="24"/>
        </w:rPr>
        <w:t xml:space="preserve"> Staff recommended dismissal.  For the reasons discussed in this Order, the </w:t>
      </w:r>
      <w:r w:rsidR="00563E3D">
        <w:rPr>
          <w:color w:val="000000"/>
          <w:szCs w:val="24"/>
        </w:rPr>
        <w:t>request</w:t>
      </w:r>
      <w:r w:rsidR="00CA561A" w:rsidRPr="00A01571">
        <w:rPr>
          <w:color w:val="000000"/>
          <w:szCs w:val="24"/>
        </w:rPr>
        <w:t xml:space="preserve"> is dismissed.</w:t>
      </w:r>
    </w:p>
    <w:p w:rsidR="006B27C6" w:rsidRPr="00B2003A" w:rsidRDefault="006B27C6" w:rsidP="00510D38">
      <w:pPr>
        <w:spacing w:before="240" w:line="360" w:lineRule="auto"/>
        <w:ind w:firstLine="720"/>
        <w:jc w:val="center"/>
        <w:textAlignment w:val="baseline"/>
        <w:rPr>
          <w:b/>
        </w:rPr>
      </w:pPr>
      <w:r>
        <w:rPr>
          <w:b/>
        </w:rPr>
        <w:t>I.</w:t>
      </w:r>
      <w:r>
        <w:rPr>
          <w:b/>
        </w:rPr>
        <w:tab/>
      </w:r>
      <w:r w:rsidRPr="00B2003A">
        <w:rPr>
          <w:b/>
        </w:rPr>
        <w:t>Background</w:t>
      </w:r>
    </w:p>
    <w:p w:rsidR="00080DAE" w:rsidRDefault="006B27C6" w:rsidP="005448AE">
      <w:pPr>
        <w:pStyle w:val="NoFormatting"/>
        <w:spacing w:before="120" w:line="360" w:lineRule="auto"/>
        <w:rPr>
          <w:szCs w:val="24"/>
          <w:lang w:eastAsia="en-US"/>
        </w:rPr>
      </w:pPr>
      <w:r w:rsidRPr="00857460">
        <w:rPr>
          <w:szCs w:val="24"/>
        </w:rPr>
        <w:tab/>
      </w:r>
      <w:r w:rsidR="00A4081C" w:rsidRPr="00857460">
        <w:rPr>
          <w:szCs w:val="24"/>
          <w:lang w:eastAsia="en-US"/>
        </w:rPr>
        <w:t xml:space="preserve">On </w:t>
      </w:r>
      <w:r w:rsidR="004A3462">
        <w:rPr>
          <w:szCs w:val="24"/>
          <w:lang w:eastAsia="en-US"/>
        </w:rPr>
        <w:t>October 14, 2013</w:t>
      </w:r>
      <w:r w:rsidR="00A4081C" w:rsidRPr="00857460">
        <w:rPr>
          <w:szCs w:val="24"/>
          <w:lang w:eastAsia="en-US"/>
        </w:rPr>
        <w:t xml:space="preserve">, </w:t>
      </w:r>
      <w:r w:rsidR="00A67AC1">
        <w:rPr>
          <w:szCs w:val="24"/>
          <w:lang w:eastAsia="en-US"/>
        </w:rPr>
        <w:t xml:space="preserve">the </w:t>
      </w:r>
      <w:r w:rsidR="000C70D8" w:rsidRPr="00857460">
        <w:rPr>
          <w:szCs w:val="24"/>
        </w:rPr>
        <w:t>Bullock</w:t>
      </w:r>
      <w:r w:rsidR="00A67AC1">
        <w:rPr>
          <w:szCs w:val="24"/>
        </w:rPr>
        <w:t>s</w:t>
      </w:r>
      <w:r w:rsidR="000C70D8" w:rsidRPr="00857460">
        <w:rPr>
          <w:szCs w:val="24"/>
        </w:rPr>
        <w:t xml:space="preserve"> filed a </w:t>
      </w:r>
      <w:r w:rsidR="00510D38">
        <w:rPr>
          <w:szCs w:val="24"/>
        </w:rPr>
        <w:t>request</w:t>
      </w:r>
      <w:r w:rsidR="000C70D8" w:rsidRPr="00857460">
        <w:rPr>
          <w:szCs w:val="24"/>
        </w:rPr>
        <w:t xml:space="preserve"> with the Texas Commission on Environmental Quality (TCEQ)</w:t>
      </w:r>
      <w:r w:rsidR="00A4081C" w:rsidRPr="00857460">
        <w:rPr>
          <w:szCs w:val="24"/>
          <w:lang w:eastAsia="en-US"/>
        </w:rPr>
        <w:t xml:space="preserve"> </w:t>
      </w:r>
      <w:r w:rsidR="000A4FC5" w:rsidRPr="00857460">
        <w:rPr>
          <w:szCs w:val="24"/>
          <w:lang w:eastAsia="en-US"/>
        </w:rPr>
        <w:t xml:space="preserve">to </w:t>
      </w:r>
      <w:r w:rsidR="00A4081C" w:rsidRPr="00857460">
        <w:rPr>
          <w:szCs w:val="24"/>
          <w:lang w:eastAsia="en-US"/>
        </w:rPr>
        <w:t xml:space="preserve">investigate </w:t>
      </w:r>
      <w:r w:rsidR="000C70D8" w:rsidRPr="00857460">
        <w:rPr>
          <w:szCs w:val="24"/>
          <w:lang w:eastAsia="en-US"/>
        </w:rPr>
        <w:t>RCH.</w:t>
      </w:r>
      <w:r w:rsidR="00A4448E">
        <w:rPr>
          <w:rStyle w:val="FootnoteReference"/>
          <w:szCs w:val="24"/>
          <w:lang w:eastAsia="en-US"/>
        </w:rPr>
        <w:footnoteReference w:id="1"/>
      </w:r>
      <w:r w:rsidR="00080DAE">
        <w:rPr>
          <w:szCs w:val="24"/>
          <w:lang w:eastAsia="en-US"/>
        </w:rPr>
        <w:t xml:space="preserve">  The Bullocks stated that due to RCH’s continued denial of resolving the issue at hand,</w:t>
      </w:r>
      <w:r w:rsidR="004A3462">
        <w:rPr>
          <w:rStyle w:val="FootnoteReference"/>
          <w:szCs w:val="24"/>
          <w:lang w:eastAsia="en-US"/>
        </w:rPr>
        <w:footnoteReference w:id="2"/>
      </w:r>
      <w:r w:rsidR="00080DAE">
        <w:rPr>
          <w:szCs w:val="24"/>
          <w:lang w:eastAsia="en-US"/>
        </w:rPr>
        <w:t xml:space="preserve"> they were left with no alternative but to request an investigation of </w:t>
      </w:r>
      <w:r w:rsidR="002730FB">
        <w:rPr>
          <w:szCs w:val="24"/>
          <w:lang w:eastAsia="en-US"/>
        </w:rPr>
        <w:t>RCH</w:t>
      </w:r>
      <w:r w:rsidR="00080DAE">
        <w:rPr>
          <w:szCs w:val="24"/>
          <w:lang w:eastAsia="en-US"/>
        </w:rPr>
        <w:t xml:space="preserve"> under the Texas Water Code</w:t>
      </w:r>
      <w:r w:rsidR="00950D3D">
        <w:rPr>
          <w:szCs w:val="24"/>
          <w:lang w:eastAsia="en-US"/>
        </w:rPr>
        <w:t xml:space="preserve"> (TWC)</w:t>
      </w:r>
      <w:r w:rsidR="00080DAE">
        <w:rPr>
          <w:szCs w:val="24"/>
          <w:lang w:eastAsia="en-US"/>
        </w:rPr>
        <w:t>.</w:t>
      </w:r>
      <w:r w:rsidR="00080DAE">
        <w:rPr>
          <w:rStyle w:val="FootnoteReference"/>
          <w:szCs w:val="24"/>
          <w:lang w:eastAsia="en-US"/>
        </w:rPr>
        <w:footnoteReference w:id="3"/>
      </w:r>
      <w:r w:rsidR="000C70D8" w:rsidRPr="00857460">
        <w:rPr>
          <w:szCs w:val="24"/>
          <w:lang w:eastAsia="en-US"/>
        </w:rPr>
        <w:t xml:space="preserve"> </w:t>
      </w:r>
      <w:r w:rsidR="00950D3D">
        <w:rPr>
          <w:szCs w:val="24"/>
          <w:lang w:eastAsia="en-US"/>
        </w:rPr>
        <w:t xml:space="preserve"> The Bullocks</w:t>
      </w:r>
      <w:r w:rsidR="00045141">
        <w:rPr>
          <w:szCs w:val="24"/>
          <w:lang w:eastAsia="en-US"/>
        </w:rPr>
        <w:t xml:space="preserve"> listed</w:t>
      </w:r>
      <w:r w:rsidR="00950D3D">
        <w:rPr>
          <w:szCs w:val="24"/>
          <w:lang w:eastAsia="en-US"/>
        </w:rPr>
        <w:t xml:space="preserve"> several </w:t>
      </w:r>
      <w:proofErr w:type="gramStart"/>
      <w:r w:rsidR="00950D3D">
        <w:rPr>
          <w:szCs w:val="24"/>
          <w:lang w:eastAsia="en-US"/>
        </w:rPr>
        <w:t>sections</w:t>
      </w:r>
      <w:proofErr w:type="gramEnd"/>
      <w:r w:rsidR="00950D3D">
        <w:rPr>
          <w:szCs w:val="24"/>
          <w:lang w:eastAsia="en-US"/>
        </w:rPr>
        <w:t xml:space="preserve"> of the TWC</w:t>
      </w:r>
      <w:r w:rsidR="00045141">
        <w:rPr>
          <w:szCs w:val="24"/>
          <w:lang w:eastAsia="en-US"/>
        </w:rPr>
        <w:t>; including Chapter 67, §</w:t>
      </w:r>
      <w:r w:rsidR="00FA4C66">
        <w:rPr>
          <w:szCs w:val="24"/>
          <w:lang w:eastAsia="en-US"/>
        </w:rPr>
        <w:t>§</w:t>
      </w:r>
      <w:r w:rsidR="00045141">
        <w:rPr>
          <w:szCs w:val="24"/>
          <w:lang w:eastAsia="en-US"/>
        </w:rPr>
        <w:t xml:space="preserve"> 13.002(11) and (24), and § 13.004.</w:t>
      </w:r>
      <w:r w:rsidR="00045141">
        <w:rPr>
          <w:rStyle w:val="FootnoteReference"/>
          <w:szCs w:val="24"/>
          <w:lang w:eastAsia="en-US"/>
        </w:rPr>
        <w:footnoteReference w:id="4"/>
      </w:r>
      <w:r w:rsidR="001F5663">
        <w:rPr>
          <w:szCs w:val="24"/>
          <w:lang w:eastAsia="en-US"/>
        </w:rPr>
        <w:t xml:space="preserve">  In an October </w:t>
      </w:r>
      <w:r w:rsidR="00FA4C66">
        <w:rPr>
          <w:szCs w:val="24"/>
          <w:lang w:eastAsia="en-US"/>
        </w:rPr>
        <w:t>14, 2013 email with TCEQ that was attached to the investigation request, Randy Bullock stated that they were paying their monthly bill from RCH before the due date, but that the utility had indicated their water was going to be cut off for nonpayment and that RCH was refusing to cash the Bullocks’ checks.</w:t>
      </w:r>
      <w:r w:rsidR="00FA4C66">
        <w:rPr>
          <w:rStyle w:val="FootnoteReference"/>
          <w:szCs w:val="24"/>
          <w:lang w:eastAsia="en-US"/>
        </w:rPr>
        <w:footnoteReference w:id="5"/>
      </w:r>
    </w:p>
    <w:p w:rsidR="00981FDD" w:rsidRDefault="00A4448E" w:rsidP="005658E3">
      <w:pPr>
        <w:pStyle w:val="NoFormatting"/>
        <w:spacing w:before="120" w:line="360" w:lineRule="auto"/>
        <w:ind w:firstLine="720"/>
        <w:rPr>
          <w:szCs w:val="24"/>
          <w:lang w:eastAsia="en-US"/>
        </w:rPr>
      </w:pPr>
      <w:r>
        <w:rPr>
          <w:szCs w:val="24"/>
          <w:lang w:eastAsia="en-US"/>
        </w:rPr>
        <w:t xml:space="preserve">On November 12, 2013, TCEQ sent a </w:t>
      </w:r>
      <w:r w:rsidR="00950D3D">
        <w:rPr>
          <w:szCs w:val="24"/>
          <w:lang w:eastAsia="en-US"/>
        </w:rPr>
        <w:t>notice of violation</w:t>
      </w:r>
      <w:r w:rsidR="001F5663">
        <w:rPr>
          <w:szCs w:val="24"/>
          <w:lang w:eastAsia="en-US"/>
        </w:rPr>
        <w:t xml:space="preserve"> (NOV)</w:t>
      </w:r>
      <w:r>
        <w:rPr>
          <w:szCs w:val="24"/>
          <w:lang w:eastAsia="en-US"/>
        </w:rPr>
        <w:t xml:space="preserve"> </w:t>
      </w:r>
      <w:r w:rsidR="00045141">
        <w:rPr>
          <w:szCs w:val="24"/>
          <w:lang w:eastAsia="en-US"/>
        </w:rPr>
        <w:t xml:space="preserve">to </w:t>
      </w:r>
      <w:r>
        <w:rPr>
          <w:szCs w:val="24"/>
          <w:lang w:eastAsia="en-US"/>
        </w:rPr>
        <w:t xml:space="preserve">RCH </w:t>
      </w:r>
      <w:r w:rsidR="00045141">
        <w:rPr>
          <w:szCs w:val="24"/>
          <w:lang w:eastAsia="en-US"/>
        </w:rPr>
        <w:t xml:space="preserve">advising </w:t>
      </w:r>
      <w:r>
        <w:rPr>
          <w:szCs w:val="24"/>
          <w:lang w:eastAsia="en-US"/>
        </w:rPr>
        <w:t xml:space="preserve">that it had come to the agency’s attention that </w:t>
      </w:r>
      <w:r w:rsidR="00080DAE">
        <w:rPr>
          <w:szCs w:val="24"/>
          <w:lang w:eastAsia="en-US"/>
        </w:rPr>
        <w:t xml:space="preserve">the utility </w:t>
      </w:r>
      <w:r>
        <w:rPr>
          <w:szCs w:val="24"/>
          <w:lang w:eastAsia="en-US"/>
        </w:rPr>
        <w:t xml:space="preserve">might be in violation </w:t>
      </w:r>
      <w:r w:rsidR="00981FDD">
        <w:rPr>
          <w:szCs w:val="24"/>
          <w:lang w:eastAsia="en-US"/>
        </w:rPr>
        <w:t xml:space="preserve">of </w:t>
      </w:r>
      <w:r>
        <w:rPr>
          <w:szCs w:val="24"/>
          <w:lang w:eastAsia="en-US"/>
        </w:rPr>
        <w:t xml:space="preserve">what is now 16 Tex. </w:t>
      </w:r>
      <w:r>
        <w:rPr>
          <w:szCs w:val="24"/>
          <w:lang w:eastAsia="en-US"/>
        </w:rPr>
        <w:lastRenderedPageBreak/>
        <w:t xml:space="preserve">Admin. Code § 24.87 (TAC), </w:t>
      </w:r>
      <w:r w:rsidR="00FA4C66">
        <w:rPr>
          <w:szCs w:val="24"/>
          <w:lang w:eastAsia="en-US"/>
        </w:rPr>
        <w:t>which relates</w:t>
      </w:r>
      <w:r>
        <w:rPr>
          <w:szCs w:val="24"/>
          <w:lang w:eastAsia="en-US"/>
        </w:rPr>
        <w:t xml:space="preserve"> to billing by utilities.</w:t>
      </w:r>
      <w:r w:rsidR="00080DAE">
        <w:rPr>
          <w:rStyle w:val="FootnoteReference"/>
          <w:szCs w:val="24"/>
          <w:lang w:eastAsia="en-US"/>
        </w:rPr>
        <w:footnoteReference w:id="6"/>
      </w:r>
      <w:r>
        <w:rPr>
          <w:szCs w:val="24"/>
          <w:lang w:eastAsia="en-US"/>
        </w:rPr>
        <w:t xml:space="preserve">  </w:t>
      </w:r>
      <w:r w:rsidR="00950D3D">
        <w:rPr>
          <w:szCs w:val="24"/>
          <w:lang w:eastAsia="en-US"/>
        </w:rPr>
        <w:t>TCEQ reminded RCH of its policy regarding the collection of late fees and that a customer’s bill could no</w:t>
      </w:r>
      <w:r w:rsidR="00045141">
        <w:rPr>
          <w:szCs w:val="24"/>
          <w:lang w:eastAsia="en-US"/>
        </w:rPr>
        <w:t xml:space="preserve">t be subject to discontinuance </w:t>
      </w:r>
      <w:r w:rsidR="00950D3D">
        <w:rPr>
          <w:szCs w:val="24"/>
          <w:lang w:eastAsia="en-US"/>
        </w:rPr>
        <w:t>for nonpayment for that portion of the bill that was disputed.</w:t>
      </w:r>
      <w:r w:rsidR="00950D3D">
        <w:rPr>
          <w:rStyle w:val="FootnoteReference"/>
          <w:szCs w:val="24"/>
          <w:lang w:eastAsia="en-US"/>
        </w:rPr>
        <w:footnoteReference w:id="7"/>
      </w:r>
      <w:r w:rsidR="00950D3D">
        <w:rPr>
          <w:szCs w:val="24"/>
          <w:lang w:eastAsia="en-US"/>
        </w:rPr>
        <w:t xml:space="preserve">  TCEQ </w:t>
      </w:r>
      <w:r>
        <w:rPr>
          <w:szCs w:val="24"/>
          <w:lang w:eastAsia="en-US"/>
        </w:rPr>
        <w:t>instructed RCH to provide a copy of its ta</w:t>
      </w:r>
      <w:r w:rsidR="00FA4C66">
        <w:rPr>
          <w:szCs w:val="24"/>
          <w:lang w:eastAsia="en-US"/>
        </w:rPr>
        <w:t>riff and respond to the Bullock</w:t>
      </w:r>
      <w:r>
        <w:rPr>
          <w:szCs w:val="24"/>
          <w:lang w:eastAsia="en-US"/>
        </w:rPr>
        <w:t>s</w:t>
      </w:r>
      <w:r w:rsidR="00FA4C66">
        <w:rPr>
          <w:szCs w:val="24"/>
          <w:lang w:eastAsia="en-US"/>
        </w:rPr>
        <w:t>’</w:t>
      </w:r>
      <w:r>
        <w:rPr>
          <w:szCs w:val="24"/>
          <w:lang w:eastAsia="en-US"/>
        </w:rPr>
        <w:t xml:space="preserve"> allegations</w:t>
      </w:r>
      <w:r w:rsidR="00950D3D">
        <w:rPr>
          <w:szCs w:val="24"/>
          <w:lang w:eastAsia="en-US"/>
        </w:rPr>
        <w:t>, or risk referral to TCEQ’s enforcement division</w:t>
      </w:r>
      <w:r>
        <w:rPr>
          <w:szCs w:val="24"/>
          <w:lang w:eastAsia="en-US"/>
        </w:rPr>
        <w:t>.</w:t>
      </w:r>
      <w:r w:rsidR="00080DAE">
        <w:rPr>
          <w:rStyle w:val="FootnoteReference"/>
          <w:szCs w:val="24"/>
          <w:lang w:eastAsia="en-US"/>
        </w:rPr>
        <w:footnoteReference w:id="8"/>
      </w:r>
      <w:r>
        <w:rPr>
          <w:szCs w:val="24"/>
          <w:lang w:eastAsia="en-US"/>
        </w:rPr>
        <w:t xml:space="preserve">  </w:t>
      </w:r>
      <w:r w:rsidR="000C70D8" w:rsidRPr="00857460">
        <w:rPr>
          <w:szCs w:val="24"/>
          <w:lang w:eastAsia="en-US"/>
        </w:rPr>
        <w:t xml:space="preserve">On November 26, 2013, TCEQ accepted the </w:t>
      </w:r>
      <w:r w:rsidR="00FA4C66">
        <w:rPr>
          <w:szCs w:val="24"/>
          <w:lang w:eastAsia="en-US"/>
        </w:rPr>
        <w:t>Bullock</w:t>
      </w:r>
      <w:r>
        <w:rPr>
          <w:szCs w:val="24"/>
          <w:lang w:eastAsia="en-US"/>
        </w:rPr>
        <w:t>s</w:t>
      </w:r>
      <w:r w:rsidR="00FA4C66">
        <w:rPr>
          <w:szCs w:val="24"/>
          <w:lang w:eastAsia="en-US"/>
        </w:rPr>
        <w:t>’</w:t>
      </w:r>
      <w:r>
        <w:rPr>
          <w:szCs w:val="24"/>
          <w:lang w:eastAsia="en-US"/>
        </w:rPr>
        <w:t xml:space="preserve"> </w:t>
      </w:r>
      <w:r w:rsidR="00510D38">
        <w:rPr>
          <w:szCs w:val="24"/>
          <w:lang w:eastAsia="en-US"/>
        </w:rPr>
        <w:t>request</w:t>
      </w:r>
      <w:r w:rsidR="000C70D8" w:rsidRPr="00857460">
        <w:rPr>
          <w:szCs w:val="24"/>
          <w:lang w:eastAsia="en-US"/>
        </w:rPr>
        <w:t xml:space="preserve"> for filing.</w:t>
      </w:r>
      <w:r w:rsidR="00080DAE">
        <w:rPr>
          <w:rStyle w:val="FootnoteReference"/>
          <w:szCs w:val="24"/>
          <w:lang w:eastAsia="en-US"/>
        </w:rPr>
        <w:footnoteReference w:id="9"/>
      </w:r>
      <w:r w:rsidR="00857460" w:rsidRPr="00857460">
        <w:rPr>
          <w:szCs w:val="24"/>
          <w:lang w:eastAsia="en-US"/>
        </w:rPr>
        <w:t xml:space="preserve">  </w:t>
      </w:r>
    </w:p>
    <w:p w:rsidR="00080DAE" w:rsidRPr="00080DAE" w:rsidRDefault="00637895" w:rsidP="005658E3">
      <w:pPr>
        <w:pStyle w:val="NoFormatting"/>
        <w:spacing w:before="120" w:line="360" w:lineRule="auto"/>
        <w:ind w:firstLine="720"/>
        <w:rPr>
          <w:color w:val="000000"/>
        </w:rPr>
      </w:pPr>
      <w:r>
        <w:rPr>
          <w:color w:val="000000"/>
        </w:rPr>
        <w:t>On December 10</w:t>
      </w:r>
      <w:r w:rsidR="007A794F">
        <w:rPr>
          <w:color w:val="000000"/>
        </w:rPr>
        <w:t xml:space="preserve">, 2013, </w:t>
      </w:r>
      <w:r w:rsidR="00A4448E">
        <w:rPr>
          <w:color w:val="000000"/>
        </w:rPr>
        <w:t xml:space="preserve">RCH responded to TCEQ’s </w:t>
      </w:r>
      <w:r w:rsidR="001F5663">
        <w:rPr>
          <w:color w:val="000000"/>
        </w:rPr>
        <w:t>NOV</w:t>
      </w:r>
      <w:r w:rsidR="00A4448E">
        <w:rPr>
          <w:color w:val="000000"/>
        </w:rPr>
        <w:t xml:space="preserve">, stating that </w:t>
      </w:r>
      <w:r>
        <w:rPr>
          <w:color w:val="000000"/>
        </w:rPr>
        <w:t xml:space="preserve">a copy of RCH’s tariff would be forwarded to TCEQ and that </w:t>
      </w:r>
      <w:r w:rsidR="00A4448E">
        <w:rPr>
          <w:color w:val="000000"/>
        </w:rPr>
        <w:t>it was impossible fo</w:t>
      </w:r>
      <w:r w:rsidR="00FA4C66">
        <w:rPr>
          <w:color w:val="000000"/>
        </w:rPr>
        <w:t>r RCH to respond to the Bullock</w:t>
      </w:r>
      <w:r w:rsidR="00A4448E">
        <w:rPr>
          <w:color w:val="000000"/>
        </w:rPr>
        <w:t>s</w:t>
      </w:r>
      <w:r w:rsidR="00FA4C66">
        <w:rPr>
          <w:color w:val="000000"/>
        </w:rPr>
        <w:t>’</w:t>
      </w:r>
      <w:r w:rsidR="00A4448E">
        <w:rPr>
          <w:color w:val="000000"/>
        </w:rPr>
        <w:t xml:space="preserve"> allegations because there were not sufficient facts to determine what TCEQ regulation had been violated</w:t>
      </w:r>
      <w:r w:rsidR="007A794F">
        <w:rPr>
          <w:color w:val="000000"/>
        </w:rPr>
        <w:t>.</w:t>
      </w:r>
      <w:r w:rsidR="00950D3D">
        <w:rPr>
          <w:rStyle w:val="FootnoteReference"/>
          <w:color w:val="000000"/>
        </w:rPr>
        <w:footnoteReference w:id="10"/>
      </w:r>
      <w:r w:rsidR="00080DAE">
        <w:rPr>
          <w:color w:val="000000"/>
        </w:rPr>
        <w:t xml:space="preserve">  On January 3, 201</w:t>
      </w:r>
      <w:r w:rsidR="000C4FF4">
        <w:rPr>
          <w:color w:val="000000"/>
        </w:rPr>
        <w:t>4</w:t>
      </w:r>
      <w:r w:rsidR="00080DAE">
        <w:rPr>
          <w:color w:val="000000"/>
        </w:rPr>
        <w:t xml:space="preserve">, TCEQ issued a final </w:t>
      </w:r>
      <w:r w:rsidR="001F5663">
        <w:rPr>
          <w:color w:val="000000"/>
        </w:rPr>
        <w:t>NOV</w:t>
      </w:r>
      <w:r w:rsidR="00080DAE">
        <w:rPr>
          <w:color w:val="000000"/>
        </w:rPr>
        <w:t xml:space="preserve"> to RCH, stating that it had not received a copy of RCH’s current tariff or a response to the Bullock’s allegations.</w:t>
      </w:r>
      <w:r w:rsidR="00950D3D">
        <w:rPr>
          <w:rStyle w:val="FootnoteReference"/>
          <w:color w:val="000000"/>
        </w:rPr>
        <w:footnoteReference w:id="11"/>
      </w:r>
      <w:r w:rsidR="00080DAE">
        <w:rPr>
          <w:color w:val="000000"/>
        </w:rPr>
        <w:t xml:space="preserve">  </w:t>
      </w:r>
      <w:r w:rsidR="00045141">
        <w:rPr>
          <w:color w:val="000000"/>
        </w:rPr>
        <w:t xml:space="preserve">TCEQ </w:t>
      </w:r>
      <w:r w:rsidR="00981FDD">
        <w:rPr>
          <w:color w:val="000000"/>
        </w:rPr>
        <w:t>stated</w:t>
      </w:r>
      <w:r w:rsidR="004F5794">
        <w:rPr>
          <w:color w:val="000000"/>
        </w:rPr>
        <w:t xml:space="preserve"> that</w:t>
      </w:r>
      <w:r w:rsidR="00981FDD">
        <w:rPr>
          <w:color w:val="000000"/>
        </w:rPr>
        <w:t xml:space="preserve"> </w:t>
      </w:r>
      <w:r w:rsidR="00045141">
        <w:rPr>
          <w:color w:val="000000"/>
        </w:rPr>
        <w:t xml:space="preserve">failure to provide the requested information would result in referral to enforcement and stated that pursuant to TWC § 13.131(e), the agency could examine and audit all accounts of </w:t>
      </w:r>
      <w:r w:rsidR="002730FB">
        <w:rPr>
          <w:color w:val="000000"/>
        </w:rPr>
        <w:t>a</w:t>
      </w:r>
      <w:r w:rsidR="00045141">
        <w:rPr>
          <w:color w:val="000000"/>
        </w:rPr>
        <w:t xml:space="preserve"> utility</w:t>
      </w:r>
      <w:r w:rsidR="00981FDD">
        <w:rPr>
          <w:color w:val="000000"/>
        </w:rPr>
        <w:t>, stating</w:t>
      </w:r>
      <w:r w:rsidR="00045141">
        <w:rPr>
          <w:color w:val="000000"/>
        </w:rPr>
        <w:t xml:space="preserve"> that RCH may be contacted to schedule an audit of its books and records by TCEQ staff.</w:t>
      </w:r>
      <w:r w:rsidR="00045141">
        <w:rPr>
          <w:rStyle w:val="FootnoteReference"/>
          <w:color w:val="000000"/>
        </w:rPr>
        <w:footnoteReference w:id="12"/>
      </w:r>
      <w:r>
        <w:rPr>
          <w:color w:val="000000"/>
        </w:rPr>
        <w:t xml:space="preserve">  A copy of RCH’s tariff, effective in December 1997, was received by the Commission on September 15, 2014.</w:t>
      </w:r>
      <w:r>
        <w:rPr>
          <w:rStyle w:val="FootnoteReference"/>
          <w:color w:val="000000"/>
        </w:rPr>
        <w:footnoteReference w:id="13"/>
      </w:r>
    </w:p>
    <w:p w:rsidR="00F445B6" w:rsidRDefault="000B65FC" w:rsidP="00F81903">
      <w:pPr>
        <w:autoSpaceDE w:val="0"/>
        <w:autoSpaceDN w:val="0"/>
        <w:adjustRightInd w:val="0"/>
        <w:spacing w:before="120" w:line="360" w:lineRule="auto"/>
        <w:ind w:firstLine="720"/>
        <w:rPr>
          <w:szCs w:val="24"/>
          <w:lang w:eastAsia="en-US"/>
        </w:rPr>
      </w:pPr>
      <w:r>
        <w:rPr>
          <w:szCs w:val="24"/>
          <w:lang w:eastAsia="en-US"/>
        </w:rPr>
        <w:t>On July 8, 2014, the Bullock’s attorney, Mr. James R. Ray, sent a letter to RCH’s attorney.</w:t>
      </w:r>
      <w:r>
        <w:rPr>
          <w:rStyle w:val="FootnoteReference"/>
          <w:szCs w:val="24"/>
          <w:lang w:eastAsia="en-US"/>
        </w:rPr>
        <w:footnoteReference w:id="14"/>
      </w:r>
      <w:r w:rsidR="00F445B6">
        <w:rPr>
          <w:szCs w:val="24"/>
          <w:lang w:eastAsia="en-US"/>
        </w:rPr>
        <w:t xml:space="preserve">  Mr. Ray stated </w:t>
      </w:r>
      <w:r w:rsidR="00981FDD">
        <w:rPr>
          <w:szCs w:val="24"/>
          <w:lang w:eastAsia="en-US"/>
        </w:rPr>
        <w:t xml:space="preserve">that </w:t>
      </w:r>
      <w:r w:rsidR="00F445B6">
        <w:rPr>
          <w:szCs w:val="24"/>
          <w:lang w:eastAsia="en-US"/>
        </w:rPr>
        <w:t>in August 2013, Mr. Bullock formally initiated the grievance procedures described in RCH’s tariff.</w:t>
      </w:r>
      <w:r w:rsidR="00F445B6">
        <w:rPr>
          <w:rStyle w:val="FootnoteReference"/>
          <w:szCs w:val="24"/>
          <w:lang w:eastAsia="en-US"/>
        </w:rPr>
        <w:footnoteReference w:id="15"/>
      </w:r>
      <w:r w:rsidR="00F445B6">
        <w:rPr>
          <w:szCs w:val="24"/>
          <w:lang w:eastAsia="en-US"/>
        </w:rPr>
        <w:t xml:space="preserve">   Mr. Ray stated that RCH did not respond to </w:t>
      </w:r>
      <w:r w:rsidR="00981FDD">
        <w:rPr>
          <w:szCs w:val="24"/>
          <w:lang w:eastAsia="en-US"/>
        </w:rPr>
        <w:t>Mr.</w:t>
      </w:r>
      <w:r w:rsidR="00F445B6">
        <w:rPr>
          <w:szCs w:val="24"/>
          <w:lang w:eastAsia="en-US"/>
        </w:rPr>
        <w:t xml:space="preserve"> Bullock’s grievance letter and has done nothing to address the Bullocks’ concerns.</w:t>
      </w:r>
      <w:r w:rsidR="00F445B6">
        <w:rPr>
          <w:rStyle w:val="FootnoteReference"/>
          <w:szCs w:val="24"/>
          <w:lang w:eastAsia="en-US"/>
        </w:rPr>
        <w:footnoteReference w:id="16"/>
      </w:r>
      <w:r w:rsidR="00F445B6">
        <w:rPr>
          <w:szCs w:val="24"/>
          <w:lang w:eastAsia="en-US"/>
        </w:rPr>
        <w:t xml:space="preserve">  Mr. Ray stated that since August 2013, Mr. Bullock has regularly made timely payments to RCH for his </w:t>
      </w:r>
      <w:r w:rsidR="00981FDD">
        <w:rPr>
          <w:szCs w:val="24"/>
          <w:lang w:eastAsia="en-US"/>
        </w:rPr>
        <w:t xml:space="preserve">current </w:t>
      </w:r>
      <w:r w:rsidR="00DB1BE2">
        <w:rPr>
          <w:szCs w:val="24"/>
          <w:lang w:eastAsia="en-US"/>
        </w:rPr>
        <w:t xml:space="preserve">water service, but </w:t>
      </w:r>
      <w:r w:rsidR="00F445B6">
        <w:rPr>
          <w:szCs w:val="24"/>
          <w:lang w:eastAsia="en-US"/>
        </w:rPr>
        <w:t xml:space="preserve">that RCH has refused to cash </w:t>
      </w:r>
      <w:r w:rsidR="00DB1BE2">
        <w:rPr>
          <w:szCs w:val="24"/>
          <w:lang w:eastAsia="en-US"/>
        </w:rPr>
        <w:t xml:space="preserve">Mr. Bullock’s checks </w:t>
      </w:r>
      <w:r w:rsidR="00F445B6">
        <w:rPr>
          <w:szCs w:val="24"/>
          <w:lang w:eastAsia="en-US"/>
        </w:rPr>
        <w:t>and further, that RCH continues to charge Mr. Bullock a late fee each month.</w:t>
      </w:r>
      <w:r w:rsidR="00F445B6">
        <w:rPr>
          <w:rStyle w:val="FootnoteReference"/>
          <w:szCs w:val="24"/>
          <w:lang w:eastAsia="en-US"/>
        </w:rPr>
        <w:footnoteReference w:id="17"/>
      </w:r>
      <w:r w:rsidR="00F445B6">
        <w:rPr>
          <w:szCs w:val="24"/>
          <w:lang w:eastAsia="en-US"/>
        </w:rPr>
        <w:t xml:space="preserve">  Mr. Ray stated that if the matter is not resolved, the Bullocks would be filing suit in court.</w:t>
      </w:r>
      <w:r w:rsidR="00F445B6">
        <w:rPr>
          <w:rStyle w:val="FootnoteReference"/>
          <w:szCs w:val="24"/>
          <w:lang w:eastAsia="en-US"/>
        </w:rPr>
        <w:footnoteReference w:id="18"/>
      </w:r>
      <w:r w:rsidR="00F445B6">
        <w:rPr>
          <w:szCs w:val="24"/>
          <w:lang w:eastAsia="en-US"/>
        </w:rPr>
        <w:t xml:space="preserve">  </w:t>
      </w:r>
      <w:r w:rsidR="00B05290">
        <w:rPr>
          <w:szCs w:val="24"/>
          <w:lang w:eastAsia="en-US"/>
        </w:rPr>
        <w:t>Mr. Ray stated that RCH has disregarded its obligations under the utility’s tariff and bylaws.</w:t>
      </w:r>
      <w:r w:rsidR="00B05290">
        <w:rPr>
          <w:rStyle w:val="FootnoteReference"/>
          <w:szCs w:val="24"/>
          <w:lang w:eastAsia="en-US"/>
        </w:rPr>
        <w:footnoteReference w:id="19"/>
      </w:r>
      <w:r w:rsidR="00B05290">
        <w:rPr>
          <w:szCs w:val="24"/>
          <w:lang w:eastAsia="en-US"/>
        </w:rPr>
        <w:t xml:space="preserve">  </w:t>
      </w:r>
      <w:r w:rsidR="00F445B6">
        <w:rPr>
          <w:szCs w:val="24"/>
          <w:lang w:eastAsia="en-US"/>
        </w:rPr>
        <w:t xml:space="preserve">Mr. Ray stated that </w:t>
      </w:r>
      <w:r w:rsidR="00B05290">
        <w:rPr>
          <w:szCs w:val="24"/>
          <w:lang w:eastAsia="en-US"/>
        </w:rPr>
        <w:t xml:space="preserve">for several years </w:t>
      </w:r>
      <w:r w:rsidR="00F445B6">
        <w:rPr>
          <w:szCs w:val="24"/>
          <w:lang w:eastAsia="en-US"/>
        </w:rPr>
        <w:t>RCH has</w:t>
      </w:r>
      <w:r w:rsidR="001F5663">
        <w:rPr>
          <w:szCs w:val="24"/>
          <w:lang w:eastAsia="en-US"/>
        </w:rPr>
        <w:t xml:space="preserve"> failed to give at least 15</w:t>
      </w:r>
      <w:r w:rsidR="00F445B6">
        <w:rPr>
          <w:szCs w:val="24"/>
          <w:lang w:eastAsia="en-US"/>
        </w:rPr>
        <w:t xml:space="preserve"> days written notice of its annual meeting </w:t>
      </w:r>
      <w:r w:rsidR="00B05290">
        <w:rPr>
          <w:szCs w:val="24"/>
          <w:lang w:eastAsia="en-US"/>
        </w:rPr>
        <w:t>of its member</w:t>
      </w:r>
      <w:r w:rsidR="00981FDD">
        <w:rPr>
          <w:szCs w:val="24"/>
          <w:lang w:eastAsia="en-US"/>
        </w:rPr>
        <w:t>s</w:t>
      </w:r>
      <w:r w:rsidR="00F445B6">
        <w:rPr>
          <w:szCs w:val="24"/>
          <w:lang w:eastAsia="en-US"/>
        </w:rPr>
        <w:t>.</w:t>
      </w:r>
      <w:r w:rsidR="00F445B6">
        <w:rPr>
          <w:rStyle w:val="FootnoteReference"/>
          <w:szCs w:val="24"/>
          <w:lang w:eastAsia="en-US"/>
        </w:rPr>
        <w:footnoteReference w:id="20"/>
      </w:r>
      <w:r w:rsidR="00B05290">
        <w:rPr>
          <w:szCs w:val="24"/>
          <w:lang w:eastAsia="en-US"/>
        </w:rPr>
        <w:t xml:space="preserve">  Further, that the utility is subject to the Texas Open Meetings Act, which </w:t>
      </w:r>
      <w:r w:rsidR="00637895">
        <w:rPr>
          <w:szCs w:val="24"/>
          <w:lang w:eastAsia="en-US"/>
        </w:rPr>
        <w:t xml:space="preserve">he stated, </w:t>
      </w:r>
      <w:r w:rsidR="00B05290">
        <w:rPr>
          <w:szCs w:val="24"/>
          <w:lang w:eastAsia="en-US"/>
        </w:rPr>
        <w:t>has certainly been violated.</w:t>
      </w:r>
      <w:r w:rsidR="00B05290">
        <w:rPr>
          <w:rStyle w:val="FootnoteReference"/>
          <w:szCs w:val="24"/>
          <w:lang w:eastAsia="en-US"/>
        </w:rPr>
        <w:footnoteReference w:id="21"/>
      </w:r>
    </w:p>
    <w:p w:rsidR="009157D8" w:rsidRDefault="00857460" w:rsidP="00DB1BE2">
      <w:pPr>
        <w:autoSpaceDE w:val="0"/>
        <w:autoSpaceDN w:val="0"/>
        <w:adjustRightInd w:val="0"/>
        <w:spacing w:before="120" w:line="360" w:lineRule="auto"/>
        <w:ind w:firstLine="720"/>
        <w:rPr>
          <w:szCs w:val="24"/>
          <w:lang w:eastAsia="en-US"/>
        </w:rPr>
      </w:pPr>
      <w:r>
        <w:rPr>
          <w:szCs w:val="24"/>
          <w:lang w:eastAsia="en-US"/>
        </w:rPr>
        <w:t>On</w:t>
      </w:r>
      <w:r w:rsidRPr="00857460">
        <w:rPr>
          <w:szCs w:val="24"/>
          <w:lang w:eastAsia="en-US"/>
        </w:rPr>
        <w:t xml:space="preserve"> September 1, 2014, the economic regulation of water and </w:t>
      </w:r>
      <w:r w:rsidR="009157D8">
        <w:rPr>
          <w:szCs w:val="24"/>
          <w:lang w:eastAsia="en-US"/>
        </w:rPr>
        <w:t>sewer</w:t>
      </w:r>
      <w:r w:rsidRPr="00857460">
        <w:rPr>
          <w:szCs w:val="24"/>
          <w:lang w:eastAsia="en-US"/>
        </w:rPr>
        <w:t xml:space="preserve"> utilities</w:t>
      </w:r>
      <w:r>
        <w:rPr>
          <w:szCs w:val="24"/>
          <w:lang w:eastAsia="en-US"/>
        </w:rPr>
        <w:t xml:space="preserve"> </w:t>
      </w:r>
      <w:r w:rsidR="00B05290">
        <w:rPr>
          <w:szCs w:val="24"/>
          <w:lang w:eastAsia="en-US"/>
        </w:rPr>
        <w:t>transfe</w:t>
      </w:r>
      <w:r w:rsidRPr="00857460">
        <w:rPr>
          <w:szCs w:val="24"/>
          <w:lang w:eastAsia="en-US"/>
        </w:rPr>
        <w:t>r</w:t>
      </w:r>
      <w:r w:rsidR="00B05290">
        <w:rPr>
          <w:szCs w:val="24"/>
          <w:lang w:eastAsia="en-US"/>
        </w:rPr>
        <w:t>r</w:t>
      </w:r>
      <w:r w:rsidRPr="00857460">
        <w:rPr>
          <w:szCs w:val="24"/>
          <w:lang w:eastAsia="en-US"/>
        </w:rPr>
        <w:t xml:space="preserve">ed to the </w:t>
      </w:r>
      <w:r>
        <w:rPr>
          <w:szCs w:val="24"/>
          <w:lang w:eastAsia="en-US"/>
        </w:rPr>
        <w:t>Commission</w:t>
      </w:r>
      <w:r w:rsidR="00155CF6">
        <w:rPr>
          <w:szCs w:val="24"/>
          <w:lang w:eastAsia="en-US"/>
        </w:rPr>
        <w:t>.  This</w:t>
      </w:r>
      <w:r w:rsidR="00DB1BE2">
        <w:rPr>
          <w:szCs w:val="24"/>
          <w:lang w:eastAsia="en-US"/>
        </w:rPr>
        <w:t xml:space="preserve"> matter was part of that transfer.</w:t>
      </w:r>
      <w:r>
        <w:rPr>
          <w:szCs w:val="24"/>
          <w:lang w:eastAsia="en-US"/>
        </w:rPr>
        <w:t xml:space="preserve">  </w:t>
      </w:r>
      <w:r w:rsidR="00DB1BE2">
        <w:rPr>
          <w:szCs w:val="24"/>
          <w:lang w:eastAsia="en-US"/>
        </w:rPr>
        <w:t xml:space="preserve">On March 20, 2015, the Bullocks renewed their </w:t>
      </w:r>
      <w:r w:rsidR="00510D38">
        <w:rPr>
          <w:szCs w:val="24"/>
          <w:lang w:eastAsia="en-US"/>
        </w:rPr>
        <w:t>request</w:t>
      </w:r>
      <w:r w:rsidR="00DB1BE2">
        <w:rPr>
          <w:szCs w:val="24"/>
          <w:lang w:eastAsia="en-US"/>
        </w:rPr>
        <w:t xml:space="preserve"> that RCH be investigated</w:t>
      </w:r>
      <w:r w:rsidR="00A67AC1">
        <w:rPr>
          <w:szCs w:val="24"/>
          <w:lang w:eastAsia="en-US"/>
        </w:rPr>
        <w:t xml:space="preserve"> and provided the Commission more detail regarding their grievances against RCH</w:t>
      </w:r>
      <w:r w:rsidR="00510D38">
        <w:rPr>
          <w:szCs w:val="24"/>
          <w:lang w:eastAsia="en-US"/>
        </w:rPr>
        <w:t>.</w:t>
      </w:r>
      <w:r w:rsidR="00DB1BE2">
        <w:rPr>
          <w:rStyle w:val="FootnoteReference"/>
          <w:szCs w:val="24"/>
          <w:lang w:eastAsia="en-US"/>
        </w:rPr>
        <w:footnoteReference w:id="22"/>
      </w:r>
      <w:r w:rsidR="00DB1BE2">
        <w:rPr>
          <w:szCs w:val="24"/>
          <w:lang w:eastAsia="en-US"/>
        </w:rPr>
        <w:t xml:space="preserve">  </w:t>
      </w:r>
      <w:r w:rsidR="00087809">
        <w:rPr>
          <w:szCs w:val="24"/>
          <w:lang w:eastAsia="en-US"/>
        </w:rPr>
        <w:t>The Bullocks’ purchased their meter in July 2000, operated a feed store at the location until 2009, and then leased the building to J&amp;M Tire Store (J&amp;M) from June 2010 through July 2013.</w:t>
      </w:r>
      <w:r w:rsidR="00087809">
        <w:rPr>
          <w:rStyle w:val="FootnoteReference"/>
          <w:szCs w:val="24"/>
          <w:lang w:eastAsia="en-US"/>
        </w:rPr>
        <w:footnoteReference w:id="23"/>
      </w:r>
      <w:r w:rsidR="00087809">
        <w:rPr>
          <w:szCs w:val="24"/>
          <w:lang w:eastAsia="en-US"/>
        </w:rPr>
        <w:t xml:space="preserve">  </w:t>
      </w:r>
      <w:r w:rsidR="00080DAE">
        <w:rPr>
          <w:szCs w:val="24"/>
          <w:lang w:eastAsia="en-US"/>
        </w:rPr>
        <w:t xml:space="preserve">The Bullocks stated </w:t>
      </w:r>
      <w:r w:rsidR="00087809">
        <w:rPr>
          <w:szCs w:val="24"/>
          <w:lang w:eastAsia="en-US"/>
        </w:rPr>
        <w:t>RCH took a deposit from J&amp;M and transferred the bill into J&amp;M’s name.</w:t>
      </w:r>
      <w:r w:rsidR="00087809">
        <w:rPr>
          <w:rStyle w:val="FootnoteReference"/>
          <w:szCs w:val="24"/>
          <w:lang w:eastAsia="en-US"/>
        </w:rPr>
        <w:footnoteReference w:id="24"/>
      </w:r>
      <w:r w:rsidR="00087809">
        <w:rPr>
          <w:szCs w:val="24"/>
          <w:lang w:eastAsia="en-US"/>
        </w:rPr>
        <w:t xml:space="preserve"> </w:t>
      </w:r>
      <w:r w:rsidR="00080DAE">
        <w:rPr>
          <w:szCs w:val="24"/>
          <w:lang w:eastAsia="en-US"/>
        </w:rPr>
        <w:t xml:space="preserve"> </w:t>
      </w:r>
      <w:r w:rsidR="00087809">
        <w:rPr>
          <w:szCs w:val="24"/>
          <w:lang w:eastAsia="en-US"/>
        </w:rPr>
        <w:t xml:space="preserve">The Bullocks stated </w:t>
      </w:r>
      <w:r w:rsidR="00080DAE">
        <w:rPr>
          <w:szCs w:val="24"/>
          <w:lang w:eastAsia="en-US"/>
        </w:rPr>
        <w:t xml:space="preserve">they received no notice during the tenancy that </w:t>
      </w:r>
      <w:r w:rsidR="00087809">
        <w:rPr>
          <w:szCs w:val="24"/>
          <w:lang w:eastAsia="en-US"/>
        </w:rPr>
        <w:t>J&amp;M</w:t>
      </w:r>
      <w:r w:rsidR="00080DAE">
        <w:rPr>
          <w:szCs w:val="24"/>
          <w:lang w:eastAsia="en-US"/>
        </w:rPr>
        <w:t xml:space="preserve"> was not paying the water bill.</w:t>
      </w:r>
      <w:r w:rsidR="00080DAE">
        <w:rPr>
          <w:rStyle w:val="FootnoteReference"/>
          <w:szCs w:val="24"/>
          <w:lang w:eastAsia="en-US"/>
        </w:rPr>
        <w:footnoteReference w:id="25"/>
      </w:r>
      <w:r w:rsidR="00637895">
        <w:rPr>
          <w:szCs w:val="24"/>
          <w:lang w:eastAsia="en-US"/>
        </w:rPr>
        <w:t xml:space="preserve">  The Bullocks stated that </w:t>
      </w:r>
      <w:r w:rsidR="00080DAE">
        <w:rPr>
          <w:szCs w:val="24"/>
          <w:lang w:eastAsia="en-US"/>
        </w:rPr>
        <w:t xml:space="preserve">RCH </w:t>
      </w:r>
      <w:r w:rsidR="00087809">
        <w:rPr>
          <w:szCs w:val="24"/>
          <w:lang w:eastAsia="en-US"/>
        </w:rPr>
        <w:t xml:space="preserve">charged a transfer fee to put the bill back in the Bullock’s name, but </w:t>
      </w:r>
      <w:r w:rsidR="00080DAE">
        <w:rPr>
          <w:szCs w:val="24"/>
          <w:lang w:eastAsia="en-US"/>
        </w:rPr>
        <w:t xml:space="preserve">is holding the Bullocks responsible for the full </w:t>
      </w:r>
      <w:r w:rsidR="00981FDD">
        <w:rPr>
          <w:szCs w:val="24"/>
          <w:lang w:eastAsia="en-US"/>
        </w:rPr>
        <w:t xml:space="preserve">unpaid </w:t>
      </w:r>
      <w:r w:rsidR="00080DAE">
        <w:rPr>
          <w:szCs w:val="24"/>
          <w:lang w:eastAsia="en-US"/>
        </w:rPr>
        <w:t>amount</w:t>
      </w:r>
      <w:r w:rsidR="00637895">
        <w:rPr>
          <w:szCs w:val="24"/>
          <w:lang w:eastAsia="en-US"/>
        </w:rPr>
        <w:t xml:space="preserve"> of </w:t>
      </w:r>
      <w:r w:rsidR="00087809">
        <w:rPr>
          <w:szCs w:val="24"/>
          <w:lang w:eastAsia="en-US"/>
        </w:rPr>
        <w:t>J&amp;M’s</w:t>
      </w:r>
      <w:r w:rsidR="00637895">
        <w:rPr>
          <w:szCs w:val="24"/>
          <w:lang w:eastAsia="en-US"/>
        </w:rPr>
        <w:t xml:space="preserve"> water bill,</w:t>
      </w:r>
      <w:r w:rsidR="00080DAE">
        <w:rPr>
          <w:szCs w:val="24"/>
          <w:lang w:eastAsia="en-US"/>
        </w:rPr>
        <w:t xml:space="preserve"> plus late fees, refuses to cash checks for</w:t>
      </w:r>
      <w:r w:rsidR="00637895">
        <w:rPr>
          <w:szCs w:val="24"/>
          <w:lang w:eastAsia="en-US"/>
        </w:rPr>
        <w:t xml:space="preserve"> </w:t>
      </w:r>
      <w:r w:rsidR="00080DAE">
        <w:rPr>
          <w:szCs w:val="24"/>
          <w:lang w:eastAsia="en-US"/>
        </w:rPr>
        <w:t>current service and continues to add late charges to the bill.</w:t>
      </w:r>
      <w:r w:rsidR="00080DAE">
        <w:rPr>
          <w:rStyle w:val="FootnoteReference"/>
          <w:szCs w:val="24"/>
          <w:lang w:eastAsia="en-US"/>
        </w:rPr>
        <w:footnoteReference w:id="26"/>
      </w:r>
      <w:r w:rsidR="00080DAE">
        <w:rPr>
          <w:szCs w:val="24"/>
          <w:lang w:eastAsia="en-US"/>
        </w:rPr>
        <w:t xml:space="preserve"> </w:t>
      </w:r>
      <w:r w:rsidR="00EC475B">
        <w:rPr>
          <w:szCs w:val="24"/>
          <w:lang w:eastAsia="en-US"/>
        </w:rPr>
        <w:t xml:space="preserve"> Among other things, t</w:t>
      </w:r>
      <w:r w:rsidR="00087809">
        <w:rPr>
          <w:szCs w:val="24"/>
          <w:lang w:eastAsia="en-US"/>
        </w:rPr>
        <w:t>he Bullocks allege that in holding them responsible for J&amp;M’s unpaid water bills, RCH is violating its</w:t>
      </w:r>
      <w:r w:rsidR="00F81903">
        <w:rPr>
          <w:szCs w:val="24"/>
          <w:lang w:eastAsia="en-US"/>
        </w:rPr>
        <w:t xml:space="preserve"> tariff</w:t>
      </w:r>
      <w:r w:rsidR="00087809">
        <w:rPr>
          <w:szCs w:val="24"/>
          <w:lang w:eastAsia="en-US"/>
        </w:rPr>
        <w:t xml:space="preserve"> because they were not required to sign an “Alternate Billing Arrangement</w:t>
      </w:r>
      <w:r w:rsidR="00EC475B">
        <w:rPr>
          <w:szCs w:val="24"/>
          <w:lang w:eastAsia="en-US"/>
        </w:rPr>
        <w:t xml:space="preserve">” when RCH transferred billing to J&amp;M, and further that RCH </w:t>
      </w:r>
      <w:r w:rsidR="00087809">
        <w:rPr>
          <w:szCs w:val="24"/>
          <w:lang w:eastAsia="en-US"/>
        </w:rPr>
        <w:t>violated its tariff because it did not respond to t</w:t>
      </w:r>
      <w:r w:rsidR="00EC475B">
        <w:rPr>
          <w:szCs w:val="24"/>
          <w:lang w:eastAsia="en-US"/>
        </w:rPr>
        <w:t>heir properly filed grievance.</w:t>
      </w:r>
      <w:r w:rsidR="004A3462">
        <w:rPr>
          <w:rStyle w:val="FootnoteReference"/>
          <w:szCs w:val="24"/>
          <w:lang w:eastAsia="en-US"/>
        </w:rPr>
        <w:footnoteReference w:id="27"/>
      </w:r>
      <w:r w:rsidR="00EC475B">
        <w:rPr>
          <w:szCs w:val="24"/>
          <w:lang w:eastAsia="en-US"/>
        </w:rPr>
        <w:t xml:space="preserve">  </w:t>
      </w:r>
    </w:p>
    <w:p w:rsidR="00AF0168" w:rsidRDefault="002D4CE6" w:rsidP="005658E3">
      <w:pPr>
        <w:spacing w:before="120" w:line="360" w:lineRule="auto"/>
        <w:ind w:firstLine="720"/>
        <w:textAlignment w:val="baseline"/>
        <w:rPr>
          <w:color w:val="000000"/>
        </w:rPr>
      </w:pPr>
      <w:r>
        <w:rPr>
          <w:color w:val="000000"/>
        </w:rPr>
        <w:t xml:space="preserve">On September 24, </w:t>
      </w:r>
      <w:r w:rsidR="009157D8">
        <w:rPr>
          <w:color w:val="000000"/>
        </w:rPr>
        <w:t>2015, RCH responded to Order No. 1, reciting the limited jurisdiction that the Commission has over a water supply corporation and further stating that the Commission has the burden to establish that RCH is not operating as a water supply corporation be</w:t>
      </w:r>
      <w:r w:rsidR="006051F6">
        <w:rPr>
          <w:color w:val="000000"/>
        </w:rPr>
        <w:t xml:space="preserve">fore </w:t>
      </w:r>
      <w:r w:rsidR="009157D8">
        <w:rPr>
          <w:color w:val="000000"/>
        </w:rPr>
        <w:t>it can invoke jurisdiction.</w:t>
      </w:r>
      <w:r w:rsidR="009157D8">
        <w:rPr>
          <w:rStyle w:val="FootnoteReference"/>
          <w:color w:val="000000"/>
        </w:rPr>
        <w:footnoteReference w:id="28"/>
      </w:r>
      <w:r w:rsidR="009157D8">
        <w:rPr>
          <w:color w:val="000000"/>
        </w:rPr>
        <w:t xml:space="preserve"> </w:t>
      </w:r>
      <w:r w:rsidR="006051F6">
        <w:rPr>
          <w:color w:val="000000"/>
        </w:rPr>
        <w:t xml:space="preserve"> RCH provided its most recent Articles of Amendment to its bylaws, which state in several </w:t>
      </w:r>
      <w:r w:rsidR="00981FDD">
        <w:rPr>
          <w:color w:val="000000"/>
        </w:rPr>
        <w:t>place</w:t>
      </w:r>
      <w:r w:rsidR="006051F6">
        <w:rPr>
          <w:color w:val="000000"/>
        </w:rPr>
        <w:t>s that the utility is member owned and controlled.</w:t>
      </w:r>
      <w:r w:rsidR="006051F6">
        <w:rPr>
          <w:rStyle w:val="FootnoteReference"/>
          <w:color w:val="000000"/>
        </w:rPr>
        <w:footnoteReference w:id="29"/>
      </w:r>
      <w:r w:rsidR="006051F6">
        <w:rPr>
          <w:color w:val="000000"/>
        </w:rPr>
        <w:t xml:space="preserve">  RCH also provided copies of the two most recent </w:t>
      </w:r>
      <w:r w:rsidR="00981FDD">
        <w:rPr>
          <w:color w:val="000000"/>
        </w:rPr>
        <w:t xml:space="preserve">approved minutes of </w:t>
      </w:r>
      <w:r w:rsidR="006051F6">
        <w:rPr>
          <w:color w:val="000000"/>
        </w:rPr>
        <w:t>RCH</w:t>
      </w:r>
      <w:r w:rsidR="009B7E5C">
        <w:rPr>
          <w:color w:val="000000"/>
        </w:rPr>
        <w:t>’s</w:t>
      </w:r>
      <w:r w:rsidR="006051F6">
        <w:rPr>
          <w:color w:val="000000"/>
        </w:rPr>
        <w:t xml:space="preserve"> annual meeting</w:t>
      </w:r>
      <w:r w:rsidR="00981FDD">
        <w:rPr>
          <w:color w:val="000000"/>
        </w:rPr>
        <w:t>s</w:t>
      </w:r>
      <w:r w:rsidR="006051F6">
        <w:rPr>
          <w:color w:val="000000"/>
        </w:rPr>
        <w:t xml:space="preserve"> of the membership, </w:t>
      </w:r>
      <w:r w:rsidR="00981FDD">
        <w:rPr>
          <w:color w:val="000000"/>
        </w:rPr>
        <w:t xml:space="preserve">for years </w:t>
      </w:r>
      <w:r w:rsidR="006051F6">
        <w:rPr>
          <w:color w:val="000000"/>
        </w:rPr>
        <w:t>2013 and 2014.</w:t>
      </w:r>
      <w:r w:rsidR="006051F6">
        <w:rPr>
          <w:rStyle w:val="FootnoteReference"/>
          <w:color w:val="000000"/>
        </w:rPr>
        <w:footnoteReference w:id="30"/>
      </w:r>
      <w:r w:rsidR="006051F6">
        <w:rPr>
          <w:color w:val="000000"/>
        </w:rPr>
        <w:t xml:space="preserve">  RCH provided an affidavit that the 2015 annual meeting of the members was held as required, but </w:t>
      </w:r>
      <w:r w:rsidR="00637895">
        <w:rPr>
          <w:color w:val="000000"/>
        </w:rPr>
        <w:t>stated that those</w:t>
      </w:r>
      <w:r w:rsidR="006051F6">
        <w:rPr>
          <w:color w:val="000000"/>
        </w:rPr>
        <w:t xml:space="preserve"> minutes will not be approved until the 2016 meeting of the membership.</w:t>
      </w:r>
      <w:r w:rsidR="006051F6">
        <w:rPr>
          <w:rStyle w:val="FootnoteReference"/>
          <w:color w:val="000000"/>
        </w:rPr>
        <w:footnoteReference w:id="31"/>
      </w:r>
      <w:r w:rsidR="006051F6">
        <w:rPr>
          <w:color w:val="000000"/>
        </w:rPr>
        <w:t xml:space="preserve">  </w:t>
      </w:r>
    </w:p>
    <w:p w:rsidR="00D826AF" w:rsidRDefault="00AF0168" w:rsidP="00DD69EF">
      <w:pPr>
        <w:spacing w:before="120" w:line="360" w:lineRule="auto"/>
        <w:ind w:firstLine="720"/>
        <w:textAlignment w:val="baseline"/>
        <w:rPr>
          <w:color w:val="000000"/>
        </w:rPr>
      </w:pPr>
      <w:r>
        <w:rPr>
          <w:color w:val="000000"/>
        </w:rPr>
        <w:t>On September 30, 2015, Order No. 2 was issued, requiring RCH to provide (1) a copy of its current tariff and service regulations and (2)</w:t>
      </w:r>
      <w:r w:rsidR="00F81903">
        <w:rPr>
          <w:color w:val="000000"/>
        </w:rPr>
        <w:t xml:space="preserve">; </w:t>
      </w:r>
      <w:r>
        <w:rPr>
          <w:color w:val="000000"/>
        </w:rPr>
        <w:t>(a) documentation sho</w:t>
      </w:r>
      <w:r w:rsidR="00F81903">
        <w:rPr>
          <w:color w:val="000000"/>
        </w:rPr>
        <w:t>wing that it is registered as a</w:t>
      </w:r>
      <w:r>
        <w:rPr>
          <w:color w:val="000000"/>
        </w:rPr>
        <w:t xml:space="preserve"> non-profit with the Texas S</w:t>
      </w:r>
      <w:r w:rsidR="001F5663">
        <w:rPr>
          <w:color w:val="000000"/>
        </w:rPr>
        <w:t>ecretary of State (Texas S</w:t>
      </w:r>
      <w:r>
        <w:rPr>
          <w:color w:val="000000"/>
        </w:rPr>
        <w:t>oS</w:t>
      </w:r>
      <w:r w:rsidR="001F5663">
        <w:rPr>
          <w:color w:val="000000"/>
        </w:rPr>
        <w:t>)</w:t>
      </w:r>
      <w:r>
        <w:rPr>
          <w:color w:val="000000"/>
        </w:rPr>
        <w:t xml:space="preserve">, (b), documentation </w:t>
      </w:r>
      <w:r w:rsidR="00F81903">
        <w:rPr>
          <w:color w:val="000000"/>
        </w:rPr>
        <w:t>demonstrating</w:t>
      </w:r>
      <w:r>
        <w:rPr>
          <w:color w:val="000000"/>
        </w:rPr>
        <w:t xml:space="preserve"> that it has been registered as a non-profit for the past two years, and (c)</w:t>
      </w:r>
      <w:r w:rsidR="00CC4A76">
        <w:rPr>
          <w:color w:val="000000"/>
        </w:rPr>
        <w:t> </w:t>
      </w:r>
      <w:r>
        <w:rPr>
          <w:color w:val="000000"/>
        </w:rPr>
        <w:t xml:space="preserve">documentation that its status as a non-profit is up-to-date and in good standing with the Texas SoS.  </w:t>
      </w:r>
      <w:r w:rsidR="00465B55">
        <w:rPr>
          <w:color w:val="000000"/>
        </w:rPr>
        <w:t>On October 15, 20</w:t>
      </w:r>
      <w:r w:rsidR="009B7E5C">
        <w:rPr>
          <w:color w:val="000000"/>
        </w:rPr>
        <w:t xml:space="preserve">15, RCH responded to Order No. </w:t>
      </w:r>
      <w:r w:rsidR="00465B55">
        <w:rPr>
          <w:color w:val="000000"/>
        </w:rPr>
        <w:t>2, providing a copy of its current tariff</w:t>
      </w:r>
      <w:r w:rsidR="00EC475B">
        <w:rPr>
          <w:color w:val="000000"/>
        </w:rPr>
        <w:t xml:space="preserve">, approved </w:t>
      </w:r>
      <w:r w:rsidR="002730FB">
        <w:rPr>
          <w:color w:val="000000"/>
        </w:rPr>
        <w:t xml:space="preserve">by the RCH board, </w:t>
      </w:r>
      <w:r w:rsidR="00637895">
        <w:rPr>
          <w:color w:val="000000"/>
        </w:rPr>
        <w:t>April</w:t>
      </w:r>
      <w:r w:rsidR="002730FB">
        <w:rPr>
          <w:color w:val="000000"/>
        </w:rPr>
        <w:t> </w:t>
      </w:r>
      <w:r w:rsidR="00637895">
        <w:rPr>
          <w:color w:val="000000"/>
        </w:rPr>
        <w:t>29, 2015</w:t>
      </w:r>
      <w:r w:rsidR="00465B55">
        <w:rPr>
          <w:color w:val="000000"/>
        </w:rPr>
        <w:t>.</w:t>
      </w:r>
      <w:r w:rsidR="00465B55">
        <w:rPr>
          <w:rStyle w:val="FootnoteReference"/>
          <w:color w:val="000000"/>
        </w:rPr>
        <w:footnoteReference w:id="32"/>
      </w:r>
      <w:r w:rsidR="00465B55">
        <w:rPr>
          <w:color w:val="000000"/>
        </w:rPr>
        <w:t xml:space="preserve">  On October 21, 2015, RCH suppleme</w:t>
      </w:r>
      <w:r w:rsidR="00A67AC1">
        <w:rPr>
          <w:color w:val="000000"/>
        </w:rPr>
        <w:t>nted its response to Order No.</w:t>
      </w:r>
      <w:r w:rsidR="00CC4A76">
        <w:rPr>
          <w:color w:val="000000"/>
        </w:rPr>
        <w:t> </w:t>
      </w:r>
      <w:r w:rsidR="00A67AC1">
        <w:rPr>
          <w:color w:val="000000"/>
        </w:rPr>
        <w:t>2</w:t>
      </w:r>
      <w:r w:rsidR="00465B55">
        <w:rPr>
          <w:color w:val="000000"/>
        </w:rPr>
        <w:t xml:space="preserve">, providing documentation demonstrating that the utility is </w:t>
      </w:r>
      <w:r w:rsidR="00981FDD">
        <w:rPr>
          <w:color w:val="000000"/>
        </w:rPr>
        <w:t xml:space="preserve">now </w:t>
      </w:r>
      <w:r w:rsidR="00465B55">
        <w:rPr>
          <w:color w:val="000000"/>
        </w:rPr>
        <w:t>up-to-date and i</w:t>
      </w:r>
      <w:r w:rsidR="001F5663">
        <w:rPr>
          <w:color w:val="000000"/>
        </w:rPr>
        <w:t>n good standing with the Texas SoS as a non</w:t>
      </w:r>
      <w:r w:rsidR="00465B55">
        <w:rPr>
          <w:color w:val="000000"/>
        </w:rPr>
        <w:t>profit corporation.</w:t>
      </w:r>
      <w:r w:rsidR="00465B55">
        <w:rPr>
          <w:rStyle w:val="FootnoteReference"/>
          <w:color w:val="000000"/>
        </w:rPr>
        <w:footnoteReference w:id="33"/>
      </w:r>
    </w:p>
    <w:p w:rsidR="00EC475B" w:rsidRDefault="00EC475B" w:rsidP="004F5794">
      <w:pPr>
        <w:spacing w:before="120" w:line="360" w:lineRule="auto"/>
        <w:ind w:firstLine="720"/>
        <w:rPr>
          <w:color w:val="000000"/>
        </w:rPr>
      </w:pPr>
      <w:r>
        <w:rPr>
          <w:color w:val="000000"/>
        </w:rPr>
        <w:t xml:space="preserve">On October 23, 2015, </w:t>
      </w:r>
      <w:r w:rsidR="00D826AF">
        <w:rPr>
          <w:color w:val="000000"/>
        </w:rPr>
        <w:t>Order</w:t>
      </w:r>
      <w:r>
        <w:rPr>
          <w:color w:val="000000"/>
        </w:rPr>
        <w:t xml:space="preserve"> No. 4 was issued, granting Commission Staff’ request and requiring RCH to produce:</w:t>
      </w:r>
    </w:p>
    <w:p w:rsidR="00EC475B" w:rsidRDefault="00EC475B" w:rsidP="00EC475B">
      <w:pPr>
        <w:spacing w:before="120" w:line="360" w:lineRule="auto"/>
        <w:ind w:left="1080" w:right="810"/>
        <w:textAlignment w:val="baseline"/>
        <w:rPr>
          <w:color w:val="000000"/>
        </w:rPr>
      </w:pPr>
      <w:r>
        <w:rPr>
          <w:color w:val="000000"/>
        </w:rPr>
        <w:t>“</w:t>
      </w:r>
      <w:r w:rsidR="007E57CA">
        <w:rPr>
          <w:color w:val="000000"/>
        </w:rPr>
        <w:t xml:space="preserve">(i) </w:t>
      </w:r>
      <w:r w:rsidR="00D826AF">
        <w:rPr>
          <w:color w:val="000000"/>
        </w:rPr>
        <w:t xml:space="preserve">a copy of its tariff in place June 2010, with confirmation that that tariff did not include the “Owners and Renters” provision in Section E of the tariff, </w:t>
      </w:r>
      <w:r w:rsidR="007E57CA">
        <w:rPr>
          <w:color w:val="000000"/>
        </w:rPr>
        <w:t xml:space="preserve">(ii) </w:t>
      </w:r>
      <w:r w:rsidR="00D826AF">
        <w:rPr>
          <w:color w:val="000000"/>
        </w:rPr>
        <w:t>confirmation that ther</w:t>
      </w:r>
      <w:r>
        <w:rPr>
          <w:color w:val="000000"/>
        </w:rPr>
        <w:t>e was a “Grievance Procedures” o</w:t>
      </w:r>
      <w:r w:rsidR="00D826AF">
        <w:rPr>
          <w:color w:val="000000"/>
        </w:rPr>
        <w:t xml:space="preserve">n Section B of </w:t>
      </w:r>
      <w:r>
        <w:rPr>
          <w:color w:val="000000"/>
        </w:rPr>
        <w:t>RCH’s</w:t>
      </w:r>
      <w:r w:rsidR="00D826AF">
        <w:rPr>
          <w:color w:val="000000"/>
        </w:rPr>
        <w:t xml:space="preserve"> previous tariff </w:t>
      </w:r>
      <w:r>
        <w:rPr>
          <w:color w:val="000000"/>
        </w:rPr>
        <w:t xml:space="preserve">versions, </w:t>
      </w:r>
      <w:r w:rsidR="00D826AF">
        <w:rPr>
          <w:color w:val="000000"/>
        </w:rPr>
        <w:t>and document that RCH f</w:t>
      </w:r>
      <w:r>
        <w:rPr>
          <w:color w:val="000000"/>
        </w:rPr>
        <w:t xml:space="preserve">ollowed this procedure with Petitioners Ede and Randy Bullock regarding the dispute at issue, </w:t>
      </w:r>
      <w:r w:rsidR="007E57CA">
        <w:rPr>
          <w:color w:val="000000"/>
        </w:rPr>
        <w:t>(iii) c</w:t>
      </w:r>
      <w:r w:rsidR="00D826AF">
        <w:rPr>
          <w:color w:val="000000"/>
        </w:rPr>
        <w:t xml:space="preserve">onfirmation that </w:t>
      </w:r>
      <w:r>
        <w:rPr>
          <w:color w:val="000000"/>
        </w:rPr>
        <w:t>Petitioners</w:t>
      </w:r>
      <w:r w:rsidR="00D826AF">
        <w:rPr>
          <w:color w:val="000000"/>
        </w:rPr>
        <w:t xml:space="preserve"> signed paperwork with RCH in the summer of 2010 which stated </w:t>
      </w:r>
      <w:r>
        <w:rPr>
          <w:color w:val="000000"/>
        </w:rPr>
        <w:t>that Petitioners</w:t>
      </w:r>
      <w:r w:rsidR="00D826AF">
        <w:rPr>
          <w:color w:val="000000"/>
        </w:rPr>
        <w:t xml:space="preserve"> would be responsible for J&amp;M Tire Store’s water bill in the event </w:t>
      </w:r>
      <w:r>
        <w:rPr>
          <w:color w:val="000000"/>
        </w:rPr>
        <w:t xml:space="preserve">J&amp;M Tire Store </w:t>
      </w:r>
      <w:r w:rsidR="00D826AF">
        <w:rPr>
          <w:color w:val="000000"/>
        </w:rPr>
        <w:t xml:space="preserve">defaulted on its bill; and </w:t>
      </w:r>
      <w:r w:rsidR="007E57CA">
        <w:rPr>
          <w:color w:val="000000"/>
        </w:rPr>
        <w:t>(iv)</w:t>
      </w:r>
      <w:r w:rsidR="00D826AF">
        <w:rPr>
          <w:color w:val="000000"/>
        </w:rPr>
        <w:t xml:space="preserve"> confirmation </w:t>
      </w:r>
      <w:r w:rsidR="00981FDD">
        <w:rPr>
          <w:color w:val="000000"/>
        </w:rPr>
        <w:t xml:space="preserve">that the April 2015 tariff </w:t>
      </w:r>
      <w:r w:rsidR="00D826AF">
        <w:rPr>
          <w:color w:val="000000"/>
        </w:rPr>
        <w:t>was voted on in an open meeting after notice was given to members.</w:t>
      </w:r>
      <w:r>
        <w:rPr>
          <w:color w:val="000000"/>
        </w:rPr>
        <w:t>”</w:t>
      </w:r>
      <w:r w:rsidR="00D826AF">
        <w:rPr>
          <w:rStyle w:val="FootnoteReference"/>
          <w:color w:val="000000"/>
        </w:rPr>
        <w:footnoteReference w:id="34"/>
      </w:r>
      <w:r w:rsidR="00D826AF">
        <w:rPr>
          <w:color w:val="000000"/>
        </w:rPr>
        <w:t xml:space="preserve">  </w:t>
      </w:r>
    </w:p>
    <w:p w:rsidR="00857460" w:rsidRDefault="00701424" w:rsidP="005448AE">
      <w:pPr>
        <w:spacing w:before="120" w:line="360" w:lineRule="auto"/>
        <w:ind w:firstLine="720"/>
        <w:textAlignment w:val="baseline"/>
        <w:rPr>
          <w:color w:val="000000"/>
        </w:rPr>
      </w:pPr>
      <w:r>
        <w:rPr>
          <w:color w:val="000000"/>
        </w:rPr>
        <w:t xml:space="preserve">On October 28, 2015, RCH objected to </w:t>
      </w:r>
      <w:r w:rsidR="00D826AF">
        <w:rPr>
          <w:color w:val="000000"/>
        </w:rPr>
        <w:t xml:space="preserve">Order No. 4, </w:t>
      </w:r>
      <w:r>
        <w:rPr>
          <w:color w:val="000000"/>
        </w:rPr>
        <w:t>stating that none of the requested documents relate whatsoever to whether RCH is a water supply corporation.</w:t>
      </w:r>
      <w:r>
        <w:rPr>
          <w:rStyle w:val="FootnoteReference"/>
          <w:color w:val="000000"/>
        </w:rPr>
        <w:footnoteReference w:id="35"/>
      </w:r>
      <w:r>
        <w:rPr>
          <w:color w:val="000000"/>
        </w:rPr>
        <w:t xml:space="preserve"> </w:t>
      </w:r>
      <w:r w:rsidR="00981FDD">
        <w:rPr>
          <w:color w:val="000000"/>
        </w:rPr>
        <w:t xml:space="preserve"> </w:t>
      </w:r>
      <w:r>
        <w:rPr>
          <w:color w:val="000000"/>
        </w:rPr>
        <w:t>RCH requested protection from the</w:t>
      </w:r>
      <w:r w:rsidR="00D826AF">
        <w:rPr>
          <w:color w:val="000000"/>
        </w:rPr>
        <w:t xml:space="preserve"> requirement </w:t>
      </w:r>
      <w:r>
        <w:rPr>
          <w:color w:val="000000"/>
        </w:rPr>
        <w:t>to produce the requested documents.</w:t>
      </w:r>
      <w:r>
        <w:rPr>
          <w:rStyle w:val="FootnoteReference"/>
          <w:color w:val="000000"/>
        </w:rPr>
        <w:footnoteReference w:id="36"/>
      </w:r>
      <w:r>
        <w:rPr>
          <w:color w:val="000000"/>
        </w:rPr>
        <w:t xml:space="preserve"> </w:t>
      </w:r>
      <w:r w:rsidR="00981FDD">
        <w:rPr>
          <w:color w:val="000000"/>
        </w:rPr>
        <w:t xml:space="preserve"> </w:t>
      </w:r>
      <w:r>
        <w:rPr>
          <w:color w:val="000000"/>
        </w:rPr>
        <w:t xml:space="preserve">On November 10, 2015, RCH responded to Order No. 4, </w:t>
      </w:r>
      <w:r w:rsidR="00981FDD">
        <w:rPr>
          <w:color w:val="000000"/>
        </w:rPr>
        <w:t>re-urging its request for</w:t>
      </w:r>
      <w:r>
        <w:rPr>
          <w:color w:val="000000"/>
        </w:rPr>
        <w:t xml:space="preserve"> protection from the requirement to produce the documents requested by Commission Staff </w:t>
      </w:r>
      <w:r w:rsidR="00D826AF">
        <w:rPr>
          <w:color w:val="000000"/>
        </w:rPr>
        <w:t xml:space="preserve">and not providing any </w:t>
      </w:r>
      <w:r w:rsidR="004A3462">
        <w:rPr>
          <w:color w:val="000000"/>
        </w:rPr>
        <w:t>of the requested documents</w:t>
      </w:r>
      <w:r w:rsidR="00D826AF">
        <w:rPr>
          <w:color w:val="000000"/>
        </w:rPr>
        <w:t>.</w:t>
      </w:r>
      <w:r w:rsidR="00D826AF">
        <w:rPr>
          <w:rStyle w:val="FootnoteReference"/>
          <w:color w:val="000000"/>
        </w:rPr>
        <w:footnoteReference w:id="37"/>
      </w:r>
      <w:r w:rsidR="001F5663">
        <w:rPr>
          <w:color w:val="000000"/>
        </w:rPr>
        <w:t xml:space="preserve">  However,</w:t>
      </w:r>
      <w:r w:rsidR="00D826AF">
        <w:rPr>
          <w:color w:val="000000"/>
        </w:rPr>
        <w:t xml:space="preserve"> the utility did provide</w:t>
      </w:r>
      <w:r>
        <w:rPr>
          <w:color w:val="000000"/>
        </w:rPr>
        <w:t xml:space="preserve"> an affidavit from </w:t>
      </w:r>
      <w:r w:rsidR="00D826AF">
        <w:rPr>
          <w:color w:val="000000"/>
        </w:rPr>
        <w:t xml:space="preserve">Mr. Odis A Lowe, </w:t>
      </w:r>
      <w:r w:rsidR="00981FDD">
        <w:rPr>
          <w:color w:val="000000"/>
        </w:rPr>
        <w:t xml:space="preserve">stating that he is the </w:t>
      </w:r>
      <w:r w:rsidR="00D826AF">
        <w:rPr>
          <w:color w:val="000000"/>
        </w:rPr>
        <w:t xml:space="preserve">President of </w:t>
      </w:r>
      <w:r>
        <w:rPr>
          <w:color w:val="000000"/>
        </w:rPr>
        <w:t xml:space="preserve">the RCH Board of Directors </w:t>
      </w:r>
      <w:r w:rsidR="00981FDD">
        <w:rPr>
          <w:color w:val="000000"/>
        </w:rPr>
        <w:t xml:space="preserve">and attesting to </w:t>
      </w:r>
      <w:r w:rsidR="007E57CA">
        <w:rPr>
          <w:color w:val="000000"/>
        </w:rPr>
        <w:t xml:space="preserve">confirmations </w:t>
      </w:r>
      <w:r w:rsidR="00D826AF">
        <w:rPr>
          <w:color w:val="000000"/>
        </w:rPr>
        <w:t>requ</w:t>
      </w:r>
      <w:r w:rsidR="007E57CA">
        <w:rPr>
          <w:color w:val="000000"/>
        </w:rPr>
        <w:t>ired</w:t>
      </w:r>
      <w:r w:rsidR="00D826AF">
        <w:rPr>
          <w:color w:val="000000"/>
        </w:rPr>
        <w:t xml:space="preserve"> in Order No. 4.</w:t>
      </w:r>
      <w:r w:rsidR="007E57CA">
        <w:rPr>
          <w:rStyle w:val="FootnoteReference"/>
          <w:color w:val="000000"/>
        </w:rPr>
        <w:footnoteReference w:id="38"/>
      </w:r>
      <w:r w:rsidR="00D826AF">
        <w:rPr>
          <w:color w:val="000000"/>
        </w:rPr>
        <w:t xml:space="preserve">  </w:t>
      </w:r>
      <w:r>
        <w:rPr>
          <w:color w:val="000000"/>
        </w:rPr>
        <w:t xml:space="preserve">  </w:t>
      </w:r>
    </w:p>
    <w:p w:rsidR="00465B55" w:rsidRDefault="007E57CA" w:rsidP="005448AE">
      <w:pPr>
        <w:spacing w:before="120" w:line="360" w:lineRule="auto"/>
        <w:ind w:firstLine="720"/>
        <w:textAlignment w:val="baseline"/>
        <w:rPr>
          <w:color w:val="000000"/>
        </w:rPr>
      </w:pPr>
      <w:r>
        <w:rPr>
          <w:color w:val="000000"/>
        </w:rPr>
        <w:t xml:space="preserve">On December 31, 2015, the Bullocks responded to RCH’s November 10, 2015 filing stating that Jackie Pullen is listed as the President of RCH, </w:t>
      </w:r>
      <w:r w:rsidR="00981FDD">
        <w:rPr>
          <w:color w:val="000000"/>
        </w:rPr>
        <w:t xml:space="preserve">not Mr. Lowe, that </w:t>
      </w:r>
      <w:r>
        <w:rPr>
          <w:color w:val="000000"/>
        </w:rPr>
        <w:t xml:space="preserve">Mr. Lowe’s affidavit did not confirm that proper notice </w:t>
      </w:r>
      <w:r w:rsidR="00981FDD">
        <w:rPr>
          <w:color w:val="000000"/>
        </w:rPr>
        <w:t xml:space="preserve">was given </w:t>
      </w:r>
      <w:r>
        <w:rPr>
          <w:color w:val="000000"/>
        </w:rPr>
        <w:t>of the RCH meeting at which the current tariff was adopted, that they did not sign a</w:t>
      </w:r>
      <w:r w:rsidR="00981FDD">
        <w:rPr>
          <w:color w:val="000000"/>
        </w:rPr>
        <w:t>n</w:t>
      </w:r>
      <w:r>
        <w:rPr>
          <w:color w:val="000000"/>
        </w:rPr>
        <w:t xml:space="preserve"> “Alternate Billing Agreement” as was and is required by RCH’s tariff and </w:t>
      </w:r>
      <w:r w:rsidR="00981FDD">
        <w:rPr>
          <w:color w:val="000000"/>
        </w:rPr>
        <w:t>that RCH did not follow</w:t>
      </w:r>
      <w:r w:rsidR="009159E9">
        <w:rPr>
          <w:color w:val="000000"/>
        </w:rPr>
        <w:t xml:space="preserve"> the g</w:t>
      </w:r>
      <w:r>
        <w:rPr>
          <w:color w:val="000000"/>
        </w:rPr>
        <w:t xml:space="preserve">rievance procedures provided in its tariff, and finally that RCH operated out of compliance with Texas </w:t>
      </w:r>
      <w:proofErr w:type="spellStart"/>
      <w:r>
        <w:rPr>
          <w:color w:val="000000"/>
        </w:rPr>
        <w:t>SoS</w:t>
      </w:r>
      <w:r w:rsidR="00981FDD">
        <w:rPr>
          <w:color w:val="000000"/>
        </w:rPr>
        <w:t>’s</w:t>
      </w:r>
      <w:proofErr w:type="spellEnd"/>
      <w:r>
        <w:rPr>
          <w:color w:val="000000"/>
        </w:rPr>
        <w:t xml:space="preserve"> requirements numerous times, star</w:t>
      </w:r>
      <w:r w:rsidR="002730FB">
        <w:rPr>
          <w:color w:val="000000"/>
        </w:rPr>
        <w:t>t</w:t>
      </w:r>
      <w:r>
        <w:rPr>
          <w:color w:val="000000"/>
        </w:rPr>
        <w:t>i</w:t>
      </w:r>
      <w:r w:rsidR="009159E9">
        <w:rPr>
          <w:color w:val="000000"/>
        </w:rPr>
        <w:t>ng as early as 2006, and appear</w:t>
      </w:r>
      <w:r>
        <w:rPr>
          <w:color w:val="000000"/>
        </w:rPr>
        <w:t xml:space="preserve"> to have no regard for staying compliant as a non-profit corporation.</w:t>
      </w:r>
      <w:r>
        <w:rPr>
          <w:rStyle w:val="FootnoteReference"/>
          <w:color w:val="000000"/>
        </w:rPr>
        <w:footnoteReference w:id="39"/>
      </w:r>
      <w:r>
        <w:rPr>
          <w:color w:val="000000"/>
        </w:rPr>
        <w:t xml:space="preserve">  </w:t>
      </w:r>
    </w:p>
    <w:p w:rsidR="00265601" w:rsidRDefault="00BE5B58" w:rsidP="005448AE">
      <w:pPr>
        <w:spacing w:before="120" w:line="360" w:lineRule="auto"/>
        <w:ind w:firstLine="720"/>
        <w:textAlignment w:val="baseline"/>
        <w:rPr>
          <w:color w:val="000000"/>
        </w:rPr>
      </w:pPr>
      <w:r>
        <w:rPr>
          <w:color w:val="000000"/>
        </w:rPr>
        <w:t xml:space="preserve">On January 15, 2016, Commission Staff filed its final recommendation regarding </w:t>
      </w:r>
      <w:r w:rsidR="00981FDD">
        <w:rPr>
          <w:color w:val="000000"/>
        </w:rPr>
        <w:t>the Bullock</w:t>
      </w:r>
      <w:r w:rsidR="006B080B">
        <w:rPr>
          <w:color w:val="000000"/>
        </w:rPr>
        <w:t>s</w:t>
      </w:r>
      <w:r w:rsidR="00981FDD">
        <w:rPr>
          <w:color w:val="000000"/>
        </w:rPr>
        <w:t>’</w:t>
      </w:r>
      <w:r w:rsidR="006B080B">
        <w:rPr>
          <w:color w:val="000000"/>
        </w:rPr>
        <w:t xml:space="preserve"> request</w:t>
      </w:r>
      <w:r>
        <w:rPr>
          <w:color w:val="000000"/>
        </w:rPr>
        <w:t xml:space="preserve"> and </w:t>
      </w:r>
      <w:r w:rsidR="00566816">
        <w:rPr>
          <w:color w:val="000000"/>
        </w:rPr>
        <w:t>recommended</w:t>
      </w:r>
      <w:r>
        <w:rPr>
          <w:color w:val="000000"/>
        </w:rPr>
        <w:t xml:space="preserve"> dismissal.</w:t>
      </w:r>
      <w:r w:rsidR="00465B55">
        <w:rPr>
          <w:rStyle w:val="FootnoteReference"/>
          <w:color w:val="000000"/>
        </w:rPr>
        <w:footnoteReference w:id="40"/>
      </w:r>
      <w:r>
        <w:rPr>
          <w:color w:val="000000"/>
        </w:rPr>
        <w:t xml:space="preserve">  </w:t>
      </w:r>
      <w:r w:rsidR="00803198">
        <w:rPr>
          <w:color w:val="000000"/>
        </w:rPr>
        <w:t>Commission Staff stated</w:t>
      </w:r>
      <w:r w:rsidR="00465B55">
        <w:rPr>
          <w:color w:val="000000"/>
        </w:rPr>
        <w:t xml:space="preserve"> the Bullocks’ complaint was brought under TWC § 13.004, which give</w:t>
      </w:r>
      <w:r w:rsidR="00981FDD">
        <w:rPr>
          <w:color w:val="000000"/>
        </w:rPr>
        <w:t>s</w:t>
      </w:r>
      <w:r w:rsidR="00465B55">
        <w:rPr>
          <w:color w:val="000000"/>
        </w:rPr>
        <w:t xml:space="preserve"> the Commission jurisdiction over a water supply corporation only in very limited circumstances; and Commission Staff </w:t>
      </w:r>
      <w:r w:rsidR="00265601">
        <w:rPr>
          <w:color w:val="000000"/>
        </w:rPr>
        <w:t>did not find that those circu</w:t>
      </w:r>
      <w:r w:rsidR="00254EFA">
        <w:rPr>
          <w:color w:val="000000"/>
        </w:rPr>
        <w:t>mstances were met in this case.</w:t>
      </w:r>
      <w:r w:rsidR="00265601">
        <w:rPr>
          <w:color w:val="000000"/>
        </w:rPr>
        <w:t xml:space="preserve">  Commi</w:t>
      </w:r>
      <w:r w:rsidR="00981FDD">
        <w:rPr>
          <w:color w:val="000000"/>
        </w:rPr>
        <w:t xml:space="preserve">ssion Staff stated that RCH </w:t>
      </w:r>
      <w:r w:rsidR="00265601">
        <w:rPr>
          <w:color w:val="000000"/>
        </w:rPr>
        <w:t>provided the minutes of the two most recent annual meetings and an affidavit attesting to the dates of the annual meetings in 2014 and 2015.</w:t>
      </w:r>
      <w:r w:rsidR="00265601">
        <w:rPr>
          <w:rStyle w:val="FootnoteReference"/>
          <w:color w:val="000000"/>
        </w:rPr>
        <w:footnoteReference w:id="41"/>
      </w:r>
      <w:r w:rsidR="00265601">
        <w:rPr>
          <w:color w:val="000000"/>
        </w:rPr>
        <w:t xml:space="preserve">  Commission Staff stated that RCH provided information that it was reinstated as a non-profit corporation with the</w:t>
      </w:r>
      <w:r w:rsidR="00981FDD">
        <w:rPr>
          <w:color w:val="000000"/>
        </w:rPr>
        <w:t xml:space="preserve"> Texas SoS</w:t>
      </w:r>
      <w:r w:rsidR="00265601">
        <w:rPr>
          <w:color w:val="000000"/>
        </w:rPr>
        <w:t>.</w:t>
      </w:r>
      <w:r w:rsidR="00265601">
        <w:rPr>
          <w:rStyle w:val="FootnoteReference"/>
          <w:color w:val="000000"/>
        </w:rPr>
        <w:footnoteReference w:id="42"/>
      </w:r>
      <w:r w:rsidR="00265601">
        <w:rPr>
          <w:color w:val="000000"/>
        </w:rPr>
        <w:t xml:space="preserve">  Commission Staff concluded that RCH is conducting its annual meetings appropriately and is complying with the requirements for classification as a nonprofit water supply corporation.</w:t>
      </w:r>
      <w:r w:rsidR="00265601">
        <w:rPr>
          <w:rStyle w:val="FootnoteReference"/>
          <w:color w:val="000000"/>
        </w:rPr>
        <w:footnoteReference w:id="43"/>
      </w:r>
      <w:r w:rsidR="00265601">
        <w:rPr>
          <w:color w:val="000000"/>
        </w:rPr>
        <w:t xml:space="preserve">  Therefore, Commission Staff concluded that the Commission does not have jurisdiction to investigate the Bullock’s billing complaint.</w:t>
      </w:r>
      <w:r w:rsidR="00265601">
        <w:rPr>
          <w:rStyle w:val="FootnoteReference"/>
          <w:color w:val="000000"/>
        </w:rPr>
        <w:footnoteReference w:id="44"/>
      </w:r>
      <w:r w:rsidR="00265601">
        <w:rPr>
          <w:color w:val="000000"/>
        </w:rPr>
        <w:t xml:space="preserve">  However, Commission Staff </w:t>
      </w:r>
      <w:r w:rsidR="00254EFA">
        <w:rPr>
          <w:color w:val="000000"/>
        </w:rPr>
        <w:t>recited</w:t>
      </w:r>
      <w:r w:rsidR="00265601">
        <w:rPr>
          <w:color w:val="000000"/>
        </w:rPr>
        <w:t xml:space="preserve"> several troubling issues with </w:t>
      </w:r>
      <w:r w:rsidR="00254EFA">
        <w:rPr>
          <w:color w:val="000000"/>
        </w:rPr>
        <w:t xml:space="preserve">regards to </w:t>
      </w:r>
      <w:r w:rsidR="00265601">
        <w:rPr>
          <w:color w:val="000000"/>
        </w:rPr>
        <w:t>RCH’s behavior and actions that</w:t>
      </w:r>
      <w:r w:rsidR="009159E9">
        <w:rPr>
          <w:color w:val="000000"/>
        </w:rPr>
        <w:t>,</w:t>
      </w:r>
      <w:r w:rsidR="00265601">
        <w:rPr>
          <w:color w:val="000000"/>
        </w:rPr>
        <w:t xml:space="preserve"> if true and if the utility were not entitled to treatment as a nonprofit water supply corporation, would likely violate the Commission’s consumer protection rules.</w:t>
      </w:r>
      <w:r w:rsidR="00265601">
        <w:rPr>
          <w:rStyle w:val="FootnoteReference"/>
          <w:color w:val="000000"/>
        </w:rPr>
        <w:footnoteReference w:id="45"/>
      </w:r>
      <w:r w:rsidR="00265601">
        <w:rPr>
          <w:color w:val="000000"/>
        </w:rPr>
        <w:t xml:space="preserve">  </w:t>
      </w:r>
    </w:p>
    <w:p w:rsidR="00A67AC1" w:rsidRDefault="00265601" w:rsidP="005448AE">
      <w:pPr>
        <w:spacing w:before="120" w:line="360" w:lineRule="auto"/>
        <w:ind w:firstLine="720"/>
        <w:textAlignment w:val="baseline"/>
        <w:rPr>
          <w:color w:val="000000"/>
        </w:rPr>
      </w:pPr>
      <w:r>
        <w:rPr>
          <w:color w:val="000000"/>
        </w:rPr>
        <w:t>The Commission does not agree with all of RCH’s assertions about its jurisdiction or that it has a</w:t>
      </w:r>
      <w:r w:rsidR="00254EFA">
        <w:rPr>
          <w:color w:val="000000"/>
        </w:rPr>
        <w:t>ny</w:t>
      </w:r>
      <w:r>
        <w:rPr>
          <w:color w:val="000000"/>
        </w:rPr>
        <w:t xml:space="preserve"> burden of proof in this type of proceeding.  </w:t>
      </w:r>
      <w:r w:rsidR="009159E9">
        <w:rPr>
          <w:color w:val="000000"/>
        </w:rPr>
        <w:t>The</w:t>
      </w:r>
      <w:r>
        <w:rPr>
          <w:color w:val="000000"/>
        </w:rPr>
        <w:t xml:space="preserve"> Commission </w:t>
      </w:r>
      <w:r w:rsidR="00254EFA">
        <w:rPr>
          <w:color w:val="000000"/>
        </w:rPr>
        <w:t xml:space="preserve">clearly </w:t>
      </w:r>
      <w:r w:rsidR="009159E9">
        <w:rPr>
          <w:color w:val="000000"/>
        </w:rPr>
        <w:t>has</w:t>
      </w:r>
      <w:r>
        <w:rPr>
          <w:color w:val="000000"/>
        </w:rPr>
        <w:t xml:space="preserve"> jurisdiction to gather the information </w:t>
      </w:r>
      <w:r w:rsidR="00A67AC1">
        <w:rPr>
          <w:color w:val="000000"/>
        </w:rPr>
        <w:t xml:space="preserve">it deems </w:t>
      </w:r>
      <w:r>
        <w:rPr>
          <w:color w:val="000000"/>
        </w:rPr>
        <w:t xml:space="preserve">necessary to make a determination whether a water supply corporation is not only qualified to be treated as a nonprofit </w:t>
      </w:r>
      <w:r w:rsidR="00A67AC1">
        <w:rPr>
          <w:color w:val="000000"/>
        </w:rPr>
        <w:t>water supply corporation, but also that the utility</w:t>
      </w:r>
      <w:r w:rsidR="003E3C50">
        <w:rPr>
          <w:color w:val="000000"/>
        </w:rPr>
        <w:t xml:space="preserve"> is acting in a manner that is consistent with that classification</w:t>
      </w:r>
      <w:r w:rsidR="00A67AC1">
        <w:rPr>
          <w:color w:val="000000"/>
        </w:rPr>
        <w:t xml:space="preserve">.  </w:t>
      </w:r>
      <w:r w:rsidR="003E3C50">
        <w:rPr>
          <w:color w:val="000000"/>
        </w:rPr>
        <w:t>T</w:t>
      </w:r>
      <w:r w:rsidR="00A67AC1">
        <w:rPr>
          <w:color w:val="000000"/>
        </w:rPr>
        <w:t xml:space="preserve">he Commission does not </w:t>
      </w:r>
      <w:r w:rsidR="003E3C50">
        <w:rPr>
          <w:color w:val="000000"/>
        </w:rPr>
        <w:t>find</w:t>
      </w:r>
      <w:r w:rsidR="00A67AC1">
        <w:rPr>
          <w:color w:val="000000"/>
        </w:rPr>
        <w:t xml:space="preserve"> that a water supply corporation should be protected from the production of documentation necessary to</w:t>
      </w:r>
      <w:r w:rsidR="003E3C50">
        <w:rPr>
          <w:color w:val="000000"/>
        </w:rPr>
        <w:t xml:space="preserve"> make</w:t>
      </w:r>
      <w:r w:rsidR="00A67AC1">
        <w:rPr>
          <w:color w:val="000000"/>
        </w:rPr>
        <w:t xml:space="preserve"> these determinations.  </w:t>
      </w:r>
    </w:p>
    <w:p w:rsidR="00703142" w:rsidRDefault="00566816" w:rsidP="005448AE">
      <w:pPr>
        <w:spacing w:before="120" w:line="360" w:lineRule="auto"/>
        <w:ind w:firstLine="720"/>
        <w:textAlignment w:val="baseline"/>
        <w:rPr>
          <w:color w:val="000000"/>
        </w:rPr>
      </w:pPr>
      <w:r>
        <w:rPr>
          <w:color w:val="000000"/>
        </w:rPr>
        <w:t>Here however,</w:t>
      </w:r>
      <w:r w:rsidR="00A67AC1">
        <w:rPr>
          <w:color w:val="000000"/>
        </w:rPr>
        <w:t xml:space="preserve"> the </w:t>
      </w:r>
      <w:r w:rsidR="00265601">
        <w:rPr>
          <w:color w:val="000000"/>
        </w:rPr>
        <w:t>Commission agrees with Commission Staff.  The</w:t>
      </w:r>
      <w:r w:rsidR="00803198">
        <w:rPr>
          <w:color w:val="000000"/>
        </w:rPr>
        <w:t xml:space="preserve"> </w:t>
      </w:r>
      <w:r w:rsidR="00BE5B58">
        <w:rPr>
          <w:color w:val="000000"/>
        </w:rPr>
        <w:t>Commission’</w:t>
      </w:r>
      <w:r w:rsidR="00F04612">
        <w:rPr>
          <w:color w:val="000000"/>
        </w:rPr>
        <w:t xml:space="preserve">s jurisdiction in this proceeding is based on </w:t>
      </w:r>
      <w:r w:rsidR="00BE5B58">
        <w:rPr>
          <w:color w:val="000000"/>
        </w:rPr>
        <w:t>TWC</w:t>
      </w:r>
      <w:r w:rsidR="00F04612">
        <w:rPr>
          <w:color w:val="000000"/>
        </w:rPr>
        <w:t xml:space="preserve"> § 13.004. </w:t>
      </w:r>
      <w:r w:rsidR="00BE5B58">
        <w:rPr>
          <w:color w:val="000000"/>
        </w:rPr>
        <w:t xml:space="preserve"> </w:t>
      </w:r>
      <w:r w:rsidR="00A67AC1">
        <w:rPr>
          <w:color w:val="000000"/>
        </w:rPr>
        <w:t xml:space="preserve">As noted by Commission Staff, RCH </w:t>
      </w:r>
      <w:r w:rsidR="003E3C50">
        <w:rPr>
          <w:color w:val="000000"/>
        </w:rPr>
        <w:t>is qualified as a nonprofit water supply corporation and its actions are consistent with that classification</w:t>
      </w:r>
      <w:r w:rsidR="00A67AC1">
        <w:rPr>
          <w:color w:val="000000"/>
        </w:rPr>
        <w:t xml:space="preserve">.  </w:t>
      </w:r>
      <w:r w:rsidR="00703142">
        <w:rPr>
          <w:color w:val="000000"/>
        </w:rPr>
        <w:t>For all these reasons, the Commission finds that RCH did not violate TWC § 13.004; therefore, this matter is dismissed for lack of jurisdiction.</w:t>
      </w:r>
    </w:p>
    <w:p w:rsidR="003970CD" w:rsidRPr="001B40F1" w:rsidRDefault="003970CD" w:rsidP="005448AE">
      <w:pPr>
        <w:spacing w:before="120" w:line="360" w:lineRule="auto"/>
        <w:ind w:left="144" w:firstLine="576"/>
        <w:textAlignment w:val="baseline"/>
        <w:rPr>
          <w:color w:val="000000"/>
        </w:rPr>
      </w:pPr>
      <w:r w:rsidRPr="001B40F1">
        <w:rPr>
          <w:color w:val="000000"/>
        </w:rPr>
        <w:t>The Commission adopts the following findings of fact and conclusions of law:</w:t>
      </w:r>
    </w:p>
    <w:p w:rsidR="003970CD" w:rsidRPr="001B40F1" w:rsidRDefault="003970CD" w:rsidP="006249D8">
      <w:pPr>
        <w:spacing w:before="360" w:line="360" w:lineRule="auto"/>
        <w:ind w:left="144" w:firstLine="720"/>
        <w:jc w:val="center"/>
        <w:textAlignment w:val="baseline"/>
        <w:rPr>
          <w:b/>
          <w:color w:val="000000"/>
        </w:rPr>
      </w:pPr>
      <w:r>
        <w:rPr>
          <w:b/>
          <w:color w:val="000000"/>
        </w:rPr>
        <w:t>II.</w:t>
      </w:r>
      <w:r w:rsidR="00CA6A82">
        <w:rPr>
          <w:b/>
          <w:color w:val="000000"/>
        </w:rPr>
        <w:tab/>
      </w:r>
      <w:r>
        <w:rPr>
          <w:b/>
          <w:color w:val="000000"/>
        </w:rPr>
        <w:t xml:space="preserve">Findings </w:t>
      </w:r>
      <w:r w:rsidRPr="001B40F1">
        <w:rPr>
          <w:b/>
          <w:color w:val="000000"/>
        </w:rPr>
        <w:t>of Fact</w:t>
      </w:r>
    </w:p>
    <w:p w:rsidR="003970CD" w:rsidRDefault="003970CD" w:rsidP="006249D8">
      <w:pPr>
        <w:pStyle w:val="NoFormatting"/>
        <w:rPr>
          <w:b/>
          <w:i/>
          <w:sz w:val="22"/>
          <w:szCs w:val="22"/>
          <w:u w:val="single"/>
        </w:rPr>
      </w:pPr>
      <w:r w:rsidRPr="001B40F1">
        <w:rPr>
          <w:b/>
          <w:i/>
          <w:sz w:val="22"/>
          <w:szCs w:val="22"/>
          <w:u w:val="single"/>
        </w:rPr>
        <w:t>Procedural History</w:t>
      </w:r>
    </w:p>
    <w:p w:rsidR="007C7D61" w:rsidRPr="007C7D61" w:rsidRDefault="004A3462" w:rsidP="006249D8">
      <w:pPr>
        <w:pStyle w:val="NoFormatting"/>
        <w:numPr>
          <w:ilvl w:val="0"/>
          <w:numId w:val="41"/>
        </w:numPr>
        <w:spacing w:before="120" w:line="360" w:lineRule="auto"/>
        <w:ind w:hanging="720"/>
        <w:rPr>
          <w:sz w:val="22"/>
          <w:szCs w:val="22"/>
        </w:rPr>
      </w:pPr>
      <w:r>
        <w:rPr>
          <w:szCs w:val="24"/>
          <w:lang w:eastAsia="en-US"/>
        </w:rPr>
        <w:t>On October 14, 2013</w:t>
      </w:r>
      <w:r w:rsidR="00DD7184" w:rsidRPr="00857460">
        <w:rPr>
          <w:szCs w:val="24"/>
          <w:lang w:eastAsia="en-US"/>
        </w:rPr>
        <w:t xml:space="preserve">, </w:t>
      </w:r>
      <w:r>
        <w:rPr>
          <w:szCs w:val="24"/>
          <w:lang w:eastAsia="en-US"/>
        </w:rPr>
        <w:t xml:space="preserve">the </w:t>
      </w:r>
      <w:r w:rsidR="00DD7184" w:rsidRPr="00857460">
        <w:rPr>
          <w:szCs w:val="24"/>
        </w:rPr>
        <w:t>Bullock</w:t>
      </w:r>
      <w:r>
        <w:rPr>
          <w:szCs w:val="24"/>
        </w:rPr>
        <w:t>s</w:t>
      </w:r>
      <w:r w:rsidR="00DD7184" w:rsidRPr="00857460">
        <w:rPr>
          <w:szCs w:val="24"/>
        </w:rPr>
        <w:t xml:space="preserve"> filed a </w:t>
      </w:r>
      <w:r w:rsidR="000D343B">
        <w:rPr>
          <w:szCs w:val="24"/>
        </w:rPr>
        <w:t>request</w:t>
      </w:r>
      <w:r w:rsidR="00DD7184" w:rsidRPr="00857460">
        <w:rPr>
          <w:szCs w:val="24"/>
        </w:rPr>
        <w:t xml:space="preserve"> with TCEQ</w:t>
      </w:r>
      <w:r w:rsidR="00DD7184" w:rsidRPr="00857460">
        <w:rPr>
          <w:szCs w:val="24"/>
          <w:lang w:eastAsia="en-US"/>
        </w:rPr>
        <w:t xml:space="preserve"> to investigate RCH.  </w:t>
      </w:r>
    </w:p>
    <w:p w:rsidR="004A3462" w:rsidRPr="004A3462" w:rsidRDefault="004A3462" w:rsidP="006249D8">
      <w:pPr>
        <w:pStyle w:val="NoFormatting"/>
        <w:numPr>
          <w:ilvl w:val="0"/>
          <w:numId w:val="41"/>
        </w:numPr>
        <w:spacing w:before="120" w:line="360" w:lineRule="auto"/>
        <w:ind w:hanging="720"/>
        <w:rPr>
          <w:sz w:val="22"/>
          <w:szCs w:val="22"/>
        </w:rPr>
      </w:pPr>
      <w:r>
        <w:rPr>
          <w:szCs w:val="24"/>
          <w:lang w:eastAsia="en-US"/>
        </w:rPr>
        <w:t>On November 12, 2013, TCEQ sent a notice of violation letter to RCH</w:t>
      </w:r>
      <w:r w:rsidR="000C4FF4">
        <w:rPr>
          <w:szCs w:val="24"/>
          <w:lang w:eastAsia="en-US"/>
        </w:rPr>
        <w:t>, regarding alleged violations of TCEQ’s billing rule, requiring a copy of RCH’s tariff and a response to the Bullock’s allegations</w:t>
      </w:r>
      <w:r>
        <w:rPr>
          <w:szCs w:val="24"/>
          <w:lang w:eastAsia="en-US"/>
        </w:rPr>
        <w:t xml:space="preserve">. </w:t>
      </w:r>
    </w:p>
    <w:p w:rsidR="007C7D61" w:rsidRPr="007C7D61" w:rsidRDefault="00DD7184" w:rsidP="006249D8">
      <w:pPr>
        <w:pStyle w:val="NoFormatting"/>
        <w:numPr>
          <w:ilvl w:val="0"/>
          <w:numId w:val="41"/>
        </w:numPr>
        <w:spacing w:before="120" w:line="360" w:lineRule="auto"/>
        <w:ind w:hanging="720"/>
        <w:rPr>
          <w:sz w:val="22"/>
          <w:szCs w:val="22"/>
        </w:rPr>
      </w:pPr>
      <w:r w:rsidRPr="00857460">
        <w:rPr>
          <w:szCs w:val="24"/>
          <w:lang w:eastAsia="en-US"/>
        </w:rPr>
        <w:t>On November 26, 2013, TCEQ accepted the petition for filing</w:t>
      </w:r>
      <w:r w:rsidR="003970CD">
        <w:rPr>
          <w:color w:val="000000"/>
        </w:rPr>
        <w:t>.</w:t>
      </w:r>
      <w:r w:rsidR="007A794F">
        <w:rPr>
          <w:color w:val="000000"/>
        </w:rPr>
        <w:t xml:space="preserve">  </w:t>
      </w:r>
    </w:p>
    <w:p w:rsidR="003970CD" w:rsidRPr="000C4FF4" w:rsidRDefault="000C4FF4" w:rsidP="006249D8">
      <w:pPr>
        <w:pStyle w:val="NoFormatting"/>
        <w:numPr>
          <w:ilvl w:val="0"/>
          <w:numId w:val="41"/>
        </w:numPr>
        <w:spacing w:before="120" w:line="360" w:lineRule="auto"/>
        <w:ind w:hanging="720"/>
        <w:rPr>
          <w:sz w:val="22"/>
          <w:szCs w:val="22"/>
        </w:rPr>
      </w:pPr>
      <w:r>
        <w:rPr>
          <w:color w:val="000000"/>
        </w:rPr>
        <w:t>On December 10</w:t>
      </w:r>
      <w:r w:rsidR="007A794F">
        <w:rPr>
          <w:color w:val="000000"/>
        </w:rPr>
        <w:t>, 2013, RCH filed a letter with TCEQ in response to Bullock’s petition.</w:t>
      </w:r>
    </w:p>
    <w:p w:rsidR="000C4FF4" w:rsidRPr="00DD7184" w:rsidRDefault="000C4FF4" w:rsidP="006249D8">
      <w:pPr>
        <w:pStyle w:val="NoFormatting"/>
        <w:numPr>
          <w:ilvl w:val="0"/>
          <w:numId w:val="41"/>
        </w:numPr>
        <w:spacing w:before="120" w:line="360" w:lineRule="auto"/>
        <w:ind w:hanging="720"/>
        <w:rPr>
          <w:sz w:val="22"/>
          <w:szCs w:val="22"/>
        </w:rPr>
      </w:pPr>
      <w:r>
        <w:rPr>
          <w:color w:val="000000"/>
        </w:rPr>
        <w:t>On January 3, 2014, TCEQ issued a final notice of violation letter to RCH, advising the utility that it had not received a copy of its tariff or a response to the Bullock’s allegations.</w:t>
      </w:r>
    </w:p>
    <w:p w:rsidR="000D343B" w:rsidRPr="000D343B" w:rsidRDefault="000C4FF4" w:rsidP="006249D8">
      <w:pPr>
        <w:pStyle w:val="NoFormatting"/>
        <w:numPr>
          <w:ilvl w:val="0"/>
          <w:numId w:val="41"/>
        </w:numPr>
        <w:spacing w:before="120" w:line="360" w:lineRule="auto"/>
        <w:ind w:hanging="720"/>
        <w:rPr>
          <w:sz w:val="22"/>
          <w:szCs w:val="22"/>
        </w:rPr>
      </w:pPr>
      <w:r>
        <w:rPr>
          <w:szCs w:val="24"/>
          <w:lang w:eastAsia="en-US"/>
        </w:rPr>
        <w:t>On September 1</w:t>
      </w:r>
      <w:r w:rsidR="00DD7184">
        <w:rPr>
          <w:szCs w:val="24"/>
          <w:lang w:eastAsia="en-US"/>
        </w:rPr>
        <w:t xml:space="preserve">, 2014, this matter was transferred </w:t>
      </w:r>
      <w:r w:rsidR="000D343B">
        <w:rPr>
          <w:szCs w:val="24"/>
          <w:lang w:eastAsia="en-US"/>
        </w:rPr>
        <w:t xml:space="preserve">from TCEQ </w:t>
      </w:r>
      <w:r w:rsidR="00DD7184">
        <w:rPr>
          <w:szCs w:val="24"/>
          <w:lang w:eastAsia="en-US"/>
        </w:rPr>
        <w:t xml:space="preserve">to the Commission.  </w:t>
      </w:r>
    </w:p>
    <w:p w:rsidR="00DD7184" w:rsidRDefault="00DD7184" w:rsidP="006249D8">
      <w:pPr>
        <w:pStyle w:val="NoFormatting"/>
        <w:numPr>
          <w:ilvl w:val="0"/>
          <w:numId w:val="41"/>
        </w:numPr>
        <w:spacing w:before="120" w:line="360" w:lineRule="auto"/>
        <w:ind w:hanging="720"/>
        <w:rPr>
          <w:sz w:val="22"/>
          <w:szCs w:val="22"/>
        </w:rPr>
      </w:pPr>
      <w:r>
        <w:rPr>
          <w:szCs w:val="24"/>
          <w:lang w:eastAsia="en-US"/>
        </w:rPr>
        <w:t xml:space="preserve">On March 15, 2015, </w:t>
      </w:r>
      <w:r w:rsidR="000C4FF4">
        <w:rPr>
          <w:szCs w:val="24"/>
          <w:lang w:eastAsia="en-US"/>
        </w:rPr>
        <w:t xml:space="preserve">the </w:t>
      </w:r>
      <w:r>
        <w:rPr>
          <w:szCs w:val="24"/>
          <w:lang w:eastAsia="en-US"/>
        </w:rPr>
        <w:t>Bullock</w:t>
      </w:r>
      <w:r w:rsidR="000C4FF4">
        <w:rPr>
          <w:szCs w:val="24"/>
          <w:lang w:eastAsia="en-US"/>
        </w:rPr>
        <w:t>s renewed</w:t>
      </w:r>
      <w:r>
        <w:rPr>
          <w:szCs w:val="24"/>
          <w:lang w:eastAsia="en-US"/>
        </w:rPr>
        <w:t xml:space="preserve"> t</w:t>
      </w:r>
      <w:r w:rsidR="000C4FF4">
        <w:rPr>
          <w:szCs w:val="24"/>
          <w:lang w:eastAsia="en-US"/>
        </w:rPr>
        <w:t>heir request that</w:t>
      </w:r>
      <w:r>
        <w:rPr>
          <w:szCs w:val="24"/>
          <w:lang w:eastAsia="en-US"/>
        </w:rPr>
        <w:t xml:space="preserve"> RCH </w:t>
      </w:r>
      <w:r w:rsidR="000C4FF4">
        <w:rPr>
          <w:szCs w:val="24"/>
          <w:lang w:eastAsia="en-US"/>
        </w:rPr>
        <w:t>be investigated</w:t>
      </w:r>
      <w:r>
        <w:rPr>
          <w:szCs w:val="24"/>
          <w:lang w:eastAsia="en-US"/>
        </w:rPr>
        <w:t>.</w:t>
      </w:r>
    </w:p>
    <w:p w:rsidR="003970CD" w:rsidRPr="00514D64" w:rsidRDefault="003970CD" w:rsidP="006249D8">
      <w:pPr>
        <w:pStyle w:val="NoFormatting"/>
        <w:numPr>
          <w:ilvl w:val="0"/>
          <w:numId w:val="41"/>
        </w:numPr>
        <w:spacing w:before="120" w:line="360" w:lineRule="auto"/>
        <w:ind w:hanging="720"/>
        <w:rPr>
          <w:sz w:val="22"/>
          <w:szCs w:val="22"/>
        </w:rPr>
      </w:pPr>
      <w:r>
        <w:rPr>
          <w:color w:val="000000"/>
        </w:rPr>
        <w:t xml:space="preserve">On </w:t>
      </w:r>
      <w:r w:rsidR="00A973F5">
        <w:rPr>
          <w:color w:val="000000"/>
        </w:rPr>
        <w:t xml:space="preserve">September </w:t>
      </w:r>
      <w:r w:rsidR="00AB6601">
        <w:rPr>
          <w:color w:val="000000"/>
        </w:rPr>
        <w:t>4</w:t>
      </w:r>
      <w:r w:rsidR="00A973F5">
        <w:rPr>
          <w:color w:val="000000"/>
        </w:rPr>
        <w:t>, 2015</w:t>
      </w:r>
      <w:r>
        <w:rPr>
          <w:color w:val="000000"/>
        </w:rPr>
        <w:t xml:space="preserve">, </w:t>
      </w:r>
      <w:r w:rsidR="00A34609">
        <w:rPr>
          <w:szCs w:val="24"/>
        </w:rPr>
        <w:t xml:space="preserve">Order No. 1 was issued, </w:t>
      </w:r>
      <w:r w:rsidRPr="00D9412D">
        <w:rPr>
          <w:szCs w:val="24"/>
        </w:rPr>
        <w:t xml:space="preserve">requiring </w:t>
      </w:r>
      <w:r w:rsidR="00AB6601">
        <w:rPr>
          <w:szCs w:val="24"/>
        </w:rPr>
        <w:t>RCH</w:t>
      </w:r>
      <w:r w:rsidRPr="00D9412D">
        <w:rPr>
          <w:szCs w:val="24"/>
        </w:rPr>
        <w:t xml:space="preserve"> to respond to </w:t>
      </w:r>
      <w:r w:rsidR="000C4FF4">
        <w:rPr>
          <w:szCs w:val="24"/>
        </w:rPr>
        <w:t>the Bullocks’</w:t>
      </w:r>
      <w:r w:rsidR="00AB6601">
        <w:rPr>
          <w:szCs w:val="24"/>
        </w:rPr>
        <w:t xml:space="preserve"> </w:t>
      </w:r>
      <w:r w:rsidR="000D343B">
        <w:rPr>
          <w:szCs w:val="24"/>
        </w:rPr>
        <w:t>request</w:t>
      </w:r>
      <w:r w:rsidR="00B64D71">
        <w:rPr>
          <w:szCs w:val="24"/>
        </w:rPr>
        <w:t xml:space="preserve"> </w:t>
      </w:r>
      <w:r>
        <w:rPr>
          <w:szCs w:val="24"/>
        </w:rPr>
        <w:t>and requiring a Commission Staff position statement.</w:t>
      </w:r>
    </w:p>
    <w:p w:rsidR="003970CD" w:rsidRPr="004D2F57" w:rsidRDefault="003970CD" w:rsidP="006249D8">
      <w:pPr>
        <w:pStyle w:val="NoFormatting"/>
        <w:numPr>
          <w:ilvl w:val="0"/>
          <w:numId w:val="41"/>
        </w:numPr>
        <w:spacing w:before="120" w:line="360" w:lineRule="auto"/>
        <w:ind w:hanging="720"/>
        <w:rPr>
          <w:sz w:val="22"/>
          <w:szCs w:val="22"/>
        </w:rPr>
      </w:pPr>
      <w:r>
        <w:rPr>
          <w:szCs w:val="24"/>
        </w:rPr>
        <w:t xml:space="preserve">On </w:t>
      </w:r>
      <w:r w:rsidR="007A794F">
        <w:rPr>
          <w:szCs w:val="24"/>
        </w:rPr>
        <w:t xml:space="preserve">September 24, 2015, RCH </w:t>
      </w:r>
      <w:r w:rsidR="00D55928">
        <w:rPr>
          <w:szCs w:val="24"/>
        </w:rPr>
        <w:t xml:space="preserve">responded to Bullock’s request, seeking </w:t>
      </w:r>
      <w:r w:rsidR="007A794F">
        <w:rPr>
          <w:szCs w:val="24"/>
        </w:rPr>
        <w:t>dismissal</w:t>
      </w:r>
      <w:r w:rsidR="00D55928">
        <w:rPr>
          <w:szCs w:val="24"/>
        </w:rPr>
        <w:t xml:space="preserve"> based upon the Commission</w:t>
      </w:r>
      <w:r w:rsidR="001F5663">
        <w:rPr>
          <w:szCs w:val="24"/>
        </w:rPr>
        <w:t>’s</w:t>
      </w:r>
      <w:r w:rsidR="00D55928">
        <w:rPr>
          <w:szCs w:val="24"/>
        </w:rPr>
        <w:t xml:space="preserve"> lack of jurisdiction </w:t>
      </w:r>
      <w:r w:rsidR="007A794F">
        <w:rPr>
          <w:szCs w:val="24"/>
        </w:rPr>
        <w:t>pursuant to TWC § 13.004</w:t>
      </w:r>
      <w:r>
        <w:rPr>
          <w:szCs w:val="24"/>
        </w:rPr>
        <w:t>.</w:t>
      </w:r>
    </w:p>
    <w:p w:rsidR="00D55928" w:rsidRPr="00D55928" w:rsidRDefault="00D55928" w:rsidP="006249D8">
      <w:pPr>
        <w:pStyle w:val="NoFormatting"/>
        <w:numPr>
          <w:ilvl w:val="0"/>
          <w:numId w:val="41"/>
        </w:numPr>
        <w:spacing w:before="120" w:line="360" w:lineRule="auto"/>
        <w:ind w:hanging="720"/>
        <w:rPr>
          <w:szCs w:val="24"/>
        </w:rPr>
      </w:pPr>
      <w:r w:rsidRPr="00D55928">
        <w:rPr>
          <w:color w:val="000000"/>
        </w:rPr>
        <w:t xml:space="preserve">On September 29, 2015, Commission Staff recommended that RCH be ordered to provide </w:t>
      </w:r>
      <w:r w:rsidR="00AF0168">
        <w:rPr>
          <w:color w:val="000000"/>
        </w:rPr>
        <w:t>certain information.</w:t>
      </w:r>
    </w:p>
    <w:p w:rsidR="00D55928" w:rsidRDefault="00D55928" w:rsidP="006249D8">
      <w:pPr>
        <w:pStyle w:val="NoFormatting"/>
        <w:numPr>
          <w:ilvl w:val="0"/>
          <w:numId w:val="41"/>
        </w:numPr>
        <w:spacing w:before="120" w:line="360" w:lineRule="auto"/>
        <w:ind w:hanging="720"/>
        <w:rPr>
          <w:szCs w:val="24"/>
        </w:rPr>
      </w:pPr>
      <w:r w:rsidRPr="00D55928">
        <w:rPr>
          <w:szCs w:val="24"/>
        </w:rPr>
        <w:t>On September 30, 3015, Order No. 2 was issued, requiring that RCH provide the information requested by Commission Staff.</w:t>
      </w:r>
    </w:p>
    <w:p w:rsidR="00FB26AB" w:rsidRDefault="00FB26AB" w:rsidP="006249D8">
      <w:pPr>
        <w:pStyle w:val="NoFormatting"/>
        <w:numPr>
          <w:ilvl w:val="0"/>
          <w:numId w:val="41"/>
        </w:numPr>
        <w:spacing w:before="120" w:line="360" w:lineRule="auto"/>
        <w:ind w:hanging="720"/>
        <w:rPr>
          <w:szCs w:val="24"/>
        </w:rPr>
      </w:pPr>
      <w:r>
        <w:rPr>
          <w:szCs w:val="24"/>
        </w:rPr>
        <w:t>On October 15, 2015, RCH filed its current tariff and service regulations but requested additional time to locate and produce the i</w:t>
      </w:r>
      <w:r w:rsidR="001F5663">
        <w:rPr>
          <w:szCs w:val="24"/>
        </w:rPr>
        <w:t>tems requested from the Texas So</w:t>
      </w:r>
      <w:r>
        <w:rPr>
          <w:szCs w:val="24"/>
        </w:rPr>
        <w:t>S.</w:t>
      </w:r>
    </w:p>
    <w:p w:rsidR="001F5663" w:rsidRDefault="008028C5" w:rsidP="006249D8">
      <w:pPr>
        <w:pStyle w:val="NoFormatting"/>
        <w:numPr>
          <w:ilvl w:val="0"/>
          <w:numId w:val="41"/>
        </w:numPr>
        <w:spacing w:before="120" w:line="360" w:lineRule="auto"/>
        <w:ind w:hanging="720"/>
        <w:rPr>
          <w:szCs w:val="24"/>
        </w:rPr>
      </w:pPr>
      <w:r>
        <w:rPr>
          <w:szCs w:val="24"/>
        </w:rPr>
        <w:t xml:space="preserve">On October 21, 2015, RCH filed its </w:t>
      </w:r>
      <w:r w:rsidR="001F5663">
        <w:rPr>
          <w:szCs w:val="24"/>
        </w:rPr>
        <w:t>Texas So</w:t>
      </w:r>
      <w:r>
        <w:rPr>
          <w:szCs w:val="24"/>
        </w:rPr>
        <w:t>S documentation.</w:t>
      </w:r>
    </w:p>
    <w:p w:rsidR="008028C5" w:rsidRPr="001F5663" w:rsidRDefault="008028C5" w:rsidP="006249D8">
      <w:pPr>
        <w:pStyle w:val="NoFormatting"/>
        <w:numPr>
          <w:ilvl w:val="0"/>
          <w:numId w:val="41"/>
        </w:numPr>
        <w:spacing w:before="120" w:line="360" w:lineRule="auto"/>
        <w:ind w:hanging="720"/>
        <w:rPr>
          <w:szCs w:val="24"/>
        </w:rPr>
      </w:pPr>
      <w:r w:rsidRPr="008028C5">
        <w:t>On October 22, 2015, Commission Staff recommended that RCH be ordered to</w:t>
      </w:r>
      <w:r w:rsidR="00AF0168">
        <w:t xml:space="preserve"> provide additional information.</w:t>
      </w:r>
    </w:p>
    <w:p w:rsidR="001F5663" w:rsidRDefault="008028C5" w:rsidP="006249D8">
      <w:pPr>
        <w:pStyle w:val="NoFormatting"/>
        <w:numPr>
          <w:ilvl w:val="0"/>
          <w:numId w:val="41"/>
        </w:numPr>
        <w:spacing w:before="120" w:line="360" w:lineRule="auto"/>
        <w:ind w:hanging="720"/>
        <w:rPr>
          <w:szCs w:val="24"/>
        </w:rPr>
      </w:pPr>
      <w:r>
        <w:rPr>
          <w:szCs w:val="24"/>
        </w:rPr>
        <w:t xml:space="preserve">On October 23, 2015, Order No. 4 was issued, requiring the additional information </w:t>
      </w:r>
      <w:r w:rsidRPr="00D55928">
        <w:rPr>
          <w:szCs w:val="24"/>
        </w:rPr>
        <w:t>requested by Commission Staff</w:t>
      </w:r>
      <w:r w:rsidR="00AF0168">
        <w:rPr>
          <w:szCs w:val="24"/>
        </w:rPr>
        <w:t>.</w:t>
      </w:r>
    </w:p>
    <w:p w:rsidR="001F5663" w:rsidRDefault="008028C5" w:rsidP="006249D8">
      <w:pPr>
        <w:pStyle w:val="NoFormatting"/>
        <w:numPr>
          <w:ilvl w:val="0"/>
          <w:numId w:val="41"/>
        </w:numPr>
        <w:spacing w:before="120" w:line="360" w:lineRule="auto"/>
        <w:ind w:hanging="720"/>
        <w:rPr>
          <w:szCs w:val="24"/>
        </w:rPr>
      </w:pPr>
      <w:r w:rsidRPr="001F5663">
        <w:rPr>
          <w:szCs w:val="24"/>
        </w:rPr>
        <w:t xml:space="preserve">On October 28, 2015, RCH objected to the </w:t>
      </w:r>
      <w:r w:rsidR="00AF0168" w:rsidRPr="001F5663">
        <w:rPr>
          <w:szCs w:val="24"/>
        </w:rPr>
        <w:t xml:space="preserve">additional </w:t>
      </w:r>
      <w:r w:rsidRPr="001F5663">
        <w:rPr>
          <w:szCs w:val="24"/>
        </w:rPr>
        <w:t>documents requested by Commission Staff</w:t>
      </w:r>
      <w:r w:rsidR="00AF0168" w:rsidRPr="001F5663">
        <w:rPr>
          <w:szCs w:val="24"/>
        </w:rPr>
        <w:t xml:space="preserve"> and requested protection from production.</w:t>
      </w:r>
    </w:p>
    <w:p w:rsidR="001F5663" w:rsidRDefault="003655EC" w:rsidP="006249D8">
      <w:pPr>
        <w:pStyle w:val="NoFormatting"/>
        <w:numPr>
          <w:ilvl w:val="0"/>
          <w:numId w:val="41"/>
        </w:numPr>
        <w:spacing w:before="120" w:line="360" w:lineRule="auto"/>
        <w:ind w:hanging="720"/>
        <w:rPr>
          <w:szCs w:val="24"/>
        </w:rPr>
      </w:pPr>
      <w:r w:rsidRPr="001F5663">
        <w:rPr>
          <w:szCs w:val="24"/>
        </w:rPr>
        <w:t>On October 30, 2015, Commission Staff responded to RCH’s objection, stating that the information was necessary not only to demonstrate that RCH is a water supply corporation, but also to establish whether it is meeting all the requirements of classification under TWC § 13.002(24).</w:t>
      </w:r>
    </w:p>
    <w:p w:rsidR="001F5663" w:rsidRDefault="003655EC" w:rsidP="006249D8">
      <w:pPr>
        <w:pStyle w:val="NoFormatting"/>
        <w:numPr>
          <w:ilvl w:val="0"/>
          <w:numId w:val="41"/>
        </w:numPr>
        <w:spacing w:before="120" w:line="360" w:lineRule="auto"/>
        <w:ind w:hanging="720"/>
        <w:rPr>
          <w:szCs w:val="24"/>
        </w:rPr>
      </w:pPr>
      <w:r w:rsidRPr="001F5663">
        <w:rPr>
          <w:szCs w:val="24"/>
        </w:rPr>
        <w:t xml:space="preserve">On November 10, 2015, RCH </w:t>
      </w:r>
      <w:r w:rsidR="00AF0168" w:rsidRPr="001F5663">
        <w:rPr>
          <w:szCs w:val="24"/>
        </w:rPr>
        <w:t xml:space="preserve">re-urged its request for protection from production and </w:t>
      </w:r>
      <w:r w:rsidRPr="001F5663">
        <w:rPr>
          <w:szCs w:val="24"/>
        </w:rPr>
        <w:t xml:space="preserve">filed an affidavit </w:t>
      </w:r>
      <w:r w:rsidR="00AF0168" w:rsidRPr="001F5663">
        <w:rPr>
          <w:szCs w:val="24"/>
        </w:rPr>
        <w:t>to some of the</w:t>
      </w:r>
      <w:r w:rsidRPr="001F5663">
        <w:rPr>
          <w:szCs w:val="24"/>
        </w:rPr>
        <w:t xml:space="preserve"> information responsive to Commission Staff’s request.</w:t>
      </w:r>
    </w:p>
    <w:p w:rsidR="001F5663" w:rsidRDefault="003655EC" w:rsidP="006249D8">
      <w:pPr>
        <w:pStyle w:val="NoFormatting"/>
        <w:numPr>
          <w:ilvl w:val="0"/>
          <w:numId w:val="41"/>
        </w:numPr>
        <w:spacing w:before="120" w:line="360" w:lineRule="auto"/>
        <w:ind w:hanging="720"/>
        <w:rPr>
          <w:szCs w:val="24"/>
        </w:rPr>
      </w:pPr>
      <w:r w:rsidRPr="001F5663">
        <w:rPr>
          <w:szCs w:val="24"/>
        </w:rPr>
        <w:t>On November 17, 2015, Commission Staff recommended that RCH’s responsive information be found adequate for further review of this proceeding.</w:t>
      </w:r>
    </w:p>
    <w:p w:rsidR="001F5663" w:rsidRDefault="003655EC" w:rsidP="006249D8">
      <w:pPr>
        <w:pStyle w:val="NoFormatting"/>
        <w:numPr>
          <w:ilvl w:val="0"/>
          <w:numId w:val="41"/>
        </w:numPr>
        <w:spacing w:before="120" w:line="360" w:lineRule="auto"/>
        <w:ind w:hanging="720"/>
        <w:rPr>
          <w:szCs w:val="24"/>
        </w:rPr>
      </w:pPr>
      <w:r w:rsidRPr="001F5663">
        <w:rPr>
          <w:szCs w:val="24"/>
        </w:rPr>
        <w:t>On November 18, 2015, Order No. 5 was issued, finding RCH’s information sufficient and establishing a deadline for Commission Staff’s final recommendation regarding this docket.</w:t>
      </w:r>
    </w:p>
    <w:p w:rsidR="001F5663" w:rsidRPr="001F5663" w:rsidRDefault="001F5663" w:rsidP="006249D8">
      <w:pPr>
        <w:pStyle w:val="NoFormatting"/>
        <w:numPr>
          <w:ilvl w:val="0"/>
          <w:numId w:val="41"/>
        </w:numPr>
        <w:spacing w:before="120" w:line="360" w:lineRule="auto"/>
        <w:ind w:hanging="720"/>
        <w:rPr>
          <w:szCs w:val="24"/>
        </w:rPr>
      </w:pPr>
      <w:r>
        <w:rPr>
          <w:szCs w:val="24"/>
        </w:rPr>
        <w:t>On January 15, 2016</w:t>
      </w:r>
      <w:r w:rsidR="003655EC" w:rsidRPr="001F5663">
        <w:rPr>
          <w:szCs w:val="24"/>
        </w:rPr>
        <w:t xml:space="preserve">, Commission Staff </w:t>
      </w:r>
      <w:r w:rsidR="00AF0168" w:rsidRPr="001F5663">
        <w:rPr>
          <w:szCs w:val="24"/>
        </w:rPr>
        <w:t>recommended dismissal for lack of jurisdiction.</w:t>
      </w:r>
    </w:p>
    <w:p w:rsidR="001F5663" w:rsidRPr="001F5663" w:rsidRDefault="001F5663" w:rsidP="00CC4A76">
      <w:pPr>
        <w:pStyle w:val="FOFNumbered"/>
        <w:numPr>
          <w:ilvl w:val="0"/>
          <w:numId w:val="0"/>
        </w:numPr>
        <w:spacing w:before="240"/>
        <w:rPr>
          <w:b/>
          <w:i/>
          <w:snapToGrid/>
          <w:sz w:val="22"/>
          <w:szCs w:val="22"/>
          <w:u w:val="single"/>
        </w:rPr>
      </w:pPr>
      <w:r w:rsidRPr="001F40D1">
        <w:rPr>
          <w:b/>
          <w:i/>
          <w:snapToGrid/>
          <w:sz w:val="22"/>
          <w:szCs w:val="22"/>
          <w:u w:val="single"/>
        </w:rPr>
        <w:t>Complaint</w:t>
      </w:r>
    </w:p>
    <w:p w:rsidR="001F5663" w:rsidRPr="001F5663" w:rsidRDefault="00BE25C5" w:rsidP="005448AE">
      <w:pPr>
        <w:pStyle w:val="NoFormatting"/>
        <w:numPr>
          <w:ilvl w:val="0"/>
          <w:numId w:val="41"/>
        </w:numPr>
        <w:spacing w:line="360" w:lineRule="auto"/>
        <w:ind w:hanging="720"/>
        <w:rPr>
          <w:szCs w:val="24"/>
        </w:rPr>
      </w:pPr>
      <w:r w:rsidRPr="001F5663">
        <w:t>The Bullocks are</w:t>
      </w:r>
      <w:r w:rsidR="0066634E" w:rsidRPr="001F5663">
        <w:t xml:space="preserve"> </w:t>
      </w:r>
      <w:r w:rsidR="00BC093F" w:rsidRPr="001F5663">
        <w:t xml:space="preserve">a member of </w:t>
      </w:r>
      <w:r w:rsidR="00B06D6A" w:rsidRPr="001F5663">
        <w:t>RCH</w:t>
      </w:r>
      <w:r w:rsidR="003970CD" w:rsidRPr="001F5663">
        <w:t>.</w:t>
      </w:r>
    </w:p>
    <w:p w:rsidR="001F5663" w:rsidRPr="001F5663" w:rsidRDefault="00BE25C5" w:rsidP="005448AE">
      <w:pPr>
        <w:pStyle w:val="NoFormatting"/>
        <w:numPr>
          <w:ilvl w:val="0"/>
          <w:numId w:val="41"/>
        </w:numPr>
        <w:spacing w:before="120" w:line="360" w:lineRule="auto"/>
        <w:ind w:hanging="720"/>
        <w:rPr>
          <w:szCs w:val="24"/>
        </w:rPr>
      </w:pPr>
      <w:r w:rsidRPr="001F5663">
        <w:t>The Bullocks</w:t>
      </w:r>
      <w:r w:rsidR="00F81903" w:rsidRPr="001F5663">
        <w:t xml:space="preserve"> allege</w:t>
      </w:r>
      <w:r w:rsidRPr="001F5663">
        <w:t xml:space="preserve"> that they are being held liable by RCH for a delinquent balance that J&amp;M, a former tenant of one of their properties, incurred.  </w:t>
      </w:r>
    </w:p>
    <w:p w:rsidR="001F5663" w:rsidRPr="001F5663" w:rsidRDefault="00BE25C5" w:rsidP="005448AE">
      <w:pPr>
        <w:pStyle w:val="NoFormatting"/>
        <w:numPr>
          <w:ilvl w:val="0"/>
          <w:numId w:val="41"/>
        </w:numPr>
        <w:spacing w:before="120" w:line="360" w:lineRule="auto"/>
        <w:ind w:hanging="720"/>
        <w:rPr>
          <w:szCs w:val="24"/>
        </w:rPr>
      </w:pPr>
      <w:r w:rsidRPr="001F5663">
        <w:t xml:space="preserve">The Bullocks allege that RCH accepted a deposit from J&amp;M and transferred the bill into J&amp;M’s name. </w:t>
      </w:r>
    </w:p>
    <w:p w:rsidR="001F5663" w:rsidRPr="001F5663" w:rsidRDefault="00BE25C5" w:rsidP="005448AE">
      <w:pPr>
        <w:pStyle w:val="NoFormatting"/>
        <w:numPr>
          <w:ilvl w:val="0"/>
          <w:numId w:val="41"/>
        </w:numPr>
        <w:spacing w:before="120" w:line="360" w:lineRule="auto"/>
        <w:ind w:hanging="720"/>
        <w:rPr>
          <w:szCs w:val="24"/>
        </w:rPr>
      </w:pPr>
      <w:r>
        <w:t xml:space="preserve">The </w:t>
      </w:r>
      <w:r w:rsidR="00F57EE5">
        <w:t>Bullock</w:t>
      </w:r>
      <w:r>
        <w:t>s allege</w:t>
      </w:r>
      <w:r w:rsidR="00F57EE5">
        <w:t xml:space="preserve"> that they never signed an "Alternate Billing Agreement," under RCH’s</w:t>
      </w:r>
      <w:r w:rsidR="00973386">
        <w:t xml:space="preserve"> tariff; therefore, they </w:t>
      </w:r>
      <w:r w:rsidR="00F57EE5">
        <w:t xml:space="preserve">cannot be held liable for the balance </w:t>
      </w:r>
      <w:r w:rsidR="00F81903">
        <w:t>J&amp;M</w:t>
      </w:r>
      <w:r w:rsidR="00F57EE5">
        <w:t xml:space="preserve"> incurred.</w:t>
      </w:r>
    </w:p>
    <w:p w:rsidR="001F5663" w:rsidRPr="001F5663" w:rsidRDefault="00F57EE5" w:rsidP="005448AE">
      <w:pPr>
        <w:pStyle w:val="NoFormatting"/>
        <w:numPr>
          <w:ilvl w:val="0"/>
          <w:numId w:val="41"/>
        </w:numPr>
        <w:spacing w:before="120" w:line="360" w:lineRule="auto"/>
        <w:ind w:hanging="720"/>
        <w:rPr>
          <w:szCs w:val="24"/>
        </w:rPr>
      </w:pPr>
      <w:r>
        <w:t xml:space="preserve">Upon written inquiry by </w:t>
      </w:r>
      <w:r w:rsidR="00BE25C5">
        <w:t xml:space="preserve">the </w:t>
      </w:r>
      <w:r>
        <w:t>Bullock</w:t>
      </w:r>
      <w:r w:rsidR="00BE25C5">
        <w:t>s</w:t>
      </w:r>
      <w:r>
        <w:t xml:space="preserve"> to RCH and </w:t>
      </w:r>
      <w:r w:rsidR="00F81903">
        <w:t>RCH’s</w:t>
      </w:r>
      <w:r>
        <w:t xml:space="preserve"> board of directors regarding this dispute, </w:t>
      </w:r>
      <w:r w:rsidR="00BE25C5">
        <w:t xml:space="preserve">the </w:t>
      </w:r>
      <w:r>
        <w:t>Bullock</w:t>
      </w:r>
      <w:r w:rsidR="00BE25C5">
        <w:t>s allege</w:t>
      </w:r>
      <w:r>
        <w:t xml:space="preserve"> that they did not receive a written response of resolution, as required by the Grievance Policy under RCH’</w:t>
      </w:r>
      <w:r w:rsidRPr="00F57EE5">
        <w:t>s tariff.</w:t>
      </w:r>
    </w:p>
    <w:p w:rsidR="001F5663" w:rsidRPr="001F5663" w:rsidRDefault="00BE25C5" w:rsidP="005448AE">
      <w:pPr>
        <w:pStyle w:val="NoFormatting"/>
        <w:numPr>
          <w:ilvl w:val="0"/>
          <w:numId w:val="41"/>
        </w:numPr>
        <w:spacing w:before="120" w:line="360" w:lineRule="auto"/>
        <w:ind w:hanging="720"/>
        <w:rPr>
          <w:szCs w:val="24"/>
        </w:rPr>
      </w:pPr>
      <w:r>
        <w:t>The Bullocks allege that RCH charged the Bullocks a transfer fee to put the bill back in their name.</w:t>
      </w:r>
    </w:p>
    <w:p w:rsidR="001F5663" w:rsidRPr="001F5663" w:rsidRDefault="00BE25C5" w:rsidP="005448AE">
      <w:pPr>
        <w:pStyle w:val="NoFormatting"/>
        <w:numPr>
          <w:ilvl w:val="0"/>
          <w:numId w:val="41"/>
        </w:numPr>
        <w:spacing w:before="120" w:line="360" w:lineRule="auto"/>
        <w:ind w:hanging="720"/>
        <w:rPr>
          <w:szCs w:val="24"/>
        </w:rPr>
      </w:pPr>
      <w:r>
        <w:t xml:space="preserve">The </w:t>
      </w:r>
      <w:r w:rsidR="00F57EE5">
        <w:t>Bullock</w:t>
      </w:r>
      <w:r>
        <w:t>s allege</w:t>
      </w:r>
      <w:r w:rsidR="00F57EE5">
        <w:t>, for the property at issue, that they have timely paid each water bill in person</w:t>
      </w:r>
      <w:r>
        <w:t xml:space="preserve"> since J&amp;M moved out</w:t>
      </w:r>
      <w:r w:rsidR="00F57EE5">
        <w:t xml:space="preserve">, but that RCH has not cashed any of </w:t>
      </w:r>
      <w:r w:rsidR="00F57EE5" w:rsidRPr="00F57EE5">
        <w:t>the checks for those bills</w:t>
      </w:r>
      <w:r w:rsidR="00F57EE5">
        <w:t>.  Instead</w:t>
      </w:r>
      <w:r w:rsidR="001F5663">
        <w:t>,</w:t>
      </w:r>
      <w:r w:rsidR="00F57EE5">
        <w:t xml:space="preserve"> RCH continues to add late fees to </w:t>
      </w:r>
      <w:r w:rsidR="00973386">
        <w:t xml:space="preserve">the </w:t>
      </w:r>
      <w:r w:rsidR="00F57EE5">
        <w:t xml:space="preserve">Bullock’s bill.  </w:t>
      </w:r>
    </w:p>
    <w:p w:rsidR="00F57EE5" w:rsidRPr="001F5663" w:rsidRDefault="00BE25C5" w:rsidP="005448AE">
      <w:pPr>
        <w:pStyle w:val="NoFormatting"/>
        <w:numPr>
          <w:ilvl w:val="0"/>
          <w:numId w:val="41"/>
        </w:numPr>
        <w:spacing w:before="120" w:line="360" w:lineRule="auto"/>
        <w:ind w:hanging="720"/>
        <w:rPr>
          <w:szCs w:val="24"/>
        </w:rPr>
      </w:pPr>
      <w:r>
        <w:t xml:space="preserve">The </w:t>
      </w:r>
      <w:r w:rsidR="00F57EE5">
        <w:t>Bullock</w:t>
      </w:r>
      <w:r>
        <w:t>s allege</w:t>
      </w:r>
      <w:r w:rsidR="00F57EE5">
        <w:t xml:space="preserve"> that RCH’s nonprofit status is not compliant, and that RCH has not posted notice with the County Clerk’</w:t>
      </w:r>
      <w:r w:rsidR="00F57EE5" w:rsidRPr="00F57EE5">
        <w:t>s Office regarding monthly water board meeting dates and locations.</w:t>
      </w:r>
    </w:p>
    <w:p w:rsidR="003970CD" w:rsidRPr="001F40D1" w:rsidRDefault="002730FB" w:rsidP="006249D8">
      <w:pPr>
        <w:pStyle w:val="FOFNumbered"/>
        <w:numPr>
          <w:ilvl w:val="0"/>
          <w:numId w:val="0"/>
        </w:numPr>
        <w:spacing w:before="360"/>
        <w:jc w:val="center"/>
        <w:rPr>
          <w:b/>
          <w:snapToGrid/>
        </w:rPr>
      </w:pPr>
      <w:r>
        <w:rPr>
          <w:b/>
        </w:rPr>
        <w:t>III</w:t>
      </w:r>
      <w:r w:rsidR="003970CD">
        <w:rPr>
          <w:b/>
        </w:rPr>
        <w:t>.</w:t>
      </w:r>
      <w:r w:rsidR="003970CD">
        <w:rPr>
          <w:b/>
        </w:rPr>
        <w:tab/>
      </w:r>
      <w:r w:rsidR="003970CD" w:rsidRPr="001F40D1">
        <w:rPr>
          <w:b/>
        </w:rPr>
        <w:t>Conclusions of Law</w:t>
      </w:r>
    </w:p>
    <w:p w:rsidR="003970CD" w:rsidRPr="00773A27" w:rsidRDefault="00AB4976" w:rsidP="005448AE">
      <w:pPr>
        <w:pStyle w:val="FOFNumbered"/>
        <w:numPr>
          <w:ilvl w:val="0"/>
          <w:numId w:val="42"/>
        </w:numPr>
        <w:ind w:hanging="720"/>
        <w:rPr>
          <w:snapToGrid/>
        </w:rPr>
      </w:pPr>
      <w:r>
        <w:rPr>
          <w:szCs w:val="24"/>
        </w:rPr>
        <w:t>The Commission does not have jurisdiction over the Bullock’s complaint under TWC § 13.004(a)</w:t>
      </w:r>
      <w:r w:rsidR="00A34609">
        <w:rPr>
          <w:snapToGrid/>
        </w:rPr>
        <w:t>.</w:t>
      </w:r>
    </w:p>
    <w:p w:rsidR="00A34609" w:rsidRPr="00D9412D" w:rsidRDefault="00B06D6A" w:rsidP="005448AE">
      <w:pPr>
        <w:pStyle w:val="FOFNumbered"/>
        <w:numPr>
          <w:ilvl w:val="0"/>
          <w:numId w:val="42"/>
        </w:numPr>
        <w:ind w:hanging="720"/>
        <w:rPr>
          <w:snapToGrid/>
        </w:rPr>
      </w:pPr>
      <w:r>
        <w:rPr>
          <w:snapToGrid/>
        </w:rPr>
        <w:t>RCH</w:t>
      </w:r>
      <w:r w:rsidR="001F5663">
        <w:rPr>
          <w:snapToGrid/>
        </w:rPr>
        <w:t xml:space="preserve"> is a non</w:t>
      </w:r>
      <w:r w:rsidR="00A34609">
        <w:rPr>
          <w:snapToGrid/>
        </w:rPr>
        <w:t>pro</w:t>
      </w:r>
      <w:r w:rsidR="00F81903">
        <w:rPr>
          <w:snapToGrid/>
        </w:rPr>
        <w:t>fit water supply corporation as described in</w:t>
      </w:r>
      <w:r w:rsidR="00A34609">
        <w:rPr>
          <w:snapToGrid/>
        </w:rPr>
        <w:t xml:space="preserve"> </w:t>
      </w:r>
      <w:r w:rsidR="00A34609">
        <w:t xml:space="preserve">TWC </w:t>
      </w:r>
      <w:r w:rsidR="00BE25C5">
        <w:rPr>
          <w:color w:val="000000"/>
        </w:rPr>
        <w:t>§ 13.002</w:t>
      </w:r>
      <w:r w:rsidR="00A34609">
        <w:rPr>
          <w:color w:val="000000"/>
        </w:rPr>
        <w:t>(24)</w:t>
      </w:r>
      <w:r w:rsidR="00F81903">
        <w:rPr>
          <w:color w:val="000000"/>
        </w:rPr>
        <w:t>.</w:t>
      </w:r>
    </w:p>
    <w:p w:rsidR="003425ED" w:rsidRDefault="003425ED" w:rsidP="005448AE">
      <w:pPr>
        <w:pStyle w:val="FOFNumbered"/>
        <w:numPr>
          <w:ilvl w:val="0"/>
          <w:numId w:val="42"/>
        </w:numPr>
        <w:ind w:hanging="720"/>
        <w:rPr>
          <w:snapToGrid/>
          <w:szCs w:val="24"/>
        </w:rPr>
      </w:pPr>
      <w:r w:rsidRPr="00CB5559">
        <w:t xml:space="preserve">This docket was processed in accordance with the requirements of </w:t>
      </w:r>
      <w:r>
        <w:t xml:space="preserve">the </w:t>
      </w:r>
      <w:r w:rsidR="00F81903">
        <w:t>TWC</w:t>
      </w:r>
      <w:r w:rsidRPr="00075BF2">
        <w:rPr>
          <w:smallCaps/>
        </w:rPr>
        <w:t xml:space="preserve"> </w:t>
      </w:r>
      <w:r w:rsidRPr="00CB5559">
        <w:t>and Commission rules</w:t>
      </w:r>
      <w:r w:rsidRPr="00CB5559">
        <w:rPr>
          <w:snapToGrid/>
          <w:szCs w:val="24"/>
        </w:rPr>
        <w:t>.</w:t>
      </w:r>
    </w:p>
    <w:p w:rsidR="00036428" w:rsidRPr="00036428" w:rsidRDefault="00B06D6A" w:rsidP="005448AE">
      <w:pPr>
        <w:pStyle w:val="FOFNumbered"/>
        <w:numPr>
          <w:ilvl w:val="0"/>
          <w:numId w:val="42"/>
        </w:numPr>
        <w:ind w:hanging="720"/>
        <w:rPr>
          <w:snapToGrid/>
        </w:rPr>
      </w:pPr>
      <w:r>
        <w:rPr>
          <w:szCs w:val="24"/>
        </w:rPr>
        <w:t>RCH</w:t>
      </w:r>
      <w:r w:rsidR="00036428" w:rsidRPr="00A973F5">
        <w:rPr>
          <w:szCs w:val="24"/>
        </w:rPr>
        <w:t xml:space="preserve"> </w:t>
      </w:r>
      <w:r w:rsidR="004A3E32">
        <w:rPr>
          <w:szCs w:val="24"/>
        </w:rPr>
        <w:t xml:space="preserve">is entitled to dismissal of this proceeding, having demonstrated that the utility </w:t>
      </w:r>
      <w:r w:rsidR="00A34609">
        <w:rPr>
          <w:szCs w:val="24"/>
        </w:rPr>
        <w:t xml:space="preserve">did not violate TWC § 13.004.  </w:t>
      </w:r>
    </w:p>
    <w:p w:rsidR="00036428" w:rsidRPr="00036428" w:rsidRDefault="00036428" w:rsidP="005448AE">
      <w:pPr>
        <w:pStyle w:val="BodyTextIndented"/>
        <w:widowControl w:val="0"/>
        <w:numPr>
          <w:ilvl w:val="0"/>
          <w:numId w:val="42"/>
        </w:numPr>
        <w:autoSpaceDE w:val="0"/>
        <w:autoSpaceDN w:val="0"/>
        <w:ind w:hanging="720"/>
      </w:pPr>
      <w:r w:rsidRPr="005336C5">
        <w:t xml:space="preserve">The 20-day notice requirement in </w:t>
      </w:r>
      <w:r>
        <w:t xml:space="preserve">16 </w:t>
      </w:r>
      <w:r w:rsidRPr="005336C5">
        <w:t>T</w:t>
      </w:r>
      <w:r w:rsidR="008F7990">
        <w:t xml:space="preserve">ex. </w:t>
      </w:r>
      <w:r w:rsidRPr="005336C5">
        <w:t>A</w:t>
      </w:r>
      <w:r w:rsidR="008F7990">
        <w:t xml:space="preserve">dmin. </w:t>
      </w:r>
      <w:r w:rsidRPr="005336C5">
        <w:t>C</w:t>
      </w:r>
      <w:r w:rsidR="008F7990">
        <w:t>ode</w:t>
      </w:r>
      <w:r w:rsidRPr="005336C5">
        <w:t xml:space="preserve"> § 22.35 </w:t>
      </w:r>
      <w:r w:rsidR="008F7990">
        <w:t xml:space="preserve">(TAC) </w:t>
      </w:r>
      <w:r w:rsidRPr="005336C5">
        <w:t>has been met in this proceeding.</w:t>
      </w:r>
    </w:p>
    <w:p w:rsidR="003970CD" w:rsidRPr="002D5AB2" w:rsidRDefault="002730FB" w:rsidP="006249D8">
      <w:pPr>
        <w:pStyle w:val="FOFNumbered"/>
        <w:numPr>
          <w:ilvl w:val="0"/>
          <w:numId w:val="0"/>
        </w:numPr>
        <w:spacing w:before="360"/>
        <w:jc w:val="center"/>
        <w:rPr>
          <w:b/>
        </w:rPr>
      </w:pPr>
      <w:r>
        <w:rPr>
          <w:b/>
        </w:rPr>
        <w:t>I</w:t>
      </w:r>
      <w:r w:rsidR="0029623D">
        <w:rPr>
          <w:b/>
        </w:rPr>
        <w:t>V.</w:t>
      </w:r>
      <w:r w:rsidR="0029623D">
        <w:rPr>
          <w:b/>
        </w:rPr>
        <w:tab/>
      </w:r>
      <w:r w:rsidR="003970CD" w:rsidRPr="002D5AB2">
        <w:rPr>
          <w:b/>
        </w:rPr>
        <w:t>Ordering Paragraphs</w:t>
      </w:r>
    </w:p>
    <w:p w:rsidR="003970CD" w:rsidRPr="00CB5559" w:rsidRDefault="003970CD" w:rsidP="005448AE">
      <w:pPr>
        <w:tabs>
          <w:tab w:val="left" w:pos="720"/>
        </w:tabs>
        <w:spacing w:before="120" w:line="360" w:lineRule="auto"/>
        <w:textAlignment w:val="baseline"/>
        <w:rPr>
          <w:color w:val="000000"/>
          <w:szCs w:val="24"/>
        </w:rPr>
      </w:pPr>
      <w:r w:rsidRPr="00CB5559">
        <w:rPr>
          <w:color w:val="000000"/>
          <w:szCs w:val="24"/>
        </w:rPr>
        <w:tab/>
        <w:t>In accordance with these findings of fact and conclusions of law, the Commission issues the following Order:</w:t>
      </w:r>
    </w:p>
    <w:p w:rsidR="00F57EE5" w:rsidRDefault="003970CD" w:rsidP="005448AE">
      <w:pPr>
        <w:pStyle w:val="BodyTextIndented"/>
        <w:tabs>
          <w:tab w:val="left" w:pos="720"/>
        </w:tabs>
        <w:ind w:left="720" w:hanging="720"/>
      </w:pPr>
      <w:r>
        <w:t>1.</w:t>
      </w:r>
      <w:r>
        <w:tab/>
      </w:r>
      <w:r w:rsidR="00F81903">
        <w:t>The Bullocks’</w:t>
      </w:r>
      <w:r w:rsidR="0045719C">
        <w:t xml:space="preserve"> </w:t>
      </w:r>
      <w:r w:rsidR="00036428">
        <w:t xml:space="preserve">request </w:t>
      </w:r>
      <w:r w:rsidR="0045719C">
        <w:t xml:space="preserve">is dismissed </w:t>
      </w:r>
      <w:r w:rsidRPr="00CB5559">
        <w:t xml:space="preserve">pursuant to </w:t>
      </w:r>
      <w:r w:rsidR="00036428">
        <w:t xml:space="preserve">16 TAC </w:t>
      </w:r>
      <w:r w:rsidR="003425ED">
        <w:t xml:space="preserve">§ </w:t>
      </w:r>
      <w:r w:rsidR="00036428">
        <w:t>22.181(a</w:t>
      </w:r>
      <w:proofErr w:type="gramStart"/>
      <w:r w:rsidR="00036428">
        <w:t>)(</w:t>
      </w:r>
      <w:proofErr w:type="gramEnd"/>
      <w:r w:rsidR="00036428">
        <w:t xml:space="preserve">1)(A), for lack of jurisdiction.  </w:t>
      </w:r>
    </w:p>
    <w:p w:rsidR="00E30DD5" w:rsidRDefault="003970CD" w:rsidP="005448AE">
      <w:pPr>
        <w:pStyle w:val="BodyTextIndented"/>
        <w:ind w:left="720" w:hanging="720"/>
      </w:pPr>
      <w:r>
        <w:t>2</w:t>
      </w:r>
      <w:r w:rsidRPr="00CB5559">
        <w:t>.</w:t>
      </w:r>
      <w:r w:rsidRPr="00CB5559">
        <w:tab/>
        <w:t xml:space="preserve">All other motions, requests for entry of specific finds of fact and conclusions of law, and any other request for general or specific relief, if not expressly granted herein, are denied. </w:t>
      </w:r>
    </w:p>
    <w:p w:rsidR="00DE1CD6" w:rsidRPr="00F250B5" w:rsidRDefault="00DE1CD6" w:rsidP="00C5496D">
      <w:pPr>
        <w:keepNext/>
        <w:spacing w:before="360"/>
        <w:ind w:firstLine="720"/>
        <w:rPr>
          <w:b/>
          <w:szCs w:val="24"/>
        </w:rPr>
      </w:pPr>
      <w:r w:rsidRPr="00F250B5">
        <w:rPr>
          <w:b/>
          <w:szCs w:val="24"/>
        </w:rPr>
        <w:t>Si</w:t>
      </w:r>
      <w:bookmarkStart w:id="0" w:name="_GoBack"/>
      <w:bookmarkEnd w:id="0"/>
      <w:r w:rsidRPr="00F250B5">
        <w:rPr>
          <w:b/>
          <w:szCs w:val="24"/>
        </w:rPr>
        <w:t xml:space="preserve">gned </w:t>
      </w:r>
      <w:r>
        <w:rPr>
          <w:b/>
          <w:szCs w:val="24"/>
        </w:rPr>
        <w:t>at</w:t>
      </w:r>
      <w:r w:rsidRPr="00F250B5">
        <w:rPr>
          <w:b/>
          <w:szCs w:val="24"/>
        </w:rPr>
        <w:t xml:space="preserve"> Austin, Texas the </w:t>
      </w:r>
      <w:r w:rsidRPr="00F250B5">
        <w:rPr>
          <w:szCs w:val="24"/>
        </w:rPr>
        <w:t xml:space="preserve">______ </w:t>
      </w:r>
      <w:r w:rsidRPr="00F250B5">
        <w:rPr>
          <w:b/>
          <w:szCs w:val="24"/>
        </w:rPr>
        <w:t xml:space="preserve">day of </w:t>
      </w:r>
      <w:r>
        <w:rPr>
          <w:b/>
          <w:szCs w:val="24"/>
        </w:rPr>
        <w:t>April 2016.</w:t>
      </w:r>
    </w:p>
    <w:p w:rsidR="003970CD" w:rsidRPr="00CB5559" w:rsidRDefault="003970CD" w:rsidP="00CD2B3E">
      <w:pPr>
        <w:pStyle w:val="BodyTextIndented"/>
        <w:spacing w:before="360" w:after="600"/>
        <w:ind w:left="3600" w:firstLine="0"/>
        <w:rPr>
          <w:b/>
        </w:rPr>
      </w:pPr>
      <w:r w:rsidRPr="00CB5559">
        <w:rPr>
          <w:b/>
        </w:rPr>
        <w:t>PUBLIC UTILITY COMMISSION OF TEXAS</w:t>
      </w:r>
    </w:p>
    <w:p w:rsidR="003970CD" w:rsidRPr="00312703" w:rsidRDefault="003970CD" w:rsidP="006249D8">
      <w:pPr>
        <w:keepNext/>
        <w:tabs>
          <w:tab w:val="left" w:pos="3600"/>
          <w:tab w:val="left" w:pos="8370"/>
        </w:tabs>
        <w:spacing w:before="120"/>
        <w:rPr>
          <w:szCs w:val="24"/>
        </w:rPr>
      </w:pPr>
      <w:r w:rsidRPr="00CB5559">
        <w:rPr>
          <w:b/>
          <w:szCs w:val="24"/>
        </w:rPr>
        <w:tab/>
      </w:r>
      <w:r w:rsidRPr="00CB5559">
        <w:rPr>
          <w:b/>
          <w:szCs w:val="24"/>
          <w:u w:val="single"/>
        </w:rPr>
        <w:tab/>
      </w:r>
      <w:r w:rsidRPr="00312703">
        <w:rPr>
          <w:szCs w:val="24"/>
          <w:u w:val="single"/>
        </w:rPr>
        <w:t>_____</w:t>
      </w:r>
      <w:r>
        <w:rPr>
          <w:szCs w:val="24"/>
          <w:u w:val="single"/>
        </w:rPr>
        <w:t>_</w:t>
      </w:r>
    </w:p>
    <w:p w:rsidR="003970CD" w:rsidRPr="00CB5559" w:rsidRDefault="003970CD" w:rsidP="006249D8">
      <w:pPr>
        <w:keepNext/>
        <w:tabs>
          <w:tab w:val="left" w:pos="3600"/>
          <w:tab w:val="left" w:pos="8640"/>
        </w:tabs>
        <w:rPr>
          <w:b/>
          <w:szCs w:val="24"/>
        </w:rPr>
      </w:pPr>
      <w:r w:rsidRPr="00CB5559">
        <w:rPr>
          <w:b/>
          <w:szCs w:val="24"/>
        </w:rPr>
        <w:tab/>
        <w:t>DONNA L. NELSON, CHAIRMAN</w:t>
      </w:r>
    </w:p>
    <w:p w:rsidR="003970CD" w:rsidRPr="00CB5559" w:rsidRDefault="003970CD" w:rsidP="006249D8">
      <w:pPr>
        <w:keepNext/>
        <w:tabs>
          <w:tab w:val="left" w:pos="2880"/>
          <w:tab w:val="left" w:pos="8640"/>
        </w:tabs>
        <w:rPr>
          <w:b/>
          <w:szCs w:val="24"/>
        </w:rPr>
      </w:pPr>
    </w:p>
    <w:p w:rsidR="003970CD" w:rsidRPr="00CB5559" w:rsidRDefault="003970CD" w:rsidP="006249D8">
      <w:pPr>
        <w:keepNext/>
        <w:tabs>
          <w:tab w:val="left" w:pos="2880"/>
          <w:tab w:val="left" w:pos="8640"/>
        </w:tabs>
        <w:rPr>
          <w:b/>
          <w:szCs w:val="24"/>
        </w:rPr>
      </w:pPr>
    </w:p>
    <w:p w:rsidR="003970CD" w:rsidRPr="00CB5559" w:rsidRDefault="003970CD" w:rsidP="006249D8">
      <w:pPr>
        <w:keepNext/>
        <w:tabs>
          <w:tab w:val="left" w:pos="2880"/>
          <w:tab w:val="left" w:pos="8640"/>
        </w:tabs>
        <w:rPr>
          <w:b/>
          <w:szCs w:val="24"/>
        </w:rPr>
      </w:pPr>
    </w:p>
    <w:p w:rsidR="003970CD" w:rsidRPr="00312703" w:rsidRDefault="003970CD" w:rsidP="006249D8">
      <w:pPr>
        <w:keepNext/>
        <w:tabs>
          <w:tab w:val="left" w:pos="3600"/>
          <w:tab w:val="left" w:pos="8370"/>
        </w:tabs>
        <w:rPr>
          <w:szCs w:val="24"/>
        </w:rPr>
      </w:pPr>
      <w:r w:rsidRPr="00CB5559">
        <w:rPr>
          <w:b/>
          <w:szCs w:val="24"/>
        </w:rPr>
        <w:tab/>
      </w:r>
      <w:r w:rsidRPr="00CB5559">
        <w:rPr>
          <w:b/>
          <w:szCs w:val="24"/>
          <w:u w:val="single"/>
        </w:rPr>
        <w:tab/>
      </w:r>
      <w:r w:rsidRPr="00312703">
        <w:rPr>
          <w:szCs w:val="24"/>
          <w:u w:val="single"/>
        </w:rPr>
        <w:t>_____</w:t>
      </w:r>
      <w:r>
        <w:rPr>
          <w:szCs w:val="24"/>
          <w:u w:val="single"/>
        </w:rPr>
        <w:t>_</w:t>
      </w:r>
    </w:p>
    <w:p w:rsidR="003970CD" w:rsidRPr="00CB5559" w:rsidRDefault="003970CD" w:rsidP="006249D8">
      <w:pPr>
        <w:keepNext/>
        <w:tabs>
          <w:tab w:val="left" w:pos="3600"/>
          <w:tab w:val="left" w:pos="8640"/>
        </w:tabs>
        <w:rPr>
          <w:b/>
          <w:szCs w:val="24"/>
        </w:rPr>
      </w:pPr>
      <w:r w:rsidRPr="00CB5559">
        <w:rPr>
          <w:b/>
          <w:szCs w:val="24"/>
        </w:rPr>
        <w:tab/>
        <w:t>KENNETH W. ANDERSON, JR., COMMISSIONER</w:t>
      </w:r>
    </w:p>
    <w:p w:rsidR="003970CD" w:rsidRPr="00CB5559" w:rsidRDefault="003970CD" w:rsidP="006249D8">
      <w:pPr>
        <w:keepNext/>
        <w:tabs>
          <w:tab w:val="left" w:pos="2880"/>
          <w:tab w:val="left" w:pos="8640"/>
        </w:tabs>
        <w:rPr>
          <w:b/>
          <w:szCs w:val="24"/>
        </w:rPr>
      </w:pPr>
    </w:p>
    <w:p w:rsidR="003970CD" w:rsidRPr="00CB5559" w:rsidRDefault="003970CD" w:rsidP="006249D8">
      <w:pPr>
        <w:keepNext/>
        <w:tabs>
          <w:tab w:val="left" w:pos="2880"/>
          <w:tab w:val="left" w:pos="8640"/>
        </w:tabs>
        <w:rPr>
          <w:b/>
          <w:szCs w:val="24"/>
        </w:rPr>
      </w:pPr>
    </w:p>
    <w:p w:rsidR="003970CD" w:rsidRPr="00CB5559" w:rsidRDefault="003970CD" w:rsidP="006249D8">
      <w:pPr>
        <w:keepNext/>
        <w:tabs>
          <w:tab w:val="left" w:pos="2880"/>
          <w:tab w:val="left" w:pos="8640"/>
        </w:tabs>
        <w:rPr>
          <w:b/>
          <w:szCs w:val="24"/>
        </w:rPr>
      </w:pPr>
    </w:p>
    <w:p w:rsidR="003970CD" w:rsidRPr="00312703" w:rsidRDefault="003970CD" w:rsidP="006249D8">
      <w:pPr>
        <w:keepNext/>
        <w:tabs>
          <w:tab w:val="left" w:pos="3600"/>
          <w:tab w:val="left" w:pos="8370"/>
        </w:tabs>
        <w:rPr>
          <w:szCs w:val="24"/>
        </w:rPr>
      </w:pPr>
      <w:r w:rsidRPr="00CB5559">
        <w:rPr>
          <w:b/>
          <w:szCs w:val="24"/>
        </w:rPr>
        <w:tab/>
      </w:r>
      <w:r w:rsidRPr="00CB5559">
        <w:rPr>
          <w:b/>
          <w:szCs w:val="24"/>
          <w:u w:val="single"/>
        </w:rPr>
        <w:tab/>
      </w:r>
      <w:r w:rsidRPr="00312703">
        <w:rPr>
          <w:szCs w:val="24"/>
          <w:u w:val="single"/>
        </w:rPr>
        <w:t>_____</w:t>
      </w:r>
      <w:r>
        <w:rPr>
          <w:szCs w:val="24"/>
          <w:u w:val="single"/>
        </w:rPr>
        <w:t>_</w:t>
      </w:r>
    </w:p>
    <w:p w:rsidR="003970CD" w:rsidRPr="00CB5559" w:rsidRDefault="003970CD" w:rsidP="006249D8">
      <w:pPr>
        <w:keepNext/>
        <w:tabs>
          <w:tab w:val="left" w:pos="3600"/>
          <w:tab w:val="left" w:pos="8640"/>
        </w:tabs>
        <w:rPr>
          <w:b/>
          <w:szCs w:val="24"/>
        </w:rPr>
      </w:pPr>
      <w:r w:rsidRPr="00CB5559">
        <w:rPr>
          <w:b/>
          <w:szCs w:val="24"/>
        </w:rPr>
        <w:tab/>
        <w:t>BRANDY MARTY</w:t>
      </w:r>
      <w:r>
        <w:rPr>
          <w:b/>
          <w:szCs w:val="24"/>
        </w:rPr>
        <w:t xml:space="preserve"> MARQUEZ</w:t>
      </w:r>
      <w:r w:rsidRPr="00CB5559">
        <w:rPr>
          <w:b/>
          <w:szCs w:val="24"/>
        </w:rPr>
        <w:t>, COMMISSIONER</w:t>
      </w:r>
    </w:p>
    <w:p w:rsidR="003970CD" w:rsidRDefault="003970CD" w:rsidP="006249D8">
      <w:pPr>
        <w:keepNext/>
        <w:rPr>
          <w:sz w:val="16"/>
          <w:szCs w:val="16"/>
        </w:rPr>
      </w:pPr>
    </w:p>
    <w:p w:rsidR="003970CD" w:rsidRDefault="003970CD" w:rsidP="006249D8">
      <w:pPr>
        <w:keepNext/>
        <w:rPr>
          <w:sz w:val="16"/>
          <w:szCs w:val="16"/>
        </w:rPr>
      </w:pPr>
    </w:p>
    <w:p w:rsidR="00B06D6A" w:rsidRDefault="00B06D6A" w:rsidP="006249D8">
      <w:pPr>
        <w:keepNext/>
        <w:rPr>
          <w:sz w:val="16"/>
          <w:szCs w:val="16"/>
        </w:rPr>
      </w:pPr>
    </w:p>
    <w:p w:rsidR="00B06D6A" w:rsidRDefault="00B06D6A" w:rsidP="006249D8">
      <w:pPr>
        <w:keepNext/>
        <w:rPr>
          <w:sz w:val="16"/>
          <w:szCs w:val="16"/>
        </w:rPr>
      </w:pPr>
    </w:p>
    <w:p w:rsidR="003970CD" w:rsidRPr="003970CD" w:rsidRDefault="003970CD" w:rsidP="006249D8">
      <w:pPr>
        <w:keepNext/>
        <w:rPr>
          <w:szCs w:val="24"/>
        </w:rPr>
      </w:pPr>
      <w:r w:rsidRPr="00CB5559">
        <w:rPr>
          <w:sz w:val="16"/>
          <w:szCs w:val="16"/>
        </w:rPr>
        <w:fldChar w:fldCharType="begin"/>
      </w:r>
      <w:r w:rsidRPr="00CB5559">
        <w:rPr>
          <w:sz w:val="16"/>
          <w:szCs w:val="16"/>
        </w:rPr>
        <w:instrText xml:space="preserve"> FILENAME \* Lower\p \* MERGEFORMAT </w:instrText>
      </w:r>
      <w:r w:rsidRPr="00CB5559">
        <w:rPr>
          <w:sz w:val="16"/>
          <w:szCs w:val="16"/>
        </w:rPr>
        <w:fldChar w:fldCharType="separate"/>
      </w:r>
      <w:r w:rsidR="00B06D6A">
        <w:rPr>
          <w:noProof/>
          <w:sz w:val="16"/>
          <w:szCs w:val="16"/>
        </w:rPr>
        <w:t>q:\cadm\docket management\water\miscellaneous\43xxx\43121po.docx</w:t>
      </w:r>
      <w:r w:rsidRPr="00CB5559">
        <w:rPr>
          <w:sz w:val="16"/>
          <w:szCs w:val="16"/>
        </w:rPr>
        <w:fldChar w:fldCharType="end"/>
      </w:r>
      <w:r w:rsidR="005F46F9">
        <w:rPr>
          <w:sz w:val="16"/>
          <w:szCs w:val="16"/>
        </w:rPr>
        <w:t xml:space="preserve"> </w:t>
      </w:r>
    </w:p>
    <w:sectPr w:rsidR="003970CD" w:rsidRPr="003970CD" w:rsidSect="00F04612">
      <w:headerReference w:type="default" r:id="rId8"/>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E5C" w:rsidRDefault="009B7E5C">
      <w:r>
        <w:separator/>
      </w:r>
    </w:p>
  </w:endnote>
  <w:endnote w:type="continuationSeparator" w:id="0">
    <w:p w:rsidR="009B7E5C" w:rsidRDefault="009B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E5C" w:rsidRDefault="009B7E5C">
      <w:r>
        <w:separator/>
      </w:r>
    </w:p>
  </w:footnote>
  <w:footnote w:type="continuationSeparator" w:id="0">
    <w:p w:rsidR="009B7E5C" w:rsidRDefault="009B7E5C">
      <w:r>
        <w:continuationSeparator/>
      </w:r>
    </w:p>
  </w:footnote>
  <w:footnote w:id="1">
    <w:p w:rsidR="009B7E5C" w:rsidRDefault="009B7E5C" w:rsidP="00690D28">
      <w:pPr>
        <w:pStyle w:val="FootnoteText"/>
        <w:spacing w:before="0" w:after="120"/>
      </w:pPr>
      <w:r>
        <w:rPr>
          <w:rStyle w:val="FootnoteReference"/>
        </w:rPr>
        <w:footnoteRef/>
      </w:r>
      <w:r>
        <w:t xml:space="preserve">  Bullock Letter to TCEQ at 1 (Oct. 14, 2013)</w:t>
      </w:r>
      <w:r w:rsidR="004A3462">
        <w:t xml:space="preserve"> (Oct. 14</w:t>
      </w:r>
      <w:r w:rsidR="004A3462" w:rsidRPr="004A3462">
        <w:rPr>
          <w:vertAlign w:val="superscript"/>
        </w:rPr>
        <w:t>th</w:t>
      </w:r>
      <w:r w:rsidR="004A3462">
        <w:t xml:space="preserve"> Letter).</w:t>
      </w:r>
    </w:p>
  </w:footnote>
  <w:footnote w:id="2">
    <w:p w:rsidR="004A3462" w:rsidRDefault="004A3462" w:rsidP="00690D28">
      <w:pPr>
        <w:pStyle w:val="FootnoteText"/>
        <w:spacing w:before="0" w:after="120"/>
      </w:pPr>
      <w:r>
        <w:rPr>
          <w:rStyle w:val="FootnoteReference"/>
        </w:rPr>
        <w:footnoteRef/>
      </w:r>
      <w:r>
        <w:t xml:space="preserve">  Note: The underlying dispute i</w:t>
      </w:r>
      <w:r w:rsidR="00F81903">
        <w:t xml:space="preserve">n </w:t>
      </w:r>
      <w:r w:rsidR="002730FB">
        <w:t xml:space="preserve">this </w:t>
      </w:r>
      <w:r w:rsidR="00F81903">
        <w:t>proceeding</w:t>
      </w:r>
      <w:r>
        <w:t xml:space="preserve"> is described in detail in the Bullock’s March 15, 2015 filing and described on page 3 of this Order</w:t>
      </w:r>
      <w:r w:rsidR="00F81903">
        <w:t xml:space="preserve"> and in Findings of Fact Nos. 18-25</w:t>
      </w:r>
      <w:r>
        <w:t>.</w:t>
      </w:r>
    </w:p>
  </w:footnote>
  <w:footnote w:id="3">
    <w:p w:rsidR="009B7E5C" w:rsidRDefault="009B7E5C" w:rsidP="00690D28">
      <w:pPr>
        <w:pStyle w:val="FootnoteText"/>
        <w:spacing w:before="0" w:after="120"/>
      </w:pPr>
      <w:r>
        <w:rPr>
          <w:rStyle w:val="FootnoteReference"/>
        </w:rPr>
        <w:footnoteRef/>
      </w:r>
      <w:r>
        <w:t xml:space="preserve">  </w:t>
      </w:r>
      <w:r w:rsidR="004A3462" w:rsidRPr="004A3462">
        <w:t>October 14</w:t>
      </w:r>
      <w:r w:rsidR="004A3462" w:rsidRPr="004A3462">
        <w:rPr>
          <w:vertAlign w:val="superscript"/>
        </w:rPr>
        <w:t>th</w:t>
      </w:r>
      <w:r w:rsidR="004A3462" w:rsidRPr="004A3462">
        <w:t xml:space="preserve"> letter at 1.</w:t>
      </w:r>
    </w:p>
  </w:footnote>
  <w:footnote w:id="4">
    <w:p w:rsidR="009B7E5C" w:rsidRDefault="009B7E5C" w:rsidP="00690D28">
      <w:pPr>
        <w:pStyle w:val="FootnoteText"/>
        <w:spacing w:before="0" w:after="120"/>
      </w:pPr>
      <w:r>
        <w:rPr>
          <w:rStyle w:val="FootnoteReference"/>
        </w:rPr>
        <w:footnoteRef/>
      </w:r>
      <w:r>
        <w:t xml:space="preserve">  </w:t>
      </w:r>
      <w:r w:rsidRPr="00045141">
        <w:rPr>
          <w:i/>
        </w:rPr>
        <w:t>Id.</w:t>
      </w:r>
    </w:p>
  </w:footnote>
  <w:footnote w:id="5">
    <w:p w:rsidR="00FA4C66" w:rsidRDefault="00FA4C66" w:rsidP="00690D28">
      <w:pPr>
        <w:pStyle w:val="FootnoteText"/>
        <w:spacing w:before="0" w:after="120"/>
      </w:pPr>
      <w:r>
        <w:rPr>
          <w:rStyle w:val="FootnoteReference"/>
        </w:rPr>
        <w:footnoteRef/>
      </w:r>
      <w:r>
        <w:t xml:space="preserve">  </w:t>
      </w:r>
      <w:r w:rsidRPr="00FA4C66">
        <w:rPr>
          <w:i/>
        </w:rPr>
        <w:t>Id.</w:t>
      </w:r>
      <w:r>
        <w:t xml:space="preserve"> at 2.</w:t>
      </w:r>
    </w:p>
  </w:footnote>
  <w:footnote w:id="6">
    <w:p w:rsidR="009B7E5C" w:rsidRDefault="009B7E5C" w:rsidP="001F2A6D">
      <w:pPr>
        <w:pStyle w:val="FootnoteText"/>
        <w:spacing w:before="0" w:after="120"/>
      </w:pPr>
      <w:r>
        <w:rPr>
          <w:rStyle w:val="FootnoteReference"/>
        </w:rPr>
        <w:footnoteRef/>
      </w:r>
      <w:r>
        <w:t xml:space="preserve">  TCEQ Notice of Violation to RCH at 1 (Nov. 12, 2013).</w:t>
      </w:r>
    </w:p>
  </w:footnote>
  <w:footnote w:id="7">
    <w:p w:rsidR="009B7E5C" w:rsidRDefault="009B7E5C" w:rsidP="001F2A6D">
      <w:pPr>
        <w:pStyle w:val="FootnoteText"/>
        <w:spacing w:before="0" w:after="120"/>
      </w:pPr>
      <w:r>
        <w:rPr>
          <w:rStyle w:val="FootnoteReference"/>
        </w:rPr>
        <w:footnoteRef/>
      </w:r>
      <w:r>
        <w:t xml:space="preserve">  </w:t>
      </w:r>
      <w:r w:rsidRPr="00950D3D">
        <w:rPr>
          <w:i/>
        </w:rPr>
        <w:t>Id.</w:t>
      </w:r>
    </w:p>
  </w:footnote>
  <w:footnote w:id="8">
    <w:p w:rsidR="009B7E5C" w:rsidRDefault="009B7E5C" w:rsidP="001F2A6D">
      <w:pPr>
        <w:pStyle w:val="FootnoteText"/>
        <w:spacing w:before="0" w:after="120"/>
      </w:pPr>
      <w:r>
        <w:rPr>
          <w:rStyle w:val="FootnoteReference"/>
        </w:rPr>
        <w:footnoteRef/>
      </w:r>
      <w:r>
        <w:t xml:space="preserve">  </w:t>
      </w:r>
      <w:r w:rsidRPr="00950D3D">
        <w:rPr>
          <w:i/>
        </w:rPr>
        <w:t xml:space="preserve">Id. </w:t>
      </w:r>
      <w:r>
        <w:t>at 1-2.</w:t>
      </w:r>
    </w:p>
  </w:footnote>
  <w:footnote w:id="9">
    <w:p w:rsidR="009B7E5C" w:rsidRDefault="009B7E5C" w:rsidP="001F2A6D">
      <w:pPr>
        <w:pStyle w:val="FootnoteText"/>
        <w:spacing w:before="0" w:after="120"/>
      </w:pPr>
      <w:r>
        <w:rPr>
          <w:rStyle w:val="FootnoteReference"/>
        </w:rPr>
        <w:footnoteRef/>
      </w:r>
      <w:r>
        <w:t xml:space="preserve">  TCEQ Letter to Bullocks (Nov. 26, 2013).</w:t>
      </w:r>
    </w:p>
  </w:footnote>
  <w:footnote w:id="10">
    <w:p w:rsidR="009B7E5C" w:rsidRDefault="009B7E5C" w:rsidP="001F2A6D">
      <w:pPr>
        <w:pStyle w:val="FootnoteText"/>
        <w:spacing w:before="0" w:after="120"/>
      </w:pPr>
      <w:r>
        <w:rPr>
          <w:rStyle w:val="FootnoteReference"/>
        </w:rPr>
        <w:footnoteRef/>
      </w:r>
      <w:r>
        <w:t xml:space="preserve">  TCEQ Final Notice of Violation to RCH at 1 (Jan. 3, 2014).</w:t>
      </w:r>
    </w:p>
  </w:footnote>
  <w:footnote w:id="11">
    <w:p w:rsidR="009B7E5C" w:rsidRDefault="009B7E5C" w:rsidP="001F2A6D">
      <w:pPr>
        <w:pStyle w:val="FootnoteText"/>
        <w:spacing w:before="0" w:after="120"/>
      </w:pPr>
      <w:r>
        <w:rPr>
          <w:rStyle w:val="FootnoteReference"/>
        </w:rPr>
        <w:footnoteRef/>
      </w:r>
      <w:r>
        <w:t xml:space="preserve">  </w:t>
      </w:r>
      <w:r w:rsidRPr="000B65FC">
        <w:rPr>
          <w:i/>
        </w:rPr>
        <w:t>Id.</w:t>
      </w:r>
    </w:p>
  </w:footnote>
  <w:footnote w:id="12">
    <w:p w:rsidR="009B7E5C" w:rsidRDefault="009B7E5C" w:rsidP="001F2A6D">
      <w:pPr>
        <w:pStyle w:val="FootnoteText"/>
        <w:spacing w:before="0" w:after="120"/>
      </w:pPr>
      <w:r>
        <w:rPr>
          <w:rStyle w:val="FootnoteReference"/>
        </w:rPr>
        <w:footnoteRef/>
      </w:r>
      <w:r>
        <w:t xml:space="preserve">  </w:t>
      </w:r>
      <w:r w:rsidRPr="000B65FC">
        <w:rPr>
          <w:i/>
        </w:rPr>
        <w:t>Id</w:t>
      </w:r>
      <w:r>
        <w:t>. at 2.</w:t>
      </w:r>
    </w:p>
  </w:footnote>
  <w:footnote w:id="13">
    <w:p w:rsidR="00637895" w:rsidRDefault="00637895" w:rsidP="001F2A6D">
      <w:pPr>
        <w:pStyle w:val="FootnoteText"/>
        <w:spacing w:before="0" w:after="120"/>
      </w:pPr>
      <w:r>
        <w:rPr>
          <w:rStyle w:val="FootnoteReference"/>
        </w:rPr>
        <w:footnoteRef/>
      </w:r>
      <w:r>
        <w:t xml:space="preserve">  Water Utility Tariff for RCH Water Supply Corporation (Dec. 1997) (AIS Item No. 3).</w:t>
      </w:r>
    </w:p>
  </w:footnote>
  <w:footnote w:id="14">
    <w:p w:rsidR="009B7E5C" w:rsidRDefault="009B7E5C" w:rsidP="001F2A6D">
      <w:pPr>
        <w:pStyle w:val="FootnoteText"/>
        <w:spacing w:before="0" w:after="120"/>
      </w:pPr>
      <w:r>
        <w:rPr>
          <w:rStyle w:val="FootnoteReference"/>
        </w:rPr>
        <w:footnoteRef/>
      </w:r>
      <w:r>
        <w:t xml:space="preserve">  Bullock Attorney, James R. Ray, III, Letter to RCH (Jul. 8, 2014) (Ray letter).</w:t>
      </w:r>
    </w:p>
  </w:footnote>
  <w:footnote w:id="15">
    <w:p w:rsidR="009B7E5C" w:rsidRDefault="009B7E5C" w:rsidP="001F2A6D">
      <w:pPr>
        <w:pStyle w:val="FootnoteText"/>
        <w:spacing w:before="0" w:after="120"/>
      </w:pPr>
      <w:r>
        <w:rPr>
          <w:rStyle w:val="FootnoteReference"/>
        </w:rPr>
        <w:footnoteRef/>
      </w:r>
      <w:r>
        <w:t xml:space="preserve">  </w:t>
      </w:r>
      <w:r w:rsidRPr="00F445B6">
        <w:rPr>
          <w:i/>
        </w:rPr>
        <w:t>Id.</w:t>
      </w:r>
      <w:r>
        <w:t xml:space="preserve"> at 1. </w:t>
      </w:r>
    </w:p>
  </w:footnote>
  <w:footnote w:id="16">
    <w:p w:rsidR="009B7E5C" w:rsidRDefault="009B7E5C" w:rsidP="001F2A6D">
      <w:pPr>
        <w:pStyle w:val="FootnoteText"/>
        <w:spacing w:before="0" w:after="120"/>
      </w:pPr>
      <w:r>
        <w:rPr>
          <w:rStyle w:val="FootnoteReference"/>
        </w:rPr>
        <w:footnoteRef/>
      </w:r>
      <w:r>
        <w:t xml:space="preserve">  </w:t>
      </w:r>
      <w:r w:rsidRPr="00F445B6">
        <w:rPr>
          <w:i/>
        </w:rPr>
        <w:t xml:space="preserve">Id. </w:t>
      </w:r>
      <w:r>
        <w:t>at 1-2.</w:t>
      </w:r>
    </w:p>
  </w:footnote>
  <w:footnote w:id="17">
    <w:p w:rsidR="009B7E5C" w:rsidRDefault="009B7E5C" w:rsidP="00D470EF">
      <w:pPr>
        <w:pStyle w:val="FootnoteText"/>
        <w:spacing w:before="0" w:after="120"/>
      </w:pPr>
      <w:r>
        <w:rPr>
          <w:rStyle w:val="FootnoteReference"/>
        </w:rPr>
        <w:footnoteRef/>
      </w:r>
      <w:r>
        <w:t xml:space="preserve">  </w:t>
      </w:r>
      <w:r w:rsidRPr="00F445B6">
        <w:rPr>
          <w:i/>
        </w:rPr>
        <w:t xml:space="preserve">Id. </w:t>
      </w:r>
      <w:r>
        <w:t>at 2.</w:t>
      </w:r>
    </w:p>
  </w:footnote>
  <w:footnote w:id="18">
    <w:p w:rsidR="009B7E5C" w:rsidRPr="00F445B6" w:rsidRDefault="009B7E5C" w:rsidP="00D470EF">
      <w:pPr>
        <w:pStyle w:val="FootnoteText"/>
        <w:spacing w:before="0" w:after="120"/>
        <w:rPr>
          <w:i/>
        </w:rPr>
      </w:pPr>
      <w:r>
        <w:rPr>
          <w:rStyle w:val="FootnoteReference"/>
        </w:rPr>
        <w:footnoteRef/>
      </w:r>
      <w:r>
        <w:t xml:space="preserve">  </w:t>
      </w:r>
      <w:r w:rsidRPr="00F445B6">
        <w:rPr>
          <w:i/>
        </w:rPr>
        <w:t xml:space="preserve">Id. </w:t>
      </w:r>
    </w:p>
  </w:footnote>
  <w:footnote w:id="19">
    <w:p w:rsidR="009B7E5C" w:rsidRDefault="009B7E5C" w:rsidP="00D470EF">
      <w:pPr>
        <w:pStyle w:val="FootnoteText"/>
        <w:spacing w:before="0" w:after="120"/>
      </w:pPr>
      <w:r>
        <w:rPr>
          <w:rStyle w:val="FootnoteReference"/>
        </w:rPr>
        <w:footnoteRef/>
      </w:r>
      <w:r>
        <w:t xml:space="preserve">  Ray Letter at 2. </w:t>
      </w:r>
    </w:p>
  </w:footnote>
  <w:footnote w:id="20">
    <w:p w:rsidR="009B7E5C" w:rsidRDefault="009B7E5C" w:rsidP="00D470EF">
      <w:pPr>
        <w:pStyle w:val="FootnoteText"/>
        <w:spacing w:before="0" w:after="120"/>
      </w:pPr>
      <w:r>
        <w:rPr>
          <w:rStyle w:val="FootnoteReference"/>
        </w:rPr>
        <w:footnoteRef/>
      </w:r>
      <w:r>
        <w:t xml:space="preserve">  </w:t>
      </w:r>
      <w:r w:rsidRPr="00F445B6">
        <w:rPr>
          <w:i/>
        </w:rPr>
        <w:t>Id.</w:t>
      </w:r>
      <w:r>
        <w:t xml:space="preserve"> </w:t>
      </w:r>
    </w:p>
  </w:footnote>
  <w:footnote w:id="21">
    <w:p w:rsidR="009B7E5C" w:rsidRDefault="009B7E5C" w:rsidP="00D470EF">
      <w:pPr>
        <w:pStyle w:val="FootnoteText"/>
        <w:spacing w:before="0" w:after="120"/>
      </w:pPr>
      <w:r>
        <w:rPr>
          <w:rStyle w:val="FootnoteReference"/>
        </w:rPr>
        <w:footnoteRef/>
      </w:r>
      <w:r>
        <w:t xml:space="preserve">  </w:t>
      </w:r>
      <w:r w:rsidRPr="00B05290">
        <w:rPr>
          <w:i/>
        </w:rPr>
        <w:t>Id.</w:t>
      </w:r>
      <w:r>
        <w:t xml:space="preserve"> </w:t>
      </w:r>
    </w:p>
  </w:footnote>
  <w:footnote w:id="22">
    <w:p w:rsidR="009B7E5C" w:rsidRDefault="009B7E5C" w:rsidP="00D470EF">
      <w:pPr>
        <w:pStyle w:val="FootnoteText"/>
        <w:spacing w:before="0" w:after="120"/>
      </w:pPr>
      <w:r>
        <w:rPr>
          <w:rStyle w:val="FootnoteReference"/>
        </w:rPr>
        <w:footnoteRef/>
      </w:r>
      <w:r>
        <w:t xml:space="preserve">  Bullock Letter to Commission at 1 (Mar. 20, 2015)</w:t>
      </w:r>
      <w:r w:rsidR="004A3462">
        <w:t xml:space="preserve"> (Mar. 20</w:t>
      </w:r>
      <w:r w:rsidR="004A3462" w:rsidRPr="004A3462">
        <w:rPr>
          <w:vertAlign w:val="superscript"/>
        </w:rPr>
        <w:t>th</w:t>
      </w:r>
      <w:r w:rsidR="004A3462">
        <w:t xml:space="preserve"> Letter)</w:t>
      </w:r>
      <w:r>
        <w:t>.</w:t>
      </w:r>
    </w:p>
  </w:footnote>
  <w:footnote w:id="23">
    <w:p w:rsidR="00087809" w:rsidRDefault="00087809" w:rsidP="00D470EF">
      <w:pPr>
        <w:pStyle w:val="FootnoteText"/>
        <w:spacing w:before="0" w:after="120"/>
      </w:pPr>
      <w:r>
        <w:rPr>
          <w:rStyle w:val="FootnoteReference"/>
        </w:rPr>
        <w:footnoteRef/>
      </w:r>
      <w:r>
        <w:t xml:space="preserve">  </w:t>
      </w:r>
      <w:r w:rsidRPr="00087809">
        <w:rPr>
          <w:i/>
        </w:rPr>
        <w:t>Id.</w:t>
      </w:r>
      <w:r>
        <w:t xml:space="preserve"> at 2.</w:t>
      </w:r>
    </w:p>
  </w:footnote>
  <w:footnote w:id="24">
    <w:p w:rsidR="00087809" w:rsidRDefault="00087809" w:rsidP="00D470EF">
      <w:pPr>
        <w:pStyle w:val="FootnoteText"/>
        <w:spacing w:before="0" w:after="120"/>
      </w:pPr>
      <w:r>
        <w:rPr>
          <w:rStyle w:val="FootnoteReference"/>
        </w:rPr>
        <w:footnoteRef/>
      </w:r>
      <w:r>
        <w:t xml:space="preserve">  </w:t>
      </w:r>
      <w:r w:rsidRPr="00087809">
        <w:rPr>
          <w:i/>
        </w:rPr>
        <w:t>Id.</w:t>
      </w:r>
    </w:p>
  </w:footnote>
  <w:footnote w:id="25">
    <w:p w:rsidR="009B7E5C" w:rsidRDefault="009B7E5C" w:rsidP="00D470EF">
      <w:pPr>
        <w:pStyle w:val="FootnoteText"/>
        <w:spacing w:before="0" w:after="120"/>
      </w:pPr>
      <w:r>
        <w:rPr>
          <w:rStyle w:val="FootnoteReference"/>
        </w:rPr>
        <w:footnoteRef/>
      </w:r>
      <w:r>
        <w:t xml:space="preserve"> </w:t>
      </w:r>
      <w:r w:rsidRPr="00DB1BE2">
        <w:rPr>
          <w:i/>
        </w:rPr>
        <w:t xml:space="preserve"> Id</w:t>
      </w:r>
      <w:r>
        <w:t>.</w:t>
      </w:r>
    </w:p>
  </w:footnote>
  <w:footnote w:id="26">
    <w:p w:rsidR="009B7E5C" w:rsidRDefault="009B7E5C" w:rsidP="00D470EF">
      <w:pPr>
        <w:pStyle w:val="FootnoteText"/>
        <w:spacing w:before="0" w:after="120"/>
      </w:pPr>
      <w:r>
        <w:rPr>
          <w:rStyle w:val="FootnoteReference"/>
        </w:rPr>
        <w:footnoteRef/>
      </w:r>
      <w:r>
        <w:t xml:space="preserve">  </w:t>
      </w:r>
      <w:r w:rsidRPr="00DB1BE2">
        <w:rPr>
          <w:i/>
        </w:rPr>
        <w:t>Id.</w:t>
      </w:r>
    </w:p>
  </w:footnote>
  <w:footnote w:id="27">
    <w:p w:rsidR="004A3462" w:rsidRDefault="004A3462" w:rsidP="00D470EF">
      <w:pPr>
        <w:pStyle w:val="FootnoteText"/>
        <w:spacing w:before="0" w:after="120"/>
      </w:pPr>
      <w:r>
        <w:rPr>
          <w:rStyle w:val="FootnoteReference"/>
        </w:rPr>
        <w:footnoteRef/>
      </w:r>
      <w:r>
        <w:t xml:space="preserve">  March 20</w:t>
      </w:r>
      <w:r w:rsidRPr="004A3462">
        <w:rPr>
          <w:vertAlign w:val="superscript"/>
        </w:rPr>
        <w:t>th</w:t>
      </w:r>
      <w:r>
        <w:t xml:space="preserve"> Letter at 2-3.</w:t>
      </w:r>
    </w:p>
  </w:footnote>
  <w:footnote w:id="28">
    <w:p w:rsidR="009B7E5C" w:rsidRDefault="009B7E5C" w:rsidP="00D470EF">
      <w:pPr>
        <w:pStyle w:val="FootnoteText"/>
        <w:spacing w:before="0" w:after="120"/>
      </w:pPr>
      <w:r>
        <w:rPr>
          <w:rStyle w:val="FootnoteReference"/>
        </w:rPr>
        <w:footnoteRef/>
      </w:r>
      <w:r>
        <w:t xml:space="preserve">  RCH Water Supply Corporation Response to Order No. 1 at 1-2 (Sep. 24, 2015).</w:t>
      </w:r>
    </w:p>
  </w:footnote>
  <w:footnote w:id="29">
    <w:p w:rsidR="009B7E5C" w:rsidRDefault="009B7E5C" w:rsidP="00D470EF">
      <w:pPr>
        <w:pStyle w:val="FootnoteText"/>
        <w:spacing w:before="0" w:after="120"/>
      </w:pPr>
      <w:r>
        <w:rPr>
          <w:rStyle w:val="FootnoteReference"/>
        </w:rPr>
        <w:footnoteRef/>
      </w:r>
      <w:r>
        <w:t xml:space="preserve">  </w:t>
      </w:r>
      <w:r w:rsidRPr="006051F6">
        <w:rPr>
          <w:i/>
        </w:rPr>
        <w:t>Id.</w:t>
      </w:r>
      <w:r>
        <w:t xml:space="preserve"> at 2-3. </w:t>
      </w:r>
    </w:p>
  </w:footnote>
  <w:footnote w:id="30">
    <w:p w:rsidR="009B7E5C" w:rsidRDefault="009B7E5C" w:rsidP="00D470EF">
      <w:pPr>
        <w:pStyle w:val="FootnoteText"/>
        <w:spacing w:before="0" w:after="120"/>
      </w:pPr>
      <w:r>
        <w:rPr>
          <w:rStyle w:val="FootnoteReference"/>
        </w:rPr>
        <w:footnoteRef/>
      </w:r>
      <w:r>
        <w:t xml:space="preserve">  </w:t>
      </w:r>
      <w:r w:rsidRPr="006051F6">
        <w:rPr>
          <w:i/>
        </w:rPr>
        <w:t>Id.</w:t>
      </w:r>
      <w:r>
        <w:t xml:space="preserve"> at 3-4, referencing Exhibit 2.</w:t>
      </w:r>
    </w:p>
  </w:footnote>
  <w:footnote w:id="31">
    <w:p w:rsidR="009B7E5C" w:rsidRDefault="009B7E5C" w:rsidP="00D470EF">
      <w:pPr>
        <w:pStyle w:val="FootnoteText"/>
        <w:spacing w:before="0" w:after="120"/>
      </w:pPr>
      <w:r>
        <w:rPr>
          <w:rStyle w:val="FootnoteReference"/>
        </w:rPr>
        <w:footnoteRef/>
      </w:r>
      <w:r>
        <w:t xml:space="preserve">  </w:t>
      </w:r>
      <w:r w:rsidRPr="006051F6">
        <w:rPr>
          <w:i/>
        </w:rPr>
        <w:t>Id.</w:t>
      </w:r>
      <w:r>
        <w:t xml:space="preserve"> at 4. </w:t>
      </w:r>
    </w:p>
  </w:footnote>
  <w:footnote w:id="32">
    <w:p w:rsidR="009B7E5C" w:rsidRDefault="009B7E5C" w:rsidP="00D470EF">
      <w:pPr>
        <w:pStyle w:val="FootnoteText"/>
        <w:spacing w:before="0" w:after="120"/>
      </w:pPr>
      <w:r>
        <w:rPr>
          <w:rStyle w:val="FootnoteReference"/>
        </w:rPr>
        <w:footnoteRef/>
      </w:r>
      <w:r>
        <w:t xml:space="preserve">  RCH Water Supply Corporation Response to Order No. 2 and Request for Extension of Time, Exhibit A (Oct. 15, 2015).</w:t>
      </w:r>
    </w:p>
  </w:footnote>
  <w:footnote w:id="33">
    <w:p w:rsidR="009B7E5C" w:rsidRDefault="009B7E5C" w:rsidP="00D470EF">
      <w:pPr>
        <w:pStyle w:val="FootnoteText"/>
        <w:spacing w:before="0" w:after="120"/>
      </w:pPr>
      <w:r>
        <w:rPr>
          <w:rStyle w:val="FootnoteReference"/>
        </w:rPr>
        <w:footnoteRef/>
      </w:r>
      <w:r>
        <w:t xml:space="preserve">  RCH Water Supply Corporation’s Supplemental Response to Order No. 2, Exhibits A, B and C (Oct.</w:t>
      </w:r>
      <w:r w:rsidR="00D470EF">
        <w:t> </w:t>
      </w:r>
      <w:r>
        <w:t>21,</w:t>
      </w:r>
      <w:r w:rsidR="00D470EF">
        <w:t> </w:t>
      </w:r>
      <w:r>
        <w:t>2015).</w:t>
      </w:r>
    </w:p>
  </w:footnote>
  <w:footnote w:id="34">
    <w:p w:rsidR="009B7E5C" w:rsidRDefault="009B7E5C" w:rsidP="008E5165">
      <w:pPr>
        <w:pStyle w:val="FootnoteText"/>
        <w:spacing w:before="0" w:after="120"/>
      </w:pPr>
      <w:r>
        <w:rPr>
          <w:rStyle w:val="FootnoteReference"/>
        </w:rPr>
        <w:footnoteRef/>
      </w:r>
      <w:r>
        <w:t xml:space="preserve">  Order No. 4 at 1 (Oct. 23, 2015)</w:t>
      </w:r>
      <w:r w:rsidR="00EC475B">
        <w:t xml:space="preserve">, </w:t>
      </w:r>
      <w:r w:rsidR="00EC475B" w:rsidRPr="00EC475B">
        <w:rPr>
          <w:i/>
        </w:rPr>
        <w:t>citing to</w:t>
      </w:r>
      <w:r w:rsidR="00EC475B">
        <w:t xml:space="preserve"> Commission Staff’s Respons</w:t>
      </w:r>
      <w:r w:rsidR="001F5663">
        <w:t>e to Order NO. 2 at 3 (Oct.</w:t>
      </w:r>
      <w:r w:rsidR="008E5165">
        <w:t> </w:t>
      </w:r>
      <w:r w:rsidR="001F5663">
        <w:t>22, </w:t>
      </w:r>
      <w:r w:rsidR="00EC475B">
        <w:t>2015)</w:t>
      </w:r>
      <w:r>
        <w:t>.</w:t>
      </w:r>
    </w:p>
  </w:footnote>
  <w:footnote w:id="35">
    <w:p w:rsidR="009B7E5C" w:rsidRDefault="009B7E5C" w:rsidP="008E5165">
      <w:pPr>
        <w:pStyle w:val="FootnoteText"/>
        <w:spacing w:before="0" w:after="120"/>
      </w:pPr>
      <w:r>
        <w:rPr>
          <w:rStyle w:val="FootnoteReference"/>
        </w:rPr>
        <w:footnoteRef/>
      </w:r>
      <w:r>
        <w:t xml:space="preserve">  RCH Water Supply Corporation’s Objection to Documents Requested by Co</w:t>
      </w:r>
      <w:r w:rsidR="001F5663">
        <w:t>mmission Staff at 1-2 (Oct.</w:t>
      </w:r>
      <w:r w:rsidR="008E5165">
        <w:t> </w:t>
      </w:r>
      <w:r w:rsidR="001F5663">
        <w:t>28, </w:t>
      </w:r>
      <w:r>
        <w:t>2015).</w:t>
      </w:r>
    </w:p>
  </w:footnote>
  <w:footnote w:id="36">
    <w:p w:rsidR="009B7E5C" w:rsidRDefault="009B7E5C" w:rsidP="008E5165">
      <w:pPr>
        <w:pStyle w:val="FootnoteText"/>
        <w:spacing w:before="0" w:after="120"/>
      </w:pPr>
      <w:r>
        <w:rPr>
          <w:rStyle w:val="FootnoteReference"/>
        </w:rPr>
        <w:footnoteRef/>
      </w:r>
      <w:r>
        <w:t xml:space="preserve">  </w:t>
      </w:r>
      <w:r w:rsidRPr="00701424">
        <w:rPr>
          <w:i/>
        </w:rPr>
        <w:t>Id.</w:t>
      </w:r>
      <w:r>
        <w:t xml:space="preserve"> at 1. </w:t>
      </w:r>
    </w:p>
  </w:footnote>
  <w:footnote w:id="37">
    <w:p w:rsidR="009B7E5C" w:rsidRDefault="009B7E5C" w:rsidP="008E5165">
      <w:pPr>
        <w:pStyle w:val="FootnoteText"/>
        <w:spacing w:before="0" w:after="120"/>
      </w:pPr>
      <w:r>
        <w:rPr>
          <w:rStyle w:val="FootnoteReference"/>
        </w:rPr>
        <w:footnoteRef/>
      </w:r>
      <w:r>
        <w:t xml:space="preserve">  RCH Water Supply Corporation’s Response to Order No. 4 (Nov. 10, 2015).</w:t>
      </w:r>
    </w:p>
  </w:footnote>
  <w:footnote w:id="38">
    <w:p w:rsidR="009B7E5C" w:rsidRDefault="009B7E5C" w:rsidP="008E5165">
      <w:pPr>
        <w:pStyle w:val="FootnoteText"/>
        <w:spacing w:before="0" w:after="120"/>
      </w:pPr>
      <w:r>
        <w:rPr>
          <w:rStyle w:val="FootnoteReference"/>
        </w:rPr>
        <w:footnoteRef/>
      </w:r>
      <w:r>
        <w:t xml:space="preserve">  </w:t>
      </w:r>
      <w:r w:rsidRPr="00D826AF">
        <w:rPr>
          <w:i/>
        </w:rPr>
        <w:t>Id.</w:t>
      </w:r>
      <w:r>
        <w:t>, Exhibit A, Affidavit of Odis Lowe.</w:t>
      </w:r>
    </w:p>
  </w:footnote>
  <w:footnote w:id="39">
    <w:p w:rsidR="009B7E5C" w:rsidRDefault="009B7E5C" w:rsidP="00825EC6">
      <w:pPr>
        <w:pStyle w:val="FootnoteText"/>
        <w:spacing w:before="0" w:after="120"/>
      </w:pPr>
      <w:r>
        <w:rPr>
          <w:rStyle w:val="FootnoteReference"/>
        </w:rPr>
        <w:footnoteRef/>
      </w:r>
      <w:r>
        <w:t xml:space="preserve">  Bullock Response to RCH at 1-2 (Dec. 31, 2015).</w:t>
      </w:r>
    </w:p>
  </w:footnote>
  <w:footnote w:id="40">
    <w:p w:rsidR="009B7E5C" w:rsidRDefault="009B7E5C" w:rsidP="00825EC6">
      <w:pPr>
        <w:pStyle w:val="FootnoteText"/>
        <w:spacing w:before="0" w:after="120"/>
      </w:pPr>
      <w:r>
        <w:rPr>
          <w:rStyle w:val="FootnoteReference"/>
        </w:rPr>
        <w:footnoteRef/>
      </w:r>
      <w:r>
        <w:t xml:space="preserve">  Commission Staff’s Final Recommendation (Jan. 15, 2016).</w:t>
      </w:r>
    </w:p>
  </w:footnote>
  <w:footnote w:id="41">
    <w:p w:rsidR="009B7E5C" w:rsidRDefault="009B7E5C" w:rsidP="00825EC6">
      <w:pPr>
        <w:pStyle w:val="FootnoteText"/>
        <w:spacing w:before="0" w:after="120"/>
      </w:pPr>
      <w:r>
        <w:rPr>
          <w:rStyle w:val="FootnoteReference"/>
        </w:rPr>
        <w:footnoteRef/>
      </w:r>
      <w:r>
        <w:t xml:space="preserve">  </w:t>
      </w:r>
      <w:r w:rsidRPr="00265601">
        <w:rPr>
          <w:i/>
        </w:rPr>
        <w:t xml:space="preserve">Id. </w:t>
      </w:r>
      <w:r>
        <w:t>at 2.</w:t>
      </w:r>
    </w:p>
  </w:footnote>
  <w:footnote w:id="42">
    <w:p w:rsidR="009B7E5C" w:rsidRDefault="009B7E5C" w:rsidP="00825EC6">
      <w:pPr>
        <w:pStyle w:val="FootnoteText"/>
        <w:spacing w:before="0" w:after="120"/>
      </w:pPr>
      <w:r>
        <w:rPr>
          <w:rStyle w:val="FootnoteReference"/>
        </w:rPr>
        <w:footnoteRef/>
      </w:r>
      <w:r>
        <w:t xml:space="preserve">  </w:t>
      </w:r>
      <w:r w:rsidRPr="00265601">
        <w:rPr>
          <w:i/>
        </w:rPr>
        <w:t>Id.</w:t>
      </w:r>
      <w:r>
        <w:t xml:space="preserve"> </w:t>
      </w:r>
    </w:p>
  </w:footnote>
  <w:footnote w:id="43">
    <w:p w:rsidR="009B7E5C" w:rsidRDefault="009B7E5C" w:rsidP="00825EC6">
      <w:pPr>
        <w:pStyle w:val="FootnoteText"/>
        <w:spacing w:before="0" w:after="120"/>
      </w:pPr>
      <w:r>
        <w:rPr>
          <w:rStyle w:val="FootnoteReference"/>
        </w:rPr>
        <w:footnoteRef/>
      </w:r>
      <w:r>
        <w:t xml:space="preserve">  </w:t>
      </w:r>
      <w:r w:rsidRPr="00265601">
        <w:rPr>
          <w:i/>
        </w:rPr>
        <w:t>Id.</w:t>
      </w:r>
      <w:r>
        <w:t xml:space="preserve"> at 3. </w:t>
      </w:r>
    </w:p>
  </w:footnote>
  <w:footnote w:id="44">
    <w:p w:rsidR="009B7E5C" w:rsidRDefault="009B7E5C" w:rsidP="00825EC6">
      <w:pPr>
        <w:pStyle w:val="FootnoteText"/>
        <w:spacing w:before="0" w:after="120"/>
      </w:pPr>
      <w:r>
        <w:rPr>
          <w:rStyle w:val="FootnoteReference"/>
        </w:rPr>
        <w:footnoteRef/>
      </w:r>
      <w:r>
        <w:t xml:space="preserve">  </w:t>
      </w:r>
      <w:r w:rsidRPr="00265601">
        <w:rPr>
          <w:i/>
        </w:rPr>
        <w:t>Id.</w:t>
      </w:r>
    </w:p>
  </w:footnote>
  <w:footnote w:id="45">
    <w:p w:rsidR="009B7E5C" w:rsidRDefault="009B7E5C" w:rsidP="00825EC6">
      <w:pPr>
        <w:pStyle w:val="FootnoteText"/>
        <w:spacing w:before="0" w:after="120"/>
      </w:pPr>
      <w:r>
        <w:rPr>
          <w:rStyle w:val="FootnoteReference"/>
        </w:rPr>
        <w:footnoteRef/>
      </w:r>
      <w:r>
        <w:t xml:space="preserve">  </w:t>
      </w:r>
      <w:r w:rsidRPr="00265601">
        <w:rPr>
          <w:i/>
        </w:rPr>
        <w:t>Id.</w:t>
      </w:r>
      <w:r>
        <w:t xml:space="preserve"> at 3-4.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E5C" w:rsidRPr="001F1BEB" w:rsidRDefault="009B7E5C" w:rsidP="00F60BB9">
    <w:pPr>
      <w:pStyle w:val="OrderHeader"/>
      <w:tabs>
        <w:tab w:val="clear" w:pos="4680"/>
        <w:tab w:val="center" w:pos="4950"/>
      </w:tabs>
    </w:pPr>
    <w:r>
      <w:t>Docket No. 43121</w:t>
    </w:r>
    <w:r w:rsidRPr="001F1BEB">
      <w:tab/>
    </w:r>
    <w:r>
      <w:t>Proposed Order</w:t>
    </w:r>
    <w:r w:rsidRPr="001F1BEB">
      <w:tab/>
      <w:t xml:space="preserve">Page </w:t>
    </w:r>
    <w:r w:rsidRPr="001F1BEB">
      <w:fldChar w:fldCharType="begin"/>
    </w:r>
    <w:r w:rsidRPr="001F1BEB">
      <w:instrText xml:space="preserve"> PAGE </w:instrText>
    </w:r>
    <w:r w:rsidRPr="001F1BEB">
      <w:fldChar w:fldCharType="separate"/>
    </w:r>
    <w:r w:rsidR="00C5496D">
      <w:rPr>
        <w:noProof/>
      </w:rPr>
      <w:t>9</w:t>
    </w:r>
    <w:r w:rsidRPr="001F1BEB">
      <w:fldChar w:fldCharType="end"/>
    </w:r>
    <w:r w:rsidRPr="001F1BEB">
      <w:t xml:space="preserve"> of </w:t>
    </w:r>
    <w:r w:rsidR="00C5496D">
      <w:fldChar w:fldCharType="begin"/>
    </w:r>
    <w:r w:rsidR="00C5496D">
      <w:instrText xml:space="preserve"> NUMPAGES </w:instrText>
    </w:r>
    <w:r w:rsidR="00C5496D">
      <w:fldChar w:fldCharType="separate"/>
    </w:r>
    <w:r w:rsidR="00C5496D">
      <w:rPr>
        <w:noProof/>
      </w:rPr>
      <w:t>10</w:t>
    </w:r>
    <w:r w:rsidR="00C5496D">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F030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9024BB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F947E5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7BE2AB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8CA3F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6403A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A5A2CD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6E2E10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790C9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076CD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4B7B05"/>
    <w:multiLevelType w:val="hybridMultilevel"/>
    <w:tmpl w:val="95E4D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985B33"/>
    <w:multiLevelType w:val="multilevel"/>
    <w:tmpl w:val="4F3AC2C0"/>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2" w15:restartNumberingAfterBreak="0">
    <w:nsid w:val="0E8B2336"/>
    <w:multiLevelType w:val="multilevel"/>
    <w:tmpl w:val="A358D4E8"/>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3" w15:restartNumberingAfterBreak="0">
    <w:nsid w:val="177226D6"/>
    <w:multiLevelType w:val="multilevel"/>
    <w:tmpl w:val="7406886C"/>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4" w15:restartNumberingAfterBreak="0">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1A240B33"/>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1A501CD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1DA62932"/>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F7D39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067448E"/>
    <w:multiLevelType w:val="multilevel"/>
    <w:tmpl w:val="99D05716"/>
    <w:lvl w:ilvl="0">
      <w:start w:val="1"/>
      <w:numFmt w:val="upperRoman"/>
      <w:pStyle w:val="OrderHeading1"/>
      <w:lvlText w:val="%1."/>
      <w:lvlJc w:val="left"/>
      <w:pPr>
        <w:tabs>
          <w:tab w:val="num" w:pos="4050"/>
        </w:tabs>
        <w:ind w:left="477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0" w15:restartNumberingAfterBreak="0">
    <w:nsid w:val="23C02C2E"/>
    <w:multiLevelType w:val="multilevel"/>
    <w:tmpl w:val="00F2A29E"/>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1" w15:restartNumberingAfterBreak="0">
    <w:nsid w:val="2756520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12651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AF76EEB"/>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4" w15:restartNumberingAfterBreak="0">
    <w:nsid w:val="2B5C28D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CAA310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6" w15:restartNumberingAfterBreak="0">
    <w:nsid w:val="304B5C12"/>
    <w:multiLevelType w:val="multilevel"/>
    <w:tmpl w:val="00F2A29E"/>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7" w15:restartNumberingAfterBreak="0">
    <w:nsid w:val="3AA17CFD"/>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8" w15:restartNumberingAfterBreak="0">
    <w:nsid w:val="41035CAC"/>
    <w:multiLevelType w:val="multilevel"/>
    <w:tmpl w:val="4E5C989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9" w15:restartNumberingAfterBreak="0">
    <w:nsid w:val="4181225D"/>
    <w:multiLevelType w:val="hybridMultilevel"/>
    <w:tmpl w:val="FD5C5C58"/>
    <w:lvl w:ilvl="0" w:tplc="347E1D8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164343"/>
    <w:multiLevelType w:val="multilevel"/>
    <w:tmpl w:val="F22C4A70"/>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1" w15:restartNumberingAfterBreak="0">
    <w:nsid w:val="4A34616D"/>
    <w:multiLevelType w:val="hybridMultilevel"/>
    <w:tmpl w:val="AF527522"/>
    <w:lvl w:ilvl="0" w:tplc="24C02444">
      <w:start w:val="11"/>
      <w:numFmt w:val="decimal"/>
      <w:pStyle w:val="FOFNumbered"/>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AB33AA"/>
    <w:multiLevelType w:val="multilevel"/>
    <w:tmpl w:val="AD401848"/>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4CEA7A24"/>
    <w:multiLevelType w:val="hybridMultilevel"/>
    <w:tmpl w:val="1BF034CA"/>
    <w:lvl w:ilvl="0" w:tplc="847065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9B6F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501511E"/>
    <w:multiLevelType w:val="multilevel"/>
    <w:tmpl w:val="F4726EB6"/>
    <w:lvl w:ilvl="0">
      <w:start w:val="1"/>
      <w:numFmt w:val="upperRoman"/>
      <w:suff w:val="space"/>
      <w:lvlText w:val="%1."/>
      <w:lvlJc w:val="left"/>
      <w:pPr>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6" w15:restartNumberingAfterBreak="0">
    <w:nsid w:val="5F2275B5"/>
    <w:multiLevelType w:val="multilevel"/>
    <w:tmpl w:val="F730836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FF61F4C"/>
    <w:multiLevelType w:val="multilevel"/>
    <w:tmpl w:val="028E432C"/>
    <w:lvl w:ilvl="0">
      <w:start w:val="1"/>
      <w:numFmt w:val="decimal"/>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9" w15:restartNumberingAfterBreak="0">
    <w:nsid w:val="643B70F2"/>
    <w:multiLevelType w:val="multilevel"/>
    <w:tmpl w:val="19EE0DD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0" w15:restartNumberingAfterBreak="0">
    <w:nsid w:val="713F5140"/>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1" w15:restartNumberingAfterBreak="0">
    <w:nsid w:val="7F2E608E"/>
    <w:multiLevelType w:val="multilevel"/>
    <w:tmpl w:val="85D48F82"/>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2" w15:restartNumberingAfterBreak="0">
    <w:nsid w:val="7F58153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FCE6537"/>
    <w:multiLevelType w:val="multilevel"/>
    <w:tmpl w:val="8B82A0E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7"/>
  </w:num>
  <w:num w:numId="12">
    <w:abstractNumId w:val="38"/>
  </w:num>
  <w:num w:numId="13">
    <w:abstractNumId w:val="35"/>
  </w:num>
  <w:num w:numId="14">
    <w:abstractNumId w:val="13"/>
  </w:num>
  <w:num w:numId="15">
    <w:abstractNumId w:val="14"/>
  </w:num>
  <w:num w:numId="16">
    <w:abstractNumId w:val="11"/>
  </w:num>
  <w:num w:numId="17">
    <w:abstractNumId w:val="24"/>
  </w:num>
  <w:num w:numId="18">
    <w:abstractNumId w:val="41"/>
  </w:num>
  <w:num w:numId="19">
    <w:abstractNumId w:val="42"/>
  </w:num>
  <w:num w:numId="20">
    <w:abstractNumId w:val="43"/>
  </w:num>
  <w:num w:numId="21">
    <w:abstractNumId w:val="18"/>
  </w:num>
  <w:num w:numId="22">
    <w:abstractNumId w:val="28"/>
  </w:num>
  <w:num w:numId="23">
    <w:abstractNumId w:val="30"/>
  </w:num>
  <w:num w:numId="24">
    <w:abstractNumId w:val="19"/>
  </w:num>
  <w:num w:numId="25">
    <w:abstractNumId w:val="20"/>
  </w:num>
  <w:num w:numId="26">
    <w:abstractNumId w:val="12"/>
  </w:num>
  <w:num w:numId="27">
    <w:abstractNumId w:val="39"/>
  </w:num>
  <w:num w:numId="28">
    <w:abstractNumId w:val="26"/>
  </w:num>
  <w:num w:numId="29">
    <w:abstractNumId w:val="40"/>
  </w:num>
  <w:num w:numId="30">
    <w:abstractNumId w:val="27"/>
  </w:num>
  <w:num w:numId="31">
    <w:abstractNumId w:val="23"/>
  </w:num>
  <w:num w:numId="32">
    <w:abstractNumId w:val="32"/>
  </w:num>
  <w:num w:numId="33">
    <w:abstractNumId w:val="16"/>
  </w:num>
  <w:num w:numId="34">
    <w:abstractNumId w:val="34"/>
  </w:num>
  <w:num w:numId="35">
    <w:abstractNumId w:val="15"/>
  </w:num>
  <w:num w:numId="36">
    <w:abstractNumId w:val="25"/>
  </w:num>
  <w:num w:numId="37">
    <w:abstractNumId w:val="21"/>
  </w:num>
  <w:num w:numId="38">
    <w:abstractNumId w:val="17"/>
  </w:num>
  <w:num w:numId="39">
    <w:abstractNumId w:val="22"/>
  </w:num>
  <w:num w:numId="40">
    <w:abstractNumId w:val="31"/>
  </w:num>
  <w:num w:numId="41">
    <w:abstractNumId w:val="33"/>
  </w:num>
  <w:num w:numId="42">
    <w:abstractNumId w:val="29"/>
  </w:num>
  <w:num w:numId="43">
    <w:abstractNumId w:val="36"/>
  </w:num>
  <w:num w:numId="44">
    <w:abstractNumId w:val="10"/>
  </w:num>
  <w:num w:numId="45">
    <w:abstractNumId w:val="31"/>
    <w:lvlOverride w:ilvl="0">
      <w:startOverride w:val="11"/>
    </w:lvlOverride>
  </w:num>
  <w:num w:numId="46">
    <w:abstractNumId w:val="31"/>
    <w:lvlOverride w:ilvl="0">
      <w:startOverride w:val="11"/>
    </w:lvlOverride>
  </w:num>
  <w:num w:numId="47">
    <w:abstractNumId w:val="31"/>
    <w:lvlOverride w:ilvl="0">
      <w:startOverride w:val="1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682"/>
    <w:rsid w:val="00007A5B"/>
    <w:rsid w:val="00014CC5"/>
    <w:rsid w:val="00025564"/>
    <w:rsid w:val="00030A52"/>
    <w:rsid w:val="00036428"/>
    <w:rsid w:val="000443FE"/>
    <w:rsid w:val="00045141"/>
    <w:rsid w:val="00051650"/>
    <w:rsid w:val="000545D3"/>
    <w:rsid w:val="00055C71"/>
    <w:rsid w:val="0007019A"/>
    <w:rsid w:val="00075BF2"/>
    <w:rsid w:val="00080DAE"/>
    <w:rsid w:val="00082884"/>
    <w:rsid w:val="0008715E"/>
    <w:rsid w:val="00087809"/>
    <w:rsid w:val="0009049C"/>
    <w:rsid w:val="000921F3"/>
    <w:rsid w:val="00092A03"/>
    <w:rsid w:val="000A4FC5"/>
    <w:rsid w:val="000B26B3"/>
    <w:rsid w:val="000B65FC"/>
    <w:rsid w:val="000C096F"/>
    <w:rsid w:val="000C20A0"/>
    <w:rsid w:val="000C24B7"/>
    <w:rsid w:val="000C4FF4"/>
    <w:rsid w:val="000C70D8"/>
    <w:rsid w:val="000D343B"/>
    <w:rsid w:val="000D496A"/>
    <w:rsid w:val="000E7F43"/>
    <w:rsid w:val="000F1323"/>
    <w:rsid w:val="000F2561"/>
    <w:rsid w:val="000F517A"/>
    <w:rsid w:val="00102CA3"/>
    <w:rsid w:val="00107A47"/>
    <w:rsid w:val="001254C8"/>
    <w:rsid w:val="00133B0C"/>
    <w:rsid w:val="001350F0"/>
    <w:rsid w:val="00145254"/>
    <w:rsid w:val="0015100C"/>
    <w:rsid w:val="00155CF6"/>
    <w:rsid w:val="001575D9"/>
    <w:rsid w:val="0016061D"/>
    <w:rsid w:val="00163707"/>
    <w:rsid w:val="0016377D"/>
    <w:rsid w:val="001660D1"/>
    <w:rsid w:val="00177BC5"/>
    <w:rsid w:val="001845E3"/>
    <w:rsid w:val="001910CF"/>
    <w:rsid w:val="00194537"/>
    <w:rsid w:val="001A717E"/>
    <w:rsid w:val="001A761F"/>
    <w:rsid w:val="001C3038"/>
    <w:rsid w:val="001C557D"/>
    <w:rsid w:val="001E54E3"/>
    <w:rsid w:val="001E7088"/>
    <w:rsid w:val="001F2A6D"/>
    <w:rsid w:val="001F5663"/>
    <w:rsid w:val="00202BB5"/>
    <w:rsid w:val="00206533"/>
    <w:rsid w:val="00211D02"/>
    <w:rsid w:val="002159E2"/>
    <w:rsid w:val="0023631E"/>
    <w:rsid w:val="00241765"/>
    <w:rsid w:val="00246C70"/>
    <w:rsid w:val="00247396"/>
    <w:rsid w:val="00250DB6"/>
    <w:rsid w:val="00254EFA"/>
    <w:rsid w:val="00256B57"/>
    <w:rsid w:val="0026028E"/>
    <w:rsid w:val="00265601"/>
    <w:rsid w:val="002730FB"/>
    <w:rsid w:val="00280C36"/>
    <w:rsid w:val="002837D4"/>
    <w:rsid w:val="002900C0"/>
    <w:rsid w:val="0029623D"/>
    <w:rsid w:val="002A7705"/>
    <w:rsid w:val="002D4CE6"/>
    <w:rsid w:val="002E7289"/>
    <w:rsid w:val="002F5926"/>
    <w:rsid w:val="003054C7"/>
    <w:rsid w:val="00320B37"/>
    <w:rsid w:val="0032598F"/>
    <w:rsid w:val="0033597A"/>
    <w:rsid w:val="00342314"/>
    <w:rsid w:val="003425ED"/>
    <w:rsid w:val="00356226"/>
    <w:rsid w:val="00356599"/>
    <w:rsid w:val="00364772"/>
    <w:rsid w:val="003655EC"/>
    <w:rsid w:val="00373BE6"/>
    <w:rsid w:val="003742A4"/>
    <w:rsid w:val="00381169"/>
    <w:rsid w:val="00382798"/>
    <w:rsid w:val="00386AA9"/>
    <w:rsid w:val="003970CD"/>
    <w:rsid w:val="003A0B60"/>
    <w:rsid w:val="003A389D"/>
    <w:rsid w:val="003A414E"/>
    <w:rsid w:val="003A581B"/>
    <w:rsid w:val="003C0466"/>
    <w:rsid w:val="003C510E"/>
    <w:rsid w:val="003C5E49"/>
    <w:rsid w:val="003C7148"/>
    <w:rsid w:val="003D0B7B"/>
    <w:rsid w:val="003D365E"/>
    <w:rsid w:val="003D44CF"/>
    <w:rsid w:val="003D779C"/>
    <w:rsid w:val="003E39FF"/>
    <w:rsid w:val="003E3C50"/>
    <w:rsid w:val="003E682B"/>
    <w:rsid w:val="003E7018"/>
    <w:rsid w:val="003F35C5"/>
    <w:rsid w:val="00400DF7"/>
    <w:rsid w:val="00402636"/>
    <w:rsid w:val="00403ECA"/>
    <w:rsid w:val="00406E77"/>
    <w:rsid w:val="00411605"/>
    <w:rsid w:val="00412FA5"/>
    <w:rsid w:val="004233FB"/>
    <w:rsid w:val="00424523"/>
    <w:rsid w:val="00440E38"/>
    <w:rsid w:val="00441FF9"/>
    <w:rsid w:val="0045719C"/>
    <w:rsid w:val="00465B55"/>
    <w:rsid w:val="00466F8D"/>
    <w:rsid w:val="004777FD"/>
    <w:rsid w:val="00483C03"/>
    <w:rsid w:val="00485317"/>
    <w:rsid w:val="004953E2"/>
    <w:rsid w:val="004A26B0"/>
    <w:rsid w:val="004A3462"/>
    <w:rsid w:val="004A3E32"/>
    <w:rsid w:val="004A6DE2"/>
    <w:rsid w:val="004B1091"/>
    <w:rsid w:val="004B3F6C"/>
    <w:rsid w:val="004B7DAE"/>
    <w:rsid w:val="004C1C70"/>
    <w:rsid w:val="004C51EB"/>
    <w:rsid w:val="004D42A4"/>
    <w:rsid w:val="004E2974"/>
    <w:rsid w:val="004E6155"/>
    <w:rsid w:val="004F303E"/>
    <w:rsid w:val="004F5794"/>
    <w:rsid w:val="005053DB"/>
    <w:rsid w:val="00510D38"/>
    <w:rsid w:val="00512B22"/>
    <w:rsid w:val="00513BF7"/>
    <w:rsid w:val="00520682"/>
    <w:rsid w:val="00522001"/>
    <w:rsid w:val="005228D9"/>
    <w:rsid w:val="00524DB7"/>
    <w:rsid w:val="0054158C"/>
    <w:rsid w:val="00541833"/>
    <w:rsid w:val="005448AE"/>
    <w:rsid w:val="00556DDD"/>
    <w:rsid w:val="00561BC0"/>
    <w:rsid w:val="00562CF2"/>
    <w:rsid w:val="00563E3D"/>
    <w:rsid w:val="005658E3"/>
    <w:rsid w:val="00566816"/>
    <w:rsid w:val="00566C31"/>
    <w:rsid w:val="00573F1D"/>
    <w:rsid w:val="005766FD"/>
    <w:rsid w:val="00581DB7"/>
    <w:rsid w:val="00582DED"/>
    <w:rsid w:val="0058449C"/>
    <w:rsid w:val="00584CF8"/>
    <w:rsid w:val="0059117D"/>
    <w:rsid w:val="005954DA"/>
    <w:rsid w:val="005A544B"/>
    <w:rsid w:val="005B3A93"/>
    <w:rsid w:val="005B43A8"/>
    <w:rsid w:val="005B5E13"/>
    <w:rsid w:val="005C724F"/>
    <w:rsid w:val="005D3F03"/>
    <w:rsid w:val="005D43C9"/>
    <w:rsid w:val="005E5BA7"/>
    <w:rsid w:val="005F46F9"/>
    <w:rsid w:val="005F7156"/>
    <w:rsid w:val="006051F6"/>
    <w:rsid w:val="006249D8"/>
    <w:rsid w:val="00637895"/>
    <w:rsid w:val="00637CB9"/>
    <w:rsid w:val="00640A83"/>
    <w:rsid w:val="0064628C"/>
    <w:rsid w:val="00656263"/>
    <w:rsid w:val="00662AAB"/>
    <w:rsid w:val="0066634E"/>
    <w:rsid w:val="0067117D"/>
    <w:rsid w:val="006829B0"/>
    <w:rsid w:val="00690D28"/>
    <w:rsid w:val="00691DC5"/>
    <w:rsid w:val="0069248E"/>
    <w:rsid w:val="006939E7"/>
    <w:rsid w:val="006B080B"/>
    <w:rsid w:val="006B27C6"/>
    <w:rsid w:val="006C181F"/>
    <w:rsid w:val="006C460E"/>
    <w:rsid w:val="006D5065"/>
    <w:rsid w:val="006E1C2A"/>
    <w:rsid w:val="00701424"/>
    <w:rsid w:val="00703142"/>
    <w:rsid w:val="007211BD"/>
    <w:rsid w:val="00725B5F"/>
    <w:rsid w:val="00734517"/>
    <w:rsid w:val="00734F12"/>
    <w:rsid w:val="007443BC"/>
    <w:rsid w:val="00745E77"/>
    <w:rsid w:val="00751BC1"/>
    <w:rsid w:val="0075264B"/>
    <w:rsid w:val="007604FF"/>
    <w:rsid w:val="00771042"/>
    <w:rsid w:val="00773A27"/>
    <w:rsid w:val="00777B36"/>
    <w:rsid w:val="00781266"/>
    <w:rsid w:val="00783C43"/>
    <w:rsid w:val="00786C7B"/>
    <w:rsid w:val="00790797"/>
    <w:rsid w:val="00795EED"/>
    <w:rsid w:val="007A04A0"/>
    <w:rsid w:val="007A411D"/>
    <w:rsid w:val="007A794F"/>
    <w:rsid w:val="007A7B59"/>
    <w:rsid w:val="007B56B4"/>
    <w:rsid w:val="007C18A7"/>
    <w:rsid w:val="007C5C85"/>
    <w:rsid w:val="007C5EE5"/>
    <w:rsid w:val="007C7D61"/>
    <w:rsid w:val="007D27B0"/>
    <w:rsid w:val="007E07E1"/>
    <w:rsid w:val="007E20F2"/>
    <w:rsid w:val="007E57CA"/>
    <w:rsid w:val="007E706F"/>
    <w:rsid w:val="007F2928"/>
    <w:rsid w:val="008028C5"/>
    <w:rsid w:val="00803198"/>
    <w:rsid w:val="00820713"/>
    <w:rsid w:val="00825EC6"/>
    <w:rsid w:val="008407B2"/>
    <w:rsid w:val="00857460"/>
    <w:rsid w:val="008617BC"/>
    <w:rsid w:val="0087102D"/>
    <w:rsid w:val="00875F53"/>
    <w:rsid w:val="00891F0C"/>
    <w:rsid w:val="0089738F"/>
    <w:rsid w:val="008B0DA0"/>
    <w:rsid w:val="008B567F"/>
    <w:rsid w:val="008C4F17"/>
    <w:rsid w:val="008C634D"/>
    <w:rsid w:val="008E5165"/>
    <w:rsid w:val="008F23E8"/>
    <w:rsid w:val="008F2C00"/>
    <w:rsid w:val="008F33A9"/>
    <w:rsid w:val="008F42BB"/>
    <w:rsid w:val="008F7990"/>
    <w:rsid w:val="00903A7F"/>
    <w:rsid w:val="009071D1"/>
    <w:rsid w:val="0090727F"/>
    <w:rsid w:val="009106F4"/>
    <w:rsid w:val="00911D1F"/>
    <w:rsid w:val="009157D8"/>
    <w:rsid w:val="009159E9"/>
    <w:rsid w:val="00942340"/>
    <w:rsid w:val="00950D3D"/>
    <w:rsid w:val="00955E16"/>
    <w:rsid w:val="00956CD3"/>
    <w:rsid w:val="0097191A"/>
    <w:rsid w:val="00973386"/>
    <w:rsid w:val="00981FDD"/>
    <w:rsid w:val="00993C2A"/>
    <w:rsid w:val="00994343"/>
    <w:rsid w:val="009945AE"/>
    <w:rsid w:val="009B02C4"/>
    <w:rsid w:val="009B7E5C"/>
    <w:rsid w:val="009C44A3"/>
    <w:rsid w:val="009D57B0"/>
    <w:rsid w:val="009F25EA"/>
    <w:rsid w:val="009F4606"/>
    <w:rsid w:val="009F48F3"/>
    <w:rsid w:val="009F4E7E"/>
    <w:rsid w:val="00A01571"/>
    <w:rsid w:val="00A07B5B"/>
    <w:rsid w:val="00A132A6"/>
    <w:rsid w:val="00A14EE3"/>
    <w:rsid w:val="00A1595F"/>
    <w:rsid w:val="00A20DAE"/>
    <w:rsid w:val="00A21D6F"/>
    <w:rsid w:val="00A246BA"/>
    <w:rsid w:val="00A30AFE"/>
    <w:rsid w:val="00A31508"/>
    <w:rsid w:val="00A345BD"/>
    <w:rsid w:val="00A34609"/>
    <w:rsid w:val="00A36B02"/>
    <w:rsid w:val="00A4081C"/>
    <w:rsid w:val="00A4448E"/>
    <w:rsid w:val="00A502B6"/>
    <w:rsid w:val="00A57931"/>
    <w:rsid w:val="00A67AC1"/>
    <w:rsid w:val="00A70A9E"/>
    <w:rsid w:val="00A722BE"/>
    <w:rsid w:val="00A72B54"/>
    <w:rsid w:val="00A74738"/>
    <w:rsid w:val="00A812BE"/>
    <w:rsid w:val="00A82CEB"/>
    <w:rsid w:val="00A90502"/>
    <w:rsid w:val="00A973F5"/>
    <w:rsid w:val="00AA4EC4"/>
    <w:rsid w:val="00AB09D7"/>
    <w:rsid w:val="00AB1551"/>
    <w:rsid w:val="00AB4976"/>
    <w:rsid w:val="00AB6601"/>
    <w:rsid w:val="00AD3493"/>
    <w:rsid w:val="00AD5E56"/>
    <w:rsid w:val="00AF0168"/>
    <w:rsid w:val="00AF2764"/>
    <w:rsid w:val="00AF3926"/>
    <w:rsid w:val="00B009B9"/>
    <w:rsid w:val="00B05290"/>
    <w:rsid w:val="00B06D6A"/>
    <w:rsid w:val="00B073EB"/>
    <w:rsid w:val="00B10DDE"/>
    <w:rsid w:val="00B11B21"/>
    <w:rsid w:val="00B1530E"/>
    <w:rsid w:val="00B272BD"/>
    <w:rsid w:val="00B275BF"/>
    <w:rsid w:val="00B32517"/>
    <w:rsid w:val="00B3251E"/>
    <w:rsid w:val="00B34940"/>
    <w:rsid w:val="00B357B2"/>
    <w:rsid w:val="00B373FD"/>
    <w:rsid w:val="00B37D61"/>
    <w:rsid w:val="00B45E26"/>
    <w:rsid w:val="00B52F52"/>
    <w:rsid w:val="00B55A6F"/>
    <w:rsid w:val="00B62D15"/>
    <w:rsid w:val="00B644C3"/>
    <w:rsid w:val="00B64D71"/>
    <w:rsid w:val="00B9345E"/>
    <w:rsid w:val="00BC00B3"/>
    <w:rsid w:val="00BC045C"/>
    <w:rsid w:val="00BC093F"/>
    <w:rsid w:val="00BC2751"/>
    <w:rsid w:val="00BD23B1"/>
    <w:rsid w:val="00BD4BEF"/>
    <w:rsid w:val="00BE25C5"/>
    <w:rsid w:val="00BE5B58"/>
    <w:rsid w:val="00BF6156"/>
    <w:rsid w:val="00C01543"/>
    <w:rsid w:val="00C016C3"/>
    <w:rsid w:val="00C038CB"/>
    <w:rsid w:val="00C048F3"/>
    <w:rsid w:val="00C132AA"/>
    <w:rsid w:val="00C1450D"/>
    <w:rsid w:val="00C15B74"/>
    <w:rsid w:val="00C3017F"/>
    <w:rsid w:val="00C310AC"/>
    <w:rsid w:val="00C34DF6"/>
    <w:rsid w:val="00C37DF7"/>
    <w:rsid w:val="00C5496D"/>
    <w:rsid w:val="00C56D42"/>
    <w:rsid w:val="00C64387"/>
    <w:rsid w:val="00C71AE3"/>
    <w:rsid w:val="00C76D1C"/>
    <w:rsid w:val="00C86485"/>
    <w:rsid w:val="00CA3E6F"/>
    <w:rsid w:val="00CA561A"/>
    <w:rsid w:val="00CA6A82"/>
    <w:rsid w:val="00CB3541"/>
    <w:rsid w:val="00CC0483"/>
    <w:rsid w:val="00CC4493"/>
    <w:rsid w:val="00CC4A76"/>
    <w:rsid w:val="00CD0CDF"/>
    <w:rsid w:val="00CD2B3E"/>
    <w:rsid w:val="00CD3B46"/>
    <w:rsid w:val="00CD3FE7"/>
    <w:rsid w:val="00CE3A22"/>
    <w:rsid w:val="00CE4436"/>
    <w:rsid w:val="00CE7556"/>
    <w:rsid w:val="00CF1487"/>
    <w:rsid w:val="00CF5D2D"/>
    <w:rsid w:val="00CF61E8"/>
    <w:rsid w:val="00D05760"/>
    <w:rsid w:val="00D164D5"/>
    <w:rsid w:val="00D221AA"/>
    <w:rsid w:val="00D23C91"/>
    <w:rsid w:val="00D26748"/>
    <w:rsid w:val="00D42757"/>
    <w:rsid w:val="00D46759"/>
    <w:rsid w:val="00D46BAF"/>
    <w:rsid w:val="00D470EF"/>
    <w:rsid w:val="00D51BA6"/>
    <w:rsid w:val="00D53C7C"/>
    <w:rsid w:val="00D55928"/>
    <w:rsid w:val="00D616A5"/>
    <w:rsid w:val="00D645CE"/>
    <w:rsid w:val="00D65D4A"/>
    <w:rsid w:val="00D74095"/>
    <w:rsid w:val="00D80F93"/>
    <w:rsid w:val="00D826AF"/>
    <w:rsid w:val="00D858BB"/>
    <w:rsid w:val="00D90F58"/>
    <w:rsid w:val="00DA624C"/>
    <w:rsid w:val="00DA790C"/>
    <w:rsid w:val="00DB1BE2"/>
    <w:rsid w:val="00DB21F9"/>
    <w:rsid w:val="00DD3E80"/>
    <w:rsid w:val="00DD5014"/>
    <w:rsid w:val="00DD69EF"/>
    <w:rsid w:val="00DD7184"/>
    <w:rsid w:val="00DE0FD1"/>
    <w:rsid w:val="00DE1CD6"/>
    <w:rsid w:val="00DE56F0"/>
    <w:rsid w:val="00DE6501"/>
    <w:rsid w:val="00E03F9F"/>
    <w:rsid w:val="00E17B6B"/>
    <w:rsid w:val="00E25569"/>
    <w:rsid w:val="00E30DD5"/>
    <w:rsid w:val="00E373DE"/>
    <w:rsid w:val="00E37A57"/>
    <w:rsid w:val="00E37D04"/>
    <w:rsid w:val="00E41382"/>
    <w:rsid w:val="00E416D1"/>
    <w:rsid w:val="00E44670"/>
    <w:rsid w:val="00E46984"/>
    <w:rsid w:val="00E477A2"/>
    <w:rsid w:val="00E47E3B"/>
    <w:rsid w:val="00E50388"/>
    <w:rsid w:val="00E6260D"/>
    <w:rsid w:val="00E70CC3"/>
    <w:rsid w:val="00E85D41"/>
    <w:rsid w:val="00E93A6C"/>
    <w:rsid w:val="00E94023"/>
    <w:rsid w:val="00EA11C8"/>
    <w:rsid w:val="00EA1E63"/>
    <w:rsid w:val="00EB0B90"/>
    <w:rsid w:val="00EB2779"/>
    <w:rsid w:val="00EB4948"/>
    <w:rsid w:val="00EB5DF8"/>
    <w:rsid w:val="00EC475B"/>
    <w:rsid w:val="00EC7953"/>
    <w:rsid w:val="00EC7C7B"/>
    <w:rsid w:val="00ED1B51"/>
    <w:rsid w:val="00ED1CDC"/>
    <w:rsid w:val="00EF50D3"/>
    <w:rsid w:val="00EF5FDB"/>
    <w:rsid w:val="00F04612"/>
    <w:rsid w:val="00F12A9F"/>
    <w:rsid w:val="00F1402A"/>
    <w:rsid w:val="00F22036"/>
    <w:rsid w:val="00F271E9"/>
    <w:rsid w:val="00F3543F"/>
    <w:rsid w:val="00F43A5A"/>
    <w:rsid w:val="00F445B6"/>
    <w:rsid w:val="00F45B8D"/>
    <w:rsid w:val="00F51223"/>
    <w:rsid w:val="00F52BE8"/>
    <w:rsid w:val="00F530D8"/>
    <w:rsid w:val="00F57EE5"/>
    <w:rsid w:val="00F60BB9"/>
    <w:rsid w:val="00F6158F"/>
    <w:rsid w:val="00F712CC"/>
    <w:rsid w:val="00F72938"/>
    <w:rsid w:val="00F81903"/>
    <w:rsid w:val="00F828F6"/>
    <w:rsid w:val="00FA4C66"/>
    <w:rsid w:val="00FB106B"/>
    <w:rsid w:val="00FB189E"/>
    <w:rsid w:val="00FB26AB"/>
    <w:rsid w:val="00FC1D3F"/>
    <w:rsid w:val="00FC35F0"/>
    <w:rsid w:val="00FC5EBA"/>
    <w:rsid w:val="00FD5F7A"/>
    <w:rsid w:val="00FF0B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967962F-C24A-423B-BF96-4C816C923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41765"/>
    <w:pPr>
      <w:jc w:val="both"/>
    </w:pPr>
    <w:rPr>
      <w:sz w:val="24"/>
      <w:lang w:eastAsia="zh-TW"/>
    </w:rPr>
  </w:style>
  <w:style w:type="paragraph" w:styleId="Heading1">
    <w:name w:val="heading 1"/>
    <w:basedOn w:val="Normal"/>
    <w:next w:val="Normal"/>
    <w:rsid w:val="00C56D42"/>
    <w:pPr>
      <w:keepNext/>
      <w:numPr>
        <w:numId w:val="35"/>
      </w:numPr>
      <w:spacing w:after="120" w:line="480" w:lineRule="auto"/>
      <w:jc w:val="center"/>
      <w:outlineLvl w:val="0"/>
    </w:pPr>
    <w:rPr>
      <w:b/>
      <w:caps/>
      <w:sz w:val="28"/>
    </w:rPr>
  </w:style>
  <w:style w:type="paragraph" w:styleId="Heading2">
    <w:name w:val="heading 2"/>
    <w:basedOn w:val="Heading1"/>
    <w:next w:val="Normal"/>
    <w:rsid w:val="00C56D42"/>
    <w:pPr>
      <w:numPr>
        <w:ilvl w:val="1"/>
      </w:numPr>
      <w:jc w:val="left"/>
      <w:outlineLvl w:val="1"/>
    </w:pPr>
    <w:rPr>
      <w:caps w:val="0"/>
    </w:rPr>
  </w:style>
  <w:style w:type="paragraph" w:styleId="Heading3">
    <w:name w:val="heading 3"/>
    <w:basedOn w:val="Heading2"/>
    <w:next w:val="Normal"/>
    <w:rsid w:val="00C56D42"/>
    <w:pPr>
      <w:numPr>
        <w:ilvl w:val="2"/>
      </w:numPr>
      <w:outlineLvl w:val="2"/>
    </w:pPr>
  </w:style>
  <w:style w:type="paragraph" w:styleId="Heading4">
    <w:name w:val="heading 4"/>
    <w:basedOn w:val="Heading3"/>
    <w:next w:val="Normal"/>
    <w:rsid w:val="00C56D42"/>
    <w:pPr>
      <w:numPr>
        <w:ilvl w:val="3"/>
      </w:numPr>
      <w:outlineLvl w:val="3"/>
    </w:pPr>
  </w:style>
  <w:style w:type="paragraph" w:styleId="Heading5">
    <w:name w:val="heading 5"/>
    <w:basedOn w:val="Heading4"/>
    <w:next w:val="Normal"/>
    <w:rsid w:val="00C56D42"/>
    <w:pPr>
      <w:numPr>
        <w:ilvl w:val="4"/>
      </w:numPr>
      <w:outlineLvl w:val="4"/>
    </w:pPr>
  </w:style>
  <w:style w:type="paragraph" w:styleId="Heading6">
    <w:name w:val="heading 6"/>
    <w:basedOn w:val="Heading5"/>
    <w:next w:val="Normal"/>
    <w:rsid w:val="00C56D42"/>
    <w:pPr>
      <w:numPr>
        <w:ilvl w:val="5"/>
      </w:numPr>
      <w:outlineLvl w:val="5"/>
    </w:pPr>
  </w:style>
  <w:style w:type="paragraph" w:styleId="Heading7">
    <w:name w:val="heading 7"/>
    <w:basedOn w:val="Heading6"/>
    <w:next w:val="Normal"/>
    <w:rsid w:val="00C56D42"/>
    <w:pPr>
      <w:numPr>
        <w:ilvl w:val="6"/>
      </w:numPr>
      <w:outlineLvl w:val="6"/>
    </w:pPr>
  </w:style>
  <w:style w:type="paragraph" w:styleId="Heading8">
    <w:name w:val="heading 8"/>
    <w:basedOn w:val="Heading7"/>
    <w:next w:val="Normal"/>
    <w:rsid w:val="00C56D42"/>
    <w:pPr>
      <w:numPr>
        <w:ilvl w:val="7"/>
      </w:numPr>
      <w:outlineLvl w:val="7"/>
    </w:pPr>
  </w:style>
  <w:style w:type="paragraph" w:styleId="Heading9">
    <w:name w:val="heading 9"/>
    <w:basedOn w:val="Heading8"/>
    <w:next w:val="Normal"/>
    <w:rsid w:val="00C56D4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semiHidden/>
    <w:rsid w:val="000D496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semiHidden/>
    <w:rsid w:val="008C634D"/>
    <w:pPr>
      <w:tabs>
        <w:tab w:val="center" w:pos="4680"/>
        <w:tab w:val="right" w:pos="9360"/>
      </w:tabs>
      <w:jc w:val="left"/>
    </w:pPr>
    <w:rPr>
      <w:rFonts w:eastAsia="SimSun"/>
      <w:sz w:val="20"/>
      <w:lang w:eastAsia="zh-CN"/>
    </w:rPr>
  </w:style>
  <w:style w:type="paragraph" w:styleId="Footer">
    <w:name w:val="footer"/>
    <w:basedOn w:val="Normal"/>
    <w:semiHidden/>
    <w:rsid w:val="00B3251E"/>
    <w:pPr>
      <w:tabs>
        <w:tab w:val="center" w:pos="4680"/>
        <w:tab w:val="right" w:pos="9360"/>
      </w:tabs>
      <w:jc w:val="left"/>
    </w:pPr>
    <w:rPr>
      <w:rFonts w:eastAsia="SimSun"/>
      <w:sz w:val="20"/>
      <w:lang w:eastAsia="zh-CN"/>
    </w:rPr>
  </w:style>
  <w:style w:type="paragraph" w:customStyle="1" w:styleId="BodyTextIndented">
    <w:name w:val="Body Text Indented"/>
    <w:basedOn w:val="Normal"/>
    <w:link w:val="BodyTextIndentedCharChar"/>
    <w:qFormat/>
    <w:rsid w:val="00BF6156"/>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BF6156"/>
    <w:rPr>
      <w:rFonts w:eastAsia="SimSun"/>
      <w:sz w:val="24"/>
      <w:szCs w:val="24"/>
      <w:lang w:eastAsia="zh-CN"/>
    </w:rPr>
  </w:style>
  <w:style w:type="character" w:customStyle="1" w:styleId="StyleBold">
    <w:name w:val="Style Bold"/>
    <w:basedOn w:val="DefaultParagraphFont"/>
    <w:semiHidden/>
    <w:rsid w:val="000D496A"/>
    <w:rPr>
      <w:b/>
      <w:bCs/>
      <w:caps/>
    </w:rPr>
  </w:style>
  <w:style w:type="paragraph" w:customStyle="1" w:styleId="NumberedParagraph">
    <w:name w:val="Numbered Paragraph"/>
    <w:basedOn w:val="BodyTextIndented"/>
    <w:qFormat/>
    <w:rsid w:val="00F712CC"/>
    <w:pPr>
      <w:numPr>
        <w:numId w:val="11"/>
      </w:numPr>
      <w:tabs>
        <w:tab w:val="clear" w:pos="720"/>
      </w:tabs>
    </w:pPr>
  </w:style>
  <w:style w:type="paragraph" w:customStyle="1" w:styleId="OrderHeading1">
    <w:name w:val="Order Heading 1"/>
    <w:qFormat/>
    <w:rsid w:val="005B3A93"/>
    <w:pPr>
      <w:keepNext/>
      <w:keepLines/>
      <w:numPr>
        <w:numId w:val="24"/>
      </w:numPr>
      <w:tabs>
        <w:tab w:val="clear" w:pos="4050"/>
      </w:tabs>
      <w:spacing w:before="480" w:after="120"/>
      <w:ind w:left="720"/>
      <w:jc w:val="center"/>
      <w:outlineLvl w:val="0"/>
    </w:pPr>
    <w:rPr>
      <w:b/>
      <w:sz w:val="24"/>
      <w:lang w:eastAsia="zh-TW"/>
    </w:rPr>
  </w:style>
  <w:style w:type="paragraph" w:customStyle="1" w:styleId="OrderHeading2">
    <w:name w:val="Order Heading 2"/>
    <w:basedOn w:val="OrderHeading1"/>
    <w:qFormat/>
    <w:rsid w:val="005B3A93"/>
    <w:pPr>
      <w:numPr>
        <w:ilvl w:val="1"/>
        <w:numId w:val="15"/>
      </w:numPr>
      <w:tabs>
        <w:tab w:val="clear" w:pos="0"/>
      </w:tabs>
      <w:spacing w:before="360"/>
      <w:outlineLvl w:val="1"/>
    </w:pPr>
  </w:style>
  <w:style w:type="paragraph" w:customStyle="1" w:styleId="OrderHeading3">
    <w:name w:val="Order Heading 3"/>
    <w:basedOn w:val="OrderHeading1"/>
    <w:qFormat/>
    <w:rsid w:val="00AB09D7"/>
    <w:pPr>
      <w:numPr>
        <w:ilvl w:val="2"/>
      </w:numPr>
      <w:tabs>
        <w:tab w:val="clear" w:pos="0"/>
      </w:tabs>
      <w:spacing w:before="240"/>
      <w:jc w:val="left"/>
      <w:outlineLvl w:val="2"/>
    </w:pPr>
    <w:rPr>
      <w:bCs/>
    </w:rPr>
  </w:style>
  <w:style w:type="paragraph" w:customStyle="1" w:styleId="OrderHeading4">
    <w:name w:val="Order Heading 4"/>
    <w:basedOn w:val="OrderHeading1"/>
    <w:qFormat/>
    <w:rsid w:val="00AB09D7"/>
    <w:pPr>
      <w:numPr>
        <w:ilvl w:val="3"/>
      </w:numPr>
      <w:tabs>
        <w:tab w:val="clear" w:pos="0"/>
      </w:tabs>
      <w:spacing w:before="240"/>
      <w:jc w:val="left"/>
    </w:pPr>
    <w:rPr>
      <w:bCs/>
    </w:rPr>
  </w:style>
  <w:style w:type="paragraph" w:customStyle="1" w:styleId="OrderHeading5">
    <w:name w:val="Order Heading 5"/>
    <w:basedOn w:val="OrderHeading1"/>
    <w:qFormat/>
    <w:rsid w:val="00AB09D7"/>
    <w:pPr>
      <w:numPr>
        <w:ilvl w:val="4"/>
      </w:numPr>
      <w:tabs>
        <w:tab w:val="clear" w:pos="0"/>
      </w:tabs>
      <w:spacing w:before="240" w:after="60"/>
      <w:jc w:val="left"/>
      <w:outlineLvl w:val="4"/>
    </w:pPr>
    <w:rPr>
      <w:bCs/>
    </w:rPr>
  </w:style>
  <w:style w:type="numbering" w:styleId="111111">
    <w:name w:val="Outline List 2"/>
    <w:basedOn w:val="NoList"/>
    <w:semiHidden/>
    <w:rsid w:val="00955E16"/>
    <w:pPr>
      <w:numPr>
        <w:numId w:val="36"/>
      </w:numPr>
    </w:pPr>
  </w:style>
  <w:style w:type="numbering" w:styleId="1ai">
    <w:name w:val="Outline List 1"/>
    <w:basedOn w:val="NoList"/>
    <w:semiHidden/>
    <w:rsid w:val="00955E16"/>
    <w:pPr>
      <w:numPr>
        <w:numId w:val="37"/>
      </w:numPr>
    </w:pPr>
  </w:style>
  <w:style w:type="numbering" w:styleId="ArticleSection">
    <w:name w:val="Outline List 3"/>
    <w:basedOn w:val="NoList"/>
    <w:semiHidden/>
    <w:rsid w:val="00955E16"/>
    <w:pPr>
      <w:numPr>
        <w:numId w:val="38"/>
      </w:numPr>
    </w:pPr>
  </w:style>
  <w:style w:type="paragraph" w:styleId="BlockText">
    <w:name w:val="Block Text"/>
    <w:basedOn w:val="Normal"/>
    <w:semiHidden/>
    <w:rsid w:val="00955E16"/>
    <w:pPr>
      <w:spacing w:after="120"/>
      <w:ind w:left="1440" w:right="1440"/>
    </w:pPr>
  </w:style>
  <w:style w:type="paragraph" w:styleId="BodyTextFirstIndent">
    <w:name w:val="Body Text First Indent"/>
    <w:basedOn w:val="Normal"/>
    <w:semiHidden/>
    <w:rsid w:val="00483C03"/>
    <w:pPr>
      <w:spacing w:after="120"/>
      <w:ind w:firstLine="210"/>
    </w:pPr>
  </w:style>
  <w:style w:type="paragraph" w:styleId="BodyTextIndent">
    <w:name w:val="Body Text Indent"/>
    <w:basedOn w:val="Normal"/>
    <w:semiHidden/>
    <w:rsid w:val="00955E16"/>
    <w:pPr>
      <w:spacing w:after="120"/>
      <w:ind w:left="360"/>
    </w:pPr>
  </w:style>
  <w:style w:type="paragraph" w:styleId="BodyTextFirstIndent2">
    <w:name w:val="Body Text First Indent 2"/>
    <w:basedOn w:val="BodyTextIndent"/>
    <w:semiHidden/>
    <w:rsid w:val="00955E16"/>
    <w:pPr>
      <w:ind w:firstLine="210"/>
    </w:pPr>
  </w:style>
  <w:style w:type="paragraph" w:styleId="BodyTextIndent2">
    <w:name w:val="Body Text Indent 2"/>
    <w:basedOn w:val="Normal"/>
    <w:semiHidden/>
    <w:rsid w:val="00955E16"/>
    <w:pPr>
      <w:spacing w:after="120" w:line="480" w:lineRule="auto"/>
      <w:ind w:left="360"/>
    </w:pPr>
  </w:style>
  <w:style w:type="paragraph" w:styleId="BodyTextIndent3">
    <w:name w:val="Body Text Indent 3"/>
    <w:basedOn w:val="Normal"/>
    <w:semiHidden/>
    <w:rsid w:val="00955E16"/>
    <w:pPr>
      <w:spacing w:after="120"/>
      <w:ind w:left="360"/>
    </w:pPr>
    <w:rPr>
      <w:sz w:val="16"/>
      <w:szCs w:val="16"/>
    </w:rPr>
  </w:style>
  <w:style w:type="paragraph" w:styleId="Closing">
    <w:name w:val="Closing"/>
    <w:basedOn w:val="Normal"/>
    <w:semiHidden/>
    <w:rsid w:val="00955E16"/>
    <w:pPr>
      <w:ind w:left="4320"/>
    </w:pPr>
  </w:style>
  <w:style w:type="paragraph" w:styleId="Date">
    <w:name w:val="Date"/>
    <w:basedOn w:val="Normal"/>
    <w:next w:val="Normal"/>
    <w:semiHidden/>
    <w:rsid w:val="00955E16"/>
  </w:style>
  <w:style w:type="paragraph" w:styleId="E-mailSignature">
    <w:name w:val="E-mail Signature"/>
    <w:basedOn w:val="Normal"/>
    <w:semiHidden/>
    <w:rsid w:val="00955E16"/>
  </w:style>
  <w:style w:type="character" w:styleId="Emphasis">
    <w:name w:val="Emphasis"/>
    <w:basedOn w:val="DefaultParagraphFont"/>
    <w:rsid w:val="00955E16"/>
    <w:rPr>
      <w:i/>
      <w:iCs/>
    </w:rPr>
  </w:style>
  <w:style w:type="paragraph" w:styleId="EnvelopeAddress">
    <w:name w:val="envelope address"/>
    <w:basedOn w:val="Normal"/>
    <w:semiHidden/>
    <w:rsid w:val="00955E16"/>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semiHidden/>
    <w:rsid w:val="00955E16"/>
    <w:rPr>
      <w:rFonts w:ascii="Arial" w:hAnsi="Arial" w:cs="Arial"/>
      <w:sz w:val="20"/>
    </w:rPr>
  </w:style>
  <w:style w:type="character" w:styleId="FollowedHyperlink">
    <w:name w:val="FollowedHyperlink"/>
    <w:basedOn w:val="DefaultParagraphFont"/>
    <w:semiHidden/>
    <w:rsid w:val="00955E16"/>
    <w:rPr>
      <w:color w:val="606420"/>
      <w:u w:val="single"/>
    </w:rPr>
  </w:style>
  <w:style w:type="character" w:styleId="HTMLAcronym">
    <w:name w:val="HTML Acronym"/>
    <w:basedOn w:val="DefaultParagraphFont"/>
    <w:semiHidden/>
    <w:rsid w:val="00955E16"/>
  </w:style>
  <w:style w:type="paragraph" w:styleId="HTMLAddress">
    <w:name w:val="HTML Address"/>
    <w:basedOn w:val="Normal"/>
    <w:semiHidden/>
    <w:rsid w:val="00955E16"/>
    <w:rPr>
      <w:i/>
      <w:iCs/>
    </w:rPr>
  </w:style>
  <w:style w:type="character" w:styleId="HTMLCite">
    <w:name w:val="HTML Cite"/>
    <w:basedOn w:val="DefaultParagraphFont"/>
    <w:semiHidden/>
    <w:rsid w:val="00955E16"/>
    <w:rPr>
      <w:i/>
      <w:iCs/>
    </w:rPr>
  </w:style>
  <w:style w:type="character" w:styleId="HTMLCode">
    <w:name w:val="HTML Code"/>
    <w:basedOn w:val="DefaultParagraphFont"/>
    <w:semiHidden/>
    <w:rsid w:val="00955E16"/>
    <w:rPr>
      <w:rFonts w:ascii="Courier New" w:hAnsi="Courier New" w:cs="Courier New"/>
      <w:sz w:val="20"/>
      <w:szCs w:val="20"/>
    </w:rPr>
  </w:style>
  <w:style w:type="character" w:styleId="HTMLDefinition">
    <w:name w:val="HTML Definition"/>
    <w:basedOn w:val="DefaultParagraphFont"/>
    <w:semiHidden/>
    <w:rsid w:val="00955E16"/>
    <w:rPr>
      <w:i/>
      <w:iCs/>
    </w:rPr>
  </w:style>
  <w:style w:type="character" w:styleId="HTMLKeyboard">
    <w:name w:val="HTML Keyboard"/>
    <w:basedOn w:val="DefaultParagraphFont"/>
    <w:semiHidden/>
    <w:rsid w:val="00955E16"/>
    <w:rPr>
      <w:rFonts w:ascii="Courier New" w:hAnsi="Courier New" w:cs="Courier New"/>
      <w:sz w:val="20"/>
      <w:szCs w:val="20"/>
    </w:rPr>
  </w:style>
  <w:style w:type="paragraph" w:styleId="HTMLPreformatted">
    <w:name w:val="HTML Preformatted"/>
    <w:basedOn w:val="Normal"/>
    <w:semiHidden/>
    <w:rsid w:val="00955E16"/>
    <w:rPr>
      <w:rFonts w:ascii="Courier New" w:hAnsi="Courier New" w:cs="Courier New"/>
      <w:sz w:val="20"/>
    </w:rPr>
  </w:style>
  <w:style w:type="character" w:styleId="HTMLSample">
    <w:name w:val="HTML Sample"/>
    <w:basedOn w:val="DefaultParagraphFont"/>
    <w:semiHidden/>
    <w:rsid w:val="00955E16"/>
    <w:rPr>
      <w:rFonts w:ascii="Courier New" w:hAnsi="Courier New" w:cs="Courier New"/>
    </w:rPr>
  </w:style>
  <w:style w:type="character" w:styleId="HTMLTypewriter">
    <w:name w:val="HTML Typewriter"/>
    <w:basedOn w:val="DefaultParagraphFont"/>
    <w:semiHidden/>
    <w:rsid w:val="00955E16"/>
    <w:rPr>
      <w:rFonts w:ascii="Courier New" w:hAnsi="Courier New" w:cs="Courier New"/>
      <w:sz w:val="20"/>
      <w:szCs w:val="20"/>
    </w:rPr>
  </w:style>
  <w:style w:type="character" w:styleId="HTMLVariable">
    <w:name w:val="HTML Variable"/>
    <w:basedOn w:val="DefaultParagraphFont"/>
    <w:semiHidden/>
    <w:rsid w:val="00955E16"/>
    <w:rPr>
      <w:i/>
      <w:iCs/>
    </w:rPr>
  </w:style>
  <w:style w:type="character" w:styleId="Hyperlink">
    <w:name w:val="Hyperlink"/>
    <w:basedOn w:val="DefaultParagraphFont"/>
    <w:semiHidden/>
    <w:rsid w:val="00955E16"/>
    <w:rPr>
      <w:color w:val="0000FF"/>
      <w:u w:val="single"/>
    </w:rPr>
  </w:style>
  <w:style w:type="character" w:styleId="LineNumber">
    <w:name w:val="line number"/>
    <w:basedOn w:val="DefaultParagraphFont"/>
    <w:semiHidden/>
    <w:rsid w:val="00955E16"/>
  </w:style>
  <w:style w:type="paragraph" w:styleId="List">
    <w:name w:val="List"/>
    <w:basedOn w:val="Normal"/>
    <w:semiHidden/>
    <w:rsid w:val="00955E16"/>
    <w:pPr>
      <w:ind w:left="360" w:hanging="360"/>
    </w:pPr>
  </w:style>
  <w:style w:type="paragraph" w:styleId="List2">
    <w:name w:val="List 2"/>
    <w:basedOn w:val="Normal"/>
    <w:semiHidden/>
    <w:rsid w:val="00955E16"/>
    <w:pPr>
      <w:ind w:left="720" w:hanging="360"/>
    </w:pPr>
  </w:style>
  <w:style w:type="paragraph" w:styleId="List3">
    <w:name w:val="List 3"/>
    <w:basedOn w:val="Normal"/>
    <w:semiHidden/>
    <w:rsid w:val="00955E16"/>
    <w:pPr>
      <w:ind w:left="1080" w:hanging="360"/>
    </w:pPr>
  </w:style>
  <w:style w:type="paragraph" w:styleId="List4">
    <w:name w:val="List 4"/>
    <w:basedOn w:val="Normal"/>
    <w:semiHidden/>
    <w:rsid w:val="00955E16"/>
    <w:pPr>
      <w:ind w:left="1440" w:hanging="360"/>
    </w:pPr>
  </w:style>
  <w:style w:type="paragraph" w:styleId="List5">
    <w:name w:val="List 5"/>
    <w:basedOn w:val="Normal"/>
    <w:semiHidden/>
    <w:rsid w:val="00955E16"/>
    <w:pPr>
      <w:ind w:left="1800" w:hanging="360"/>
    </w:pPr>
  </w:style>
  <w:style w:type="paragraph" w:styleId="ListBullet">
    <w:name w:val="List Bullet"/>
    <w:basedOn w:val="Normal"/>
    <w:semiHidden/>
    <w:rsid w:val="00955E16"/>
    <w:pPr>
      <w:numPr>
        <w:numId w:val="1"/>
      </w:numPr>
    </w:pPr>
  </w:style>
  <w:style w:type="paragraph" w:styleId="ListBullet2">
    <w:name w:val="List Bullet 2"/>
    <w:basedOn w:val="Normal"/>
    <w:semiHidden/>
    <w:rsid w:val="00955E16"/>
    <w:pPr>
      <w:numPr>
        <w:numId w:val="2"/>
      </w:numPr>
    </w:pPr>
  </w:style>
  <w:style w:type="paragraph" w:styleId="ListBullet3">
    <w:name w:val="List Bullet 3"/>
    <w:basedOn w:val="Normal"/>
    <w:semiHidden/>
    <w:rsid w:val="00955E16"/>
    <w:pPr>
      <w:numPr>
        <w:numId w:val="3"/>
      </w:numPr>
    </w:pPr>
  </w:style>
  <w:style w:type="paragraph" w:styleId="ListBullet4">
    <w:name w:val="List Bullet 4"/>
    <w:basedOn w:val="Normal"/>
    <w:semiHidden/>
    <w:rsid w:val="00955E16"/>
    <w:pPr>
      <w:numPr>
        <w:numId w:val="4"/>
      </w:numPr>
    </w:pPr>
  </w:style>
  <w:style w:type="paragraph" w:styleId="ListBullet5">
    <w:name w:val="List Bullet 5"/>
    <w:basedOn w:val="Normal"/>
    <w:semiHidden/>
    <w:rsid w:val="00955E16"/>
    <w:pPr>
      <w:numPr>
        <w:numId w:val="5"/>
      </w:numPr>
    </w:pPr>
  </w:style>
  <w:style w:type="paragraph" w:styleId="ListContinue">
    <w:name w:val="List Continue"/>
    <w:basedOn w:val="Normal"/>
    <w:semiHidden/>
    <w:rsid w:val="00955E16"/>
    <w:pPr>
      <w:spacing w:after="120"/>
      <w:ind w:left="360"/>
    </w:pPr>
  </w:style>
  <w:style w:type="paragraph" w:styleId="ListContinue2">
    <w:name w:val="List Continue 2"/>
    <w:basedOn w:val="Normal"/>
    <w:semiHidden/>
    <w:rsid w:val="00955E16"/>
    <w:pPr>
      <w:spacing w:after="120"/>
      <w:ind w:left="720"/>
    </w:pPr>
  </w:style>
  <w:style w:type="paragraph" w:styleId="ListContinue3">
    <w:name w:val="List Continue 3"/>
    <w:basedOn w:val="Normal"/>
    <w:semiHidden/>
    <w:rsid w:val="00955E16"/>
    <w:pPr>
      <w:spacing w:after="120"/>
      <w:ind w:left="1080"/>
    </w:pPr>
  </w:style>
  <w:style w:type="paragraph" w:styleId="ListContinue4">
    <w:name w:val="List Continue 4"/>
    <w:basedOn w:val="Normal"/>
    <w:semiHidden/>
    <w:rsid w:val="00955E16"/>
    <w:pPr>
      <w:spacing w:after="120"/>
      <w:ind w:left="1440"/>
    </w:pPr>
  </w:style>
  <w:style w:type="paragraph" w:styleId="ListContinue5">
    <w:name w:val="List Continue 5"/>
    <w:basedOn w:val="Normal"/>
    <w:semiHidden/>
    <w:rsid w:val="00955E16"/>
    <w:pPr>
      <w:spacing w:after="120"/>
      <w:ind w:left="1800"/>
    </w:pPr>
  </w:style>
  <w:style w:type="paragraph" w:styleId="ListNumber">
    <w:name w:val="List Number"/>
    <w:basedOn w:val="Normal"/>
    <w:semiHidden/>
    <w:rsid w:val="00955E16"/>
    <w:pPr>
      <w:numPr>
        <w:numId w:val="6"/>
      </w:numPr>
    </w:pPr>
  </w:style>
  <w:style w:type="paragraph" w:styleId="ListNumber2">
    <w:name w:val="List Number 2"/>
    <w:basedOn w:val="Normal"/>
    <w:semiHidden/>
    <w:rsid w:val="00955E16"/>
    <w:pPr>
      <w:numPr>
        <w:numId w:val="7"/>
      </w:numPr>
    </w:pPr>
  </w:style>
  <w:style w:type="paragraph" w:styleId="ListNumber3">
    <w:name w:val="List Number 3"/>
    <w:basedOn w:val="Normal"/>
    <w:semiHidden/>
    <w:rsid w:val="00955E16"/>
    <w:pPr>
      <w:numPr>
        <w:numId w:val="8"/>
      </w:numPr>
    </w:pPr>
  </w:style>
  <w:style w:type="paragraph" w:styleId="ListNumber4">
    <w:name w:val="List Number 4"/>
    <w:basedOn w:val="Normal"/>
    <w:semiHidden/>
    <w:rsid w:val="00955E16"/>
    <w:pPr>
      <w:numPr>
        <w:numId w:val="9"/>
      </w:numPr>
    </w:pPr>
  </w:style>
  <w:style w:type="paragraph" w:styleId="ListNumber5">
    <w:name w:val="List Number 5"/>
    <w:basedOn w:val="Normal"/>
    <w:semiHidden/>
    <w:rsid w:val="00955E16"/>
    <w:pPr>
      <w:numPr>
        <w:numId w:val="10"/>
      </w:numPr>
    </w:pPr>
  </w:style>
  <w:style w:type="paragraph" w:styleId="MessageHeader">
    <w:name w:val="Message Header"/>
    <w:basedOn w:val="Normal"/>
    <w:semiHidden/>
    <w:rsid w:val="00955E1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semiHidden/>
    <w:rsid w:val="00955E16"/>
    <w:rPr>
      <w:szCs w:val="24"/>
    </w:rPr>
  </w:style>
  <w:style w:type="paragraph" w:styleId="NormalIndent">
    <w:name w:val="Normal Indent"/>
    <w:basedOn w:val="Normal"/>
    <w:semiHidden/>
    <w:rsid w:val="00955E16"/>
    <w:pPr>
      <w:ind w:left="720"/>
    </w:pPr>
  </w:style>
  <w:style w:type="paragraph" w:styleId="NoteHeading">
    <w:name w:val="Note Heading"/>
    <w:basedOn w:val="Normal"/>
    <w:next w:val="Normal"/>
    <w:semiHidden/>
    <w:rsid w:val="00955E16"/>
  </w:style>
  <w:style w:type="character" w:styleId="PageNumber">
    <w:name w:val="page number"/>
    <w:basedOn w:val="DefaultParagraphFont"/>
    <w:semiHidden/>
    <w:rsid w:val="00955E16"/>
  </w:style>
  <w:style w:type="paragraph" w:styleId="PlainText">
    <w:name w:val="Plain Text"/>
    <w:basedOn w:val="Normal"/>
    <w:semiHidden/>
    <w:rsid w:val="00955E16"/>
    <w:rPr>
      <w:rFonts w:ascii="Courier New" w:hAnsi="Courier New" w:cs="Courier New"/>
      <w:sz w:val="20"/>
    </w:rPr>
  </w:style>
  <w:style w:type="paragraph" w:styleId="Salutation">
    <w:name w:val="Salutation"/>
    <w:basedOn w:val="Normal"/>
    <w:next w:val="Normal"/>
    <w:semiHidden/>
    <w:rsid w:val="00955E16"/>
  </w:style>
  <w:style w:type="paragraph" w:styleId="Signature">
    <w:name w:val="Signature"/>
    <w:basedOn w:val="Normal"/>
    <w:semiHidden/>
    <w:rsid w:val="00955E16"/>
    <w:pPr>
      <w:ind w:left="4320"/>
    </w:pPr>
  </w:style>
  <w:style w:type="character" w:styleId="Strong">
    <w:name w:val="Strong"/>
    <w:basedOn w:val="DefaultParagraphFont"/>
    <w:rsid w:val="00955E16"/>
    <w:rPr>
      <w:b/>
      <w:bCs/>
    </w:rPr>
  </w:style>
  <w:style w:type="paragraph" w:styleId="Subtitle">
    <w:name w:val="Subtitle"/>
    <w:basedOn w:val="Normal"/>
    <w:rsid w:val="00955E16"/>
    <w:pPr>
      <w:spacing w:after="60"/>
      <w:jc w:val="center"/>
      <w:outlineLvl w:val="1"/>
    </w:pPr>
    <w:rPr>
      <w:rFonts w:ascii="Arial" w:hAnsi="Arial" w:cs="Arial"/>
      <w:szCs w:val="24"/>
    </w:rPr>
  </w:style>
  <w:style w:type="table" w:styleId="Table3Deffects1">
    <w:name w:val="Table 3D effects 1"/>
    <w:basedOn w:val="TableNormal"/>
    <w:semiHidden/>
    <w:rsid w:val="00955E16"/>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955E16"/>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955E16"/>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55E16"/>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55E16"/>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955E16"/>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955E16"/>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955E16"/>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55E16"/>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55E16"/>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55E16"/>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955E16"/>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955E16"/>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955E16"/>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955E16"/>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955E16"/>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955E16"/>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955E1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955E16"/>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955E16"/>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55E16"/>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55E16"/>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55E16"/>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55E16"/>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55E16"/>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55E16"/>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55E16"/>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55E16"/>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55E16"/>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955E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955E16"/>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55E16"/>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55E16"/>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rsid w:val="00955E16"/>
    <w:pPr>
      <w:spacing w:before="240" w:after="60"/>
      <w:jc w:val="center"/>
      <w:outlineLvl w:val="0"/>
    </w:pPr>
    <w:rPr>
      <w:rFonts w:ascii="Arial" w:hAnsi="Arial" w:cs="Arial"/>
      <w:b/>
      <w:bCs/>
      <w:kern w:val="28"/>
      <w:sz w:val="32"/>
      <w:szCs w:val="32"/>
    </w:rPr>
  </w:style>
  <w:style w:type="character" w:styleId="FootnoteReference">
    <w:name w:val="footnote reference"/>
    <w:basedOn w:val="DefaultParagraphFont"/>
    <w:rsid w:val="00B3251E"/>
    <w:rPr>
      <w:vertAlign w:val="superscript"/>
    </w:rPr>
  </w:style>
  <w:style w:type="paragraph" w:styleId="FootnoteText">
    <w:name w:val="footnote text"/>
    <w:basedOn w:val="Normal"/>
    <w:qFormat/>
    <w:rsid w:val="00CD0CDF"/>
    <w:pPr>
      <w:spacing w:before="120"/>
      <w:ind w:firstLine="720"/>
    </w:pPr>
    <w:rPr>
      <w:sz w:val="20"/>
    </w:rPr>
  </w:style>
  <w:style w:type="paragraph" w:customStyle="1" w:styleId="BlockQuote">
    <w:name w:val="Block Quote"/>
    <w:basedOn w:val="BodyTextIndented"/>
    <w:qFormat/>
    <w:rsid w:val="00566C31"/>
    <w:pPr>
      <w:spacing w:after="240" w:line="240" w:lineRule="auto"/>
      <w:ind w:left="720" w:right="720" w:firstLine="0"/>
    </w:pPr>
  </w:style>
  <w:style w:type="paragraph" w:customStyle="1" w:styleId="BodyTextUnindented">
    <w:name w:val="Body Text Unindented"/>
    <w:basedOn w:val="BodyTextIndented"/>
    <w:qFormat/>
    <w:rsid w:val="001A717E"/>
    <w:pPr>
      <w:ind w:firstLine="0"/>
    </w:pPr>
  </w:style>
  <w:style w:type="paragraph" w:customStyle="1" w:styleId="FindingHeading">
    <w:name w:val="Finding Heading"/>
    <w:basedOn w:val="BodyTextUnindented"/>
    <w:link w:val="FindingHeadingChar"/>
    <w:qFormat/>
    <w:rsid w:val="00B275BF"/>
    <w:pPr>
      <w:keepNext/>
      <w:keepLines/>
      <w:spacing w:before="240" w:after="60" w:line="240" w:lineRule="auto"/>
    </w:pPr>
    <w:rPr>
      <w:b/>
      <w:i/>
      <w:u w:val="single"/>
    </w:rPr>
  </w:style>
  <w:style w:type="character" w:customStyle="1" w:styleId="FindingHeadingChar">
    <w:name w:val="Finding Heading Char"/>
    <w:basedOn w:val="DefaultParagraphFont"/>
    <w:link w:val="FindingHeading"/>
    <w:rsid w:val="00B275BF"/>
    <w:rPr>
      <w:rFonts w:eastAsia="SimSun"/>
      <w:b/>
      <w:i/>
      <w:sz w:val="24"/>
      <w:szCs w:val="24"/>
      <w:u w:val="single"/>
      <w:lang w:eastAsia="zh-CN"/>
    </w:rPr>
  </w:style>
  <w:style w:type="paragraph" w:customStyle="1" w:styleId="DocketNumber">
    <w:name w:val="Docket Number"/>
    <w:basedOn w:val="Title"/>
    <w:link w:val="DocketNumberChar"/>
    <w:qFormat/>
    <w:rsid w:val="008F42BB"/>
    <w:pPr>
      <w:spacing w:before="0" w:after="480"/>
      <w:outlineLvl w:val="9"/>
    </w:pPr>
    <w:rPr>
      <w:rFonts w:ascii="Times New Roman" w:hAnsi="Times New Roman" w:cs="Times New Roman"/>
      <w:bCs w:val="0"/>
      <w:caps/>
      <w:snapToGrid w:val="0"/>
      <w:kern w:val="0"/>
      <w:sz w:val="24"/>
      <w:szCs w:val="24"/>
      <w:lang w:eastAsia="en-US"/>
    </w:rPr>
  </w:style>
  <w:style w:type="paragraph" w:customStyle="1" w:styleId="OrderTitle">
    <w:name w:val="Order Title"/>
    <w:basedOn w:val="Title"/>
    <w:link w:val="OrderTitleChar"/>
    <w:qFormat/>
    <w:rsid w:val="00241765"/>
    <w:pPr>
      <w:spacing w:before="480" w:after="480"/>
      <w:outlineLvl w:val="9"/>
    </w:pPr>
    <w:rPr>
      <w:rFonts w:ascii="Times New Roman" w:hAnsi="Times New Roman" w:cs="Times New Roman"/>
      <w:bCs w:val="0"/>
      <w:caps/>
      <w:snapToGrid w:val="0"/>
      <w:kern w:val="0"/>
      <w:sz w:val="24"/>
      <w:szCs w:val="24"/>
      <w:lang w:eastAsia="en-US"/>
    </w:rPr>
  </w:style>
  <w:style w:type="character" w:customStyle="1" w:styleId="TitleChar">
    <w:name w:val="Title Char"/>
    <w:basedOn w:val="DefaultParagraphFont"/>
    <w:link w:val="Title"/>
    <w:rsid w:val="00241765"/>
    <w:rPr>
      <w:rFonts w:ascii="Arial" w:hAnsi="Arial" w:cs="Arial"/>
      <w:b/>
      <w:bCs/>
      <w:kern w:val="28"/>
      <w:sz w:val="32"/>
      <w:szCs w:val="32"/>
      <w:lang w:eastAsia="zh-TW"/>
    </w:rPr>
  </w:style>
  <w:style w:type="character" w:customStyle="1" w:styleId="DocketNumberChar">
    <w:name w:val="Docket Number Char"/>
    <w:basedOn w:val="TitleChar"/>
    <w:link w:val="DocketNumber"/>
    <w:rsid w:val="008F42BB"/>
    <w:rPr>
      <w:rFonts w:ascii="Arial" w:hAnsi="Arial" w:cs="Arial"/>
      <w:b/>
      <w:bCs/>
      <w:caps/>
      <w:snapToGrid w:val="0"/>
      <w:kern w:val="28"/>
      <w:sz w:val="24"/>
      <w:szCs w:val="24"/>
      <w:lang w:eastAsia="zh-TW"/>
    </w:rPr>
  </w:style>
  <w:style w:type="paragraph" w:customStyle="1" w:styleId="SignatureBlockDate">
    <w:name w:val="Signature Block Date"/>
    <w:basedOn w:val="BodyTextIndented"/>
    <w:link w:val="SignatureBlockDateChar"/>
    <w:qFormat/>
    <w:rsid w:val="009F4606"/>
    <w:pPr>
      <w:keepNext/>
      <w:keepLines/>
      <w:spacing w:before="480" w:after="480" w:line="240" w:lineRule="auto"/>
    </w:pPr>
    <w:rPr>
      <w:b/>
    </w:rPr>
  </w:style>
  <w:style w:type="character" w:customStyle="1" w:styleId="OrderTitleChar">
    <w:name w:val="Order Title Char"/>
    <w:basedOn w:val="TitleChar"/>
    <w:link w:val="OrderTitle"/>
    <w:rsid w:val="00241765"/>
    <w:rPr>
      <w:rFonts w:ascii="Arial" w:hAnsi="Arial" w:cs="Arial"/>
      <w:b/>
      <w:bCs/>
      <w:caps/>
      <w:snapToGrid w:val="0"/>
      <w:kern w:val="28"/>
      <w:sz w:val="24"/>
      <w:szCs w:val="24"/>
      <w:lang w:eastAsia="zh-TW"/>
    </w:rPr>
  </w:style>
  <w:style w:type="character" w:customStyle="1" w:styleId="SignatureBlockDateChar">
    <w:name w:val="Signature Block Date Char"/>
    <w:basedOn w:val="BodyTextIndentedCharChar"/>
    <w:link w:val="SignatureBlockDate"/>
    <w:rsid w:val="009F4606"/>
    <w:rPr>
      <w:rFonts w:eastAsia="SimSun"/>
      <w:b/>
      <w:sz w:val="24"/>
      <w:szCs w:val="24"/>
      <w:lang w:eastAsia="zh-CN"/>
    </w:rPr>
  </w:style>
  <w:style w:type="paragraph" w:customStyle="1" w:styleId="OrderStyle">
    <w:name w:val="Order Style"/>
    <w:basedOn w:val="Normal"/>
    <w:link w:val="OrderStyleChar"/>
    <w:qFormat/>
    <w:rsid w:val="008F33A9"/>
    <w:pPr>
      <w:jc w:val="left"/>
    </w:pPr>
    <w:rPr>
      <w:rFonts w:eastAsia="SimSun"/>
      <w:b/>
      <w:caps/>
    </w:rPr>
  </w:style>
  <w:style w:type="character" w:customStyle="1" w:styleId="OrderStyleChar">
    <w:name w:val="Order Style Char"/>
    <w:basedOn w:val="DefaultParagraphFont"/>
    <w:link w:val="OrderStyle"/>
    <w:rsid w:val="008F33A9"/>
    <w:rPr>
      <w:rFonts w:eastAsia="SimSun"/>
      <w:b/>
      <w:caps/>
      <w:sz w:val="24"/>
      <w:lang w:eastAsia="zh-TW"/>
    </w:rPr>
  </w:style>
  <w:style w:type="paragraph" w:customStyle="1" w:styleId="OrderHeader">
    <w:name w:val="Order Header"/>
    <w:basedOn w:val="Header"/>
    <w:link w:val="OrderHeaderChar"/>
    <w:qFormat/>
    <w:rsid w:val="007C18A7"/>
    <w:rPr>
      <w:b/>
    </w:rPr>
  </w:style>
  <w:style w:type="character" w:customStyle="1" w:styleId="HeaderChar">
    <w:name w:val="Header Char"/>
    <w:basedOn w:val="DefaultParagraphFont"/>
    <w:link w:val="Header"/>
    <w:semiHidden/>
    <w:rsid w:val="007C18A7"/>
    <w:rPr>
      <w:rFonts w:eastAsia="SimSun"/>
      <w:lang w:eastAsia="zh-CN"/>
    </w:rPr>
  </w:style>
  <w:style w:type="character" w:customStyle="1" w:styleId="OrderHeaderChar">
    <w:name w:val="Order Header Char"/>
    <w:basedOn w:val="HeaderChar"/>
    <w:link w:val="OrderHeader"/>
    <w:rsid w:val="007C18A7"/>
    <w:rPr>
      <w:rFonts w:eastAsia="SimSun"/>
      <w:lang w:eastAsia="zh-CN"/>
    </w:rPr>
  </w:style>
  <w:style w:type="paragraph" w:customStyle="1" w:styleId="FilePath">
    <w:name w:val="File Path"/>
    <w:basedOn w:val="Normal"/>
    <w:link w:val="FilePathChar"/>
    <w:qFormat/>
    <w:rsid w:val="00A502B6"/>
    <w:pPr>
      <w:spacing w:before="120"/>
    </w:pPr>
    <w:rPr>
      <w:sz w:val="16"/>
    </w:rPr>
  </w:style>
  <w:style w:type="character" w:customStyle="1" w:styleId="FilePathChar">
    <w:name w:val="File Path Char"/>
    <w:basedOn w:val="DefaultParagraphFont"/>
    <w:link w:val="FilePath"/>
    <w:rsid w:val="00A502B6"/>
    <w:rPr>
      <w:sz w:val="16"/>
      <w:lang w:eastAsia="zh-TW"/>
    </w:rPr>
  </w:style>
  <w:style w:type="paragraph" w:customStyle="1" w:styleId="NoFormatting">
    <w:name w:val="No Formatting"/>
    <w:basedOn w:val="Normal"/>
    <w:link w:val="NoFormattingChar"/>
    <w:qFormat/>
    <w:rsid w:val="00B272BD"/>
  </w:style>
  <w:style w:type="character" w:customStyle="1" w:styleId="NoFormattingChar">
    <w:name w:val="No Formatting Char"/>
    <w:basedOn w:val="DefaultParagraphFont"/>
    <w:link w:val="NoFormatting"/>
    <w:rsid w:val="00B272BD"/>
    <w:rPr>
      <w:sz w:val="24"/>
      <w:lang w:eastAsia="zh-TW"/>
    </w:rPr>
  </w:style>
  <w:style w:type="paragraph" w:styleId="BodyText">
    <w:name w:val="Body Text"/>
    <w:basedOn w:val="Normal"/>
    <w:link w:val="BodyTextChar"/>
    <w:rsid w:val="00CA561A"/>
    <w:pPr>
      <w:spacing w:after="120"/>
    </w:pPr>
  </w:style>
  <w:style w:type="character" w:customStyle="1" w:styleId="BodyTextChar">
    <w:name w:val="Body Text Char"/>
    <w:basedOn w:val="DefaultParagraphFont"/>
    <w:link w:val="BodyText"/>
    <w:rsid w:val="00CA561A"/>
    <w:rPr>
      <w:sz w:val="24"/>
      <w:lang w:eastAsia="zh-TW"/>
    </w:rPr>
  </w:style>
  <w:style w:type="paragraph" w:customStyle="1" w:styleId="FOFNumbered">
    <w:name w:val="FOF Numbered"/>
    <w:basedOn w:val="Normal"/>
    <w:rsid w:val="003970CD"/>
    <w:pPr>
      <w:numPr>
        <w:numId w:val="40"/>
      </w:numPr>
      <w:spacing w:before="120" w:line="360" w:lineRule="auto"/>
    </w:pPr>
    <w:rPr>
      <w:snapToGrid w:val="0"/>
      <w:lang w:eastAsia="en-US"/>
    </w:rPr>
  </w:style>
  <w:style w:type="paragraph" w:styleId="BalloonText">
    <w:name w:val="Balloon Text"/>
    <w:basedOn w:val="Normal"/>
    <w:link w:val="BalloonTextChar"/>
    <w:rsid w:val="00C048F3"/>
    <w:rPr>
      <w:rFonts w:ascii="Tahoma" w:hAnsi="Tahoma" w:cs="Tahoma"/>
      <w:sz w:val="16"/>
      <w:szCs w:val="16"/>
    </w:rPr>
  </w:style>
  <w:style w:type="character" w:customStyle="1" w:styleId="BalloonTextChar">
    <w:name w:val="Balloon Text Char"/>
    <w:basedOn w:val="DefaultParagraphFont"/>
    <w:link w:val="BalloonText"/>
    <w:rsid w:val="00C048F3"/>
    <w:rPr>
      <w:rFonts w:ascii="Tahoma" w:hAnsi="Tahoma" w:cs="Tahoma"/>
      <w:sz w:val="16"/>
      <w:szCs w:val="16"/>
      <w:lang w:eastAsia="zh-TW"/>
    </w:rPr>
  </w:style>
  <w:style w:type="paragraph" w:customStyle="1" w:styleId="l2t01">
    <w:name w:val="l2t01"/>
    <w:basedOn w:val="Normal"/>
    <w:rsid w:val="0023631E"/>
    <w:pPr>
      <w:spacing w:before="120" w:after="120" w:line="270" w:lineRule="atLeast"/>
      <w:ind w:left="489" w:right="612"/>
      <w:jc w:val="left"/>
    </w:pPr>
    <w:rPr>
      <w:color w:val="000000"/>
      <w:sz w:val="18"/>
      <w:szCs w:val="18"/>
      <w:lang w:eastAsia="en-US"/>
    </w:rPr>
  </w:style>
  <w:style w:type="paragraph" w:styleId="ListParagraph">
    <w:name w:val="List Paragraph"/>
    <w:basedOn w:val="Normal"/>
    <w:uiPriority w:val="34"/>
    <w:qFormat/>
    <w:rsid w:val="008028C5"/>
    <w:pPr>
      <w:ind w:left="720"/>
      <w:contextualSpacing/>
      <w:jc w:val="left"/>
    </w:pPr>
    <w:rPr>
      <w:rFonts w:eastAsia="PMingLiU"/>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28CBA-F161-4D66-8209-641FFFB3A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767</TotalTime>
  <Pages>10</Pages>
  <Words>2726</Words>
  <Characters>13961</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16654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Kang</dc:creator>
  <cp:lastModifiedBy>Wharton, Laurie</cp:lastModifiedBy>
  <cp:revision>141</cp:revision>
  <cp:lastPrinted>2016-04-14T12:30:00Z</cp:lastPrinted>
  <dcterms:created xsi:type="dcterms:W3CDTF">2016-01-27T17:03:00Z</dcterms:created>
  <dcterms:modified xsi:type="dcterms:W3CDTF">2016-04-14T12:31:00Z</dcterms:modified>
</cp:coreProperties>
</file>