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422" w:rsidRDefault="00032422" w:rsidP="00032422">
      <w:pPr>
        <w:pStyle w:val="DocketNumber"/>
        <w:spacing w:after="0"/>
      </w:pPr>
      <w:r w:rsidRPr="00F271E9">
        <w:t xml:space="preserve">Docket </w:t>
      </w:r>
      <w:r w:rsidRPr="009106F4">
        <w:t>No</w:t>
      </w:r>
      <w:r w:rsidRPr="00F271E9">
        <w:t xml:space="preserve">. </w:t>
      </w:r>
      <w:r>
        <w:t>43048</w:t>
      </w:r>
    </w:p>
    <w:p w:rsidR="00032422" w:rsidRPr="00F271E9" w:rsidRDefault="00032422" w:rsidP="00032422">
      <w:pPr>
        <w:pStyle w:val="DocketNumber"/>
        <w:spacing w:after="0"/>
        <w:rPr>
          <w:bCs/>
        </w:rPr>
      </w:pPr>
    </w:p>
    <w:tbl>
      <w:tblPr>
        <w:tblW w:w="0" w:type="auto"/>
        <w:jc w:val="center"/>
        <w:tblLayout w:type="fixed"/>
        <w:tblLook w:val="01E0" w:firstRow="1" w:lastRow="1" w:firstColumn="1" w:lastColumn="1" w:noHBand="0" w:noVBand="0"/>
      </w:tblPr>
      <w:tblGrid>
        <w:gridCol w:w="4493"/>
        <w:gridCol w:w="360"/>
        <w:gridCol w:w="4493"/>
      </w:tblGrid>
      <w:tr w:rsidR="00032422" w:rsidTr="00811E17">
        <w:trPr>
          <w:jc w:val="center"/>
        </w:trPr>
        <w:tc>
          <w:tcPr>
            <w:tcW w:w="4493" w:type="dxa"/>
          </w:tcPr>
          <w:p w:rsidR="00032422" w:rsidRPr="000C24B7" w:rsidRDefault="00032422" w:rsidP="00811E17">
            <w:pPr>
              <w:pStyle w:val="OrderStyle"/>
            </w:pPr>
            <w:r w:rsidRPr="00823049">
              <w:t>APPLICATION OF BLUEBONNET RURAL WATER CORPORATION AND CORIX UTILITIES (TEXAS) INC. FOR SALE, TRANSFER, OR MERGER OF FACILITIES AND TO OBTAIN A CERTIFICATE OF CONVENIENCE AND NECESSITY IN WASHINGTON COUNTY (38000-S)</w:t>
            </w:r>
          </w:p>
        </w:tc>
        <w:tc>
          <w:tcPr>
            <w:tcW w:w="360" w:type="dxa"/>
          </w:tcPr>
          <w:p w:rsidR="00032422" w:rsidRPr="000C24B7" w:rsidRDefault="00032422" w:rsidP="00811E17">
            <w:pPr>
              <w:rPr>
                <w:rStyle w:val="StyleBold"/>
                <w:rFonts w:eastAsia="SimSun"/>
              </w:rPr>
            </w:pPr>
            <w:r w:rsidRPr="000C24B7">
              <w:rPr>
                <w:rStyle w:val="StyleBold"/>
                <w:rFonts w:eastAsia="SimSun"/>
              </w:rPr>
              <w:t>§</w:t>
            </w:r>
          </w:p>
          <w:p w:rsidR="00032422" w:rsidRPr="000C24B7" w:rsidRDefault="00032422" w:rsidP="00811E17">
            <w:pPr>
              <w:rPr>
                <w:rStyle w:val="StyleBold"/>
                <w:rFonts w:eastAsia="SimSun"/>
              </w:rPr>
            </w:pPr>
            <w:r w:rsidRPr="000C24B7">
              <w:rPr>
                <w:rStyle w:val="StyleBold"/>
                <w:rFonts w:eastAsia="SimSun"/>
              </w:rPr>
              <w:t>§</w:t>
            </w:r>
          </w:p>
          <w:p w:rsidR="00032422" w:rsidRPr="000C24B7" w:rsidRDefault="00032422" w:rsidP="00811E17">
            <w:pPr>
              <w:rPr>
                <w:rStyle w:val="StyleBold"/>
                <w:rFonts w:eastAsia="SimSun"/>
              </w:rPr>
            </w:pPr>
            <w:r w:rsidRPr="000C24B7">
              <w:rPr>
                <w:rStyle w:val="StyleBold"/>
                <w:rFonts w:eastAsia="SimSun"/>
              </w:rPr>
              <w:t>§</w:t>
            </w:r>
          </w:p>
          <w:p w:rsidR="00032422" w:rsidRDefault="00032422" w:rsidP="00811E17">
            <w:pPr>
              <w:rPr>
                <w:rStyle w:val="StyleBold"/>
                <w:rFonts w:eastAsia="SimSun"/>
              </w:rPr>
            </w:pPr>
            <w:r w:rsidRPr="000C24B7">
              <w:rPr>
                <w:rStyle w:val="StyleBold"/>
                <w:rFonts w:eastAsia="SimSun"/>
              </w:rPr>
              <w:t>§</w:t>
            </w:r>
          </w:p>
          <w:p w:rsidR="00032422" w:rsidRDefault="00032422" w:rsidP="00811E17">
            <w:pPr>
              <w:rPr>
                <w:rStyle w:val="StyleBold"/>
                <w:rFonts w:eastAsia="SimSun"/>
              </w:rPr>
            </w:pPr>
            <w:r w:rsidRPr="000C24B7">
              <w:rPr>
                <w:rStyle w:val="StyleBold"/>
                <w:rFonts w:eastAsia="SimSun"/>
              </w:rPr>
              <w:t>§</w:t>
            </w:r>
          </w:p>
          <w:p w:rsidR="00032422" w:rsidRDefault="00032422" w:rsidP="00811E17">
            <w:pPr>
              <w:rPr>
                <w:rStyle w:val="StyleBold"/>
                <w:rFonts w:eastAsia="SimSun"/>
              </w:rPr>
            </w:pPr>
            <w:r w:rsidRPr="000C24B7">
              <w:rPr>
                <w:rStyle w:val="StyleBold"/>
                <w:rFonts w:eastAsia="SimSun"/>
              </w:rPr>
              <w:t>§</w:t>
            </w:r>
          </w:p>
          <w:p w:rsidR="00032422" w:rsidRDefault="00032422" w:rsidP="00811E17">
            <w:pPr>
              <w:rPr>
                <w:rStyle w:val="StyleBold"/>
                <w:rFonts w:eastAsia="SimSun"/>
              </w:rPr>
            </w:pPr>
            <w:r w:rsidRPr="000C24B7">
              <w:rPr>
                <w:rStyle w:val="StyleBold"/>
                <w:rFonts w:eastAsia="SimSun"/>
              </w:rPr>
              <w:t>§</w:t>
            </w:r>
          </w:p>
          <w:p w:rsidR="00032422" w:rsidRPr="00DE6501" w:rsidRDefault="00032422" w:rsidP="00811E17">
            <w:pPr>
              <w:rPr>
                <w:rFonts w:eastAsia="SimSun"/>
                <w:b/>
                <w:bCs/>
                <w:caps/>
              </w:rPr>
            </w:pPr>
            <w:r>
              <w:rPr>
                <w:rStyle w:val="StyleBold"/>
                <w:rFonts w:eastAsia="SimSun"/>
              </w:rPr>
              <w:t>§</w:t>
            </w:r>
          </w:p>
        </w:tc>
        <w:tc>
          <w:tcPr>
            <w:tcW w:w="4493" w:type="dxa"/>
          </w:tcPr>
          <w:p w:rsidR="00032422" w:rsidRPr="000C24B7" w:rsidRDefault="00032422" w:rsidP="00811E17">
            <w:pPr>
              <w:jc w:val="center"/>
              <w:rPr>
                <w:rFonts w:eastAsia="SimSun"/>
                <w:b/>
                <w:caps/>
              </w:rPr>
            </w:pPr>
            <w:r w:rsidRPr="000C24B7">
              <w:rPr>
                <w:rFonts w:eastAsia="SimSun"/>
                <w:b/>
                <w:caps/>
              </w:rPr>
              <w:t>Public Utility Commission</w:t>
            </w:r>
          </w:p>
          <w:p w:rsidR="00032422" w:rsidRPr="000C24B7" w:rsidRDefault="00032422" w:rsidP="00811E17">
            <w:pPr>
              <w:jc w:val="center"/>
              <w:rPr>
                <w:rFonts w:eastAsia="SimSun"/>
                <w:b/>
                <w:caps/>
              </w:rPr>
            </w:pPr>
          </w:p>
          <w:p w:rsidR="00032422" w:rsidRPr="000C24B7" w:rsidRDefault="00032422" w:rsidP="00811E17">
            <w:pPr>
              <w:jc w:val="center"/>
              <w:rPr>
                <w:rFonts w:eastAsia="SimSun"/>
              </w:rPr>
            </w:pPr>
            <w:r w:rsidRPr="000C24B7">
              <w:rPr>
                <w:rFonts w:eastAsia="SimSun"/>
                <w:b/>
                <w:caps/>
              </w:rPr>
              <w:t>of Texas</w:t>
            </w:r>
          </w:p>
        </w:tc>
      </w:tr>
    </w:tbl>
    <w:p w:rsidR="00967322" w:rsidRDefault="00032422" w:rsidP="00C05074">
      <w:pPr>
        <w:pStyle w:val="Title"/>
        <w:spacing w:before="360" w:after="360"/>
      </w:pPr>
      <w:r>
        <w:t>NOTICE OF APPROVAL</w:t>
      </w:r>
    </w:p>
    <w:p w:rsidR="00032422" w:rsidRPr="00032422" w:rsidRDefault="00032422" w:rsidP="00032422">
      <w:pPr>
        <w:spacing w:line="360" w:lineRule="auto"/>
        <w:ind w:firstLine="720"/>
        <w:jc w:val="both"/>
        <w:textAlignment w:val="baseline"/>
        <w:rPr>
          <w:snapToGrid/>
          <w:color w:val="000000"/>
          <w:szCs w:val="22"/>
        </w:rPr>
      </w:pPr>
      <w:r w:rsidRPr="00032422">
        <w:rPr>
          <w:snapToGrid/>
          <w:color w:val="000000"/>
          <w:szCs w:val="22"/>
        </w:rPr>
        <w:t xml:space="preserve">This Notice addresses the application of </w:t>
      </w:r>
      <w:r w:rsidRPr="00823049">
        <w:t xml:space="preserve">Bluebonnet Rural Water Corporation </w:t>
      </w:r>
      <w:r w:rsidR="0027205A">
        <w:t xml:space="preserve">(Bluebonnet) </w:t>
      </w:r>
      <w:r>
        <w:t>and</w:t>
      </w:r>
      <w:r w:rsidRPr="00823049">
        <w:t xml:space="preserve"> Corix Utilities (Texas) Inc.</w:t>
      </w:r>
      <w:r>
        <w:t xml:space="preserve"> </w:t>
      </w:r>
      <w:r w:rsidR="0027205A">
        <w:t xml:space="preserve">(Corix) </w:t>
      </w:r>
      <w:r>
        <w:t xml:space="preserve">for </w:t>
      </w:r>
      <w:r w:rsidR="0027205A">
        <w:t xml:space="preserve">the sale of all of Bluebonnet’s certificated water service area </w:t>
      </w:r>
      <w:r w:rsidR="00174A16">
        <w:t>to Corix in Washington County</w:t>
      </w:r>
      <w:r w:rsidR="00D21646">
        <w:t xml:space="preserve"> (Application)</w:t>
      </w:r>
      <w:r w:rsidR="00174A16">
        <w:t xml:space="preserve">.  </w:t>
      </w:r>
      <w:r w:rsidRPr="00032422">
        <w:rPr>
          <w:snapToGrid/>
          <w:color w:val="000000"/>
          <w:szCs w:val="22"/>
        </w:rPr>
        <w:t>Public Utility Commission of Texas (Commission) Staff recommended approval of the Application.  The Application is approved.</w:t>
      </w:r>
    </w:p>
    <w:p w:rsidR="00032422" w:rsidRPr="00032422" w:rsidRDefault="00032422" w:rsidP="00032422">
      <w:pPr>
        <w:spacing w:before="120" w:line="360" w:lineRule="auto"/>
        <w:ind w:left="720"/>
        <w:jc w:val="both"/>
        <w:textAlignment w:val="baseline"/>
        <w:rPr>
          <w:snapToGrid/>
          <w:color w:val="000000"/>
          <w:szCs w:val="22"/>
        </w:rPr>
      </w:pPr>
      <w:r w:rsidRPr="00032422">
        <w:rPr>
          <w:snapToGrid/>
          <w:color w:val="000000"/>
          <w:szCs w:val="22"/>
        </w:rPr>
        <w:t>The Commission adopts the following findings of fact and conclusions of law:</w:t>
      </w:r>
    </w:p>
    <w:p w:rsidR="00032422" w:rsidRPr="00032422" w:rsidRDefault="00032422" w:rsidP="00174A16">
      <w:pPr>
        <w:pStyle w:val="Heading1"/>
        <w:rPr>
          <w:snapToGrid/>
        </w:rPr>
      </w:pPr>
      <w:r w:rsidRPr="00032422">
        <w:rPr>
          <w:snapToGrid/>
        </w:rPr>
        <w:t xml:space="preserve"> </w:t>
      </w:r>
      <w:r w:rsidR="00174A16">
        <w:rPr>
          <w:snapToGrid/>
        </w:rPr>
        <w:t xml:space="preserve"> </w:t>
      </w:r>
      <w:r w:rsidRPr="00032422">
        <w:rPr>
          <w:snapToGrid/>
        </w:rPr>
        <w:t xml:space="preserve">Findings of Fact </w:t>
      </w:r>
    </w:p>
    <w:p w:rsidR="00032422" w:rsidRPr="00032422" w:rsidRDefault="00032422" w:rsidP="00174A16">
      <w:pPr>
        <w:pStyle w:val="Heading6"/>
        <w:rPr>
          <w:snapToGrid/>
        </w:rPr>
      </w:pPr>
      <w:r w:rsidRPr="00032422">
        <w:rPr>
          <w:snapToGrid/>
        </w:rPr>
        <w:t>Procedural History</w:t>
      </w:r>
    </w:p>
    <w:p w:rsidR="00032422" w:rsidRPr="00032422" w:rsidRDefault="00032422" w:rsidP="00174A16">
      <w:pPr>
        <w:pStyle w:val="FOFNumbered"/>
        <w:rPr>
          <w:snapToGrid/>
        </w:rPr>
      </w:pPr>
      <w:r w:rsidRPr="00032422">
        <w:rPr>
          <w:snapToGrid/>
        </w:rPr>
        <w:t xml:space="preserve">On July 31, 2014, </w:t>
      </w:r>
      <w:r w:rsidR="00174A16">
        <w:t>Bluebonnet</w:t>
      </w:r>
      <w:r w:rsidR="00174A16" w:rsidRPr="00032422">
        <w:rPr>
          <w:snapToGrid/>
        </w:rPr>
        <w:t xml:space="preserve"> </w:t>
      </w:r>
      <w:r w:rsidRPr="00032422">
        <w:rPr>
          <w:snapToGrid/>
        </w:rPr>
        <w:t xml:space="preserve">and </w:t>
      </w:r>
      <w:r w:rsidR="00174A16" w:rsidRPr="00823049">
        <w:t xml:space="preserve">Corix </w:t>
      </w:r>
      <w:r w:rsidRPr="00032422">
        <w:rPr>
          <w:snapToGrid/>
        </w:rPr>
        <w:t xml:space="preserve">filed an </w:t>
      </w:r>
      <w:r w:rsidR="00245FC0">
        <w:rPr>
          <w:snapToGrid/>
        </w:rPr>
        <w:t>A</w:t>
      </w:r>
      <w:r w:rsidR="00174A16">
        <w:rPr>
          <w:snapToGrid/>
        </w:rPr>
        <w:t xml:space="preserve">pplication with </w:t>
      </w:r>
      <w:r w:rsidRPr="00032422">
        <w:rPr>
          <w:snapToGrid/>
        </w:rPr>
        <w:t xml:space="preserve">Texas Commission on Environmental Quality </w:t>
      </w:r>
      <w:r w:rsidR="00174A16">
        <w:rPr>
          <w:snapToGrid/>
        </w:rPr>
        <w:t xml:space="preserve">(TCEQ) </w:t>
      </w:r>
      <w:r w:rsidRPr="00032422">
        <w:rPr>
          <w:snapToGrid/>
        </w:rPr>
        <w:t xml:space="preserve">pursuant to </w:t>
      </w:r>
      <w:r w:rsidR="00D217A4">
        <w:rPr>
          <w:snapToGrid/>
        </w:rPr>
        <w:t>30 Texas Admin. Code</w:t>
      </w:r>
      <w:r w:rsidRPr="00032422">
        <w:rPr>
          <w:snapToGrid/>
        </w:rPr>
        <w:t xml:space="preserve"> § 291.109 </w:t>
      </w:r>
      <w:r w:rsidR="00D217A4">
        <w:rPr>
          <w:snapToGrid/>
        </w:rPr>
        <w:t xml:space="preserve">(West 2008 and Supp. 2014) (TWC) </w:t>
      </w:r>
      <w:r w:rsidRPr="00032422">
        <w:rPr>
          <w:snapToGrid/>
        </w:rPr>
        <w:t xml:space="preserve">and for approval of the sale, assignment, or lease of </w:t>
      </w:r>
      <w:r w:rsidR="00174A16">
        <w:t>Bluebonnet</w:t>
      </w:r>
      <w:r w:rsidR="00174A16">
        <w:rPr>
          <w:snapToGrid/>
        </w:rPr>
        <w:t>’</w:t>
      </w:r>
      <w:r w:rsidRPr="00032422">
        <w:rPr>
          <w:snapToGrid/>
        </w:rPr>
        <w:t xml:space="preserve">s </w:t>
      </w:r>
      <w:r w:rsidR="00174A16">
        <w:rPr>
          <w:snapToGrid/>
        </w:rPr>
        <w:t xml:space="preserve">Certificate of Convenience and Necessity (CCN) No. 11556 to Corix </w:t>
      </w:r>
      <w:r w:rsidRPr="00032422">
        <w:rPr>
          <w:snapToGrid/>
        </w:rPr>
        <w:t xml:space="preserve">pursuant to </w:t>
      </w:r>
      <w:r w:rsidR="008B6D6F">
        <w:rPr>
          <w:snapToGrid/>
        </w:rPr>
        <w:t xml:space="preserve">30 </w:t>
      </w:r>
      <w:r w:rsidR="00D217A4">
        <w:rPr>
          <w:snapToGrid/>
        </w:rPr>
        <w:t>T</w:t>
      </w:r>
      <w:r w:rsidR="008B6D6F">
        <w:rPr>
          <w:snapToGrid/>
        </w:rPr>
        <w:t>A</w:t>
      </w:r>
      <w:r w:rsidR="00D217A4">
        <w:rPr>
          <w:snapToGrid/>
        </w:rPr>
        <w:t xml:space="preserve">C </w:t>
      </w:r>
      <w:r w:rsidRPr="00032422">
        <w:rPr>
          <w:snapToGrid/>
        </w:rPr>
        <w:t>§</w:t>
      </w:r>
      <w:r w:rsidR="00174A16">
        <w:rPr>
          <w:snapToGrid/>
        </w:rPr>
        <w:t> </w:t>
      </w:r>
      <w:r w:rsidRPr="00032422">
        <w:rPr>
          <w:snapToGrid/>
        </w:rPr>
        <w:t>291.112.</w:t>
      </w:r>
    </w:p>
    <w:p w:rsidR="00032422" w:rsidRPr="00032422" w:rsidRDefault="00032422" w:rsidP="00174A16">
      <w:pPr>
        <w:pStyle w:val="FOFNumbered"/>
        <w:rPr>
          <w:snapToGrid/>
        </w:rPr>
      </w:pPr>
      <w:r w:rsidRPr="00032422">
        <w:rPr>
          <w:snapToGrid/>
        </w:rPr>
        <w:t>Effective September 1, 2014, functions relating to the economic regulation of water utilities transferred from the TCEQ to the Commission.</w:t>
      </w:r>
      <w:r w:rsidR="00174A16">
        <w:rPr>
          <w:rStyle w:val="FootnoteReference"/>
          <w:snapToGrid/>
        </w:rPr>
        <w:footnoteReference w:id="1"/>
      </w:r>
    </w:p>
    <w:p w:rsidR="00032422" w:rsidRPr="00032422" w:rsidRDefault="00032422" w:rsidP="00174A16">
      <w:pPr>
        <w:pStyle w:val="FOFNumbered"/>
        <w:rPr>
          <w:snapToGrid/>
        </w:rPr>
      </w:pPr>
      <w:r w:rsidRPr="00032422">
        <w:rPr>
          <w:snapToGrid/>
        </w:rPr>
        <w:t xml:space="preserve">The Commission received </w:t>
      </w:r>
      <w:r w:rsidR="00174A16">
        <w:rPr>
          <w:snapToGrid/>
        </w:rPr>
        <w:t>this</w:t>
      </w:r>
      <w:r w:rsidRPr="00032422">
        <w:rPr>
          <w:snapToGrid/>
        </w:rPr>
        <w:t xml:space="preserve"> Application on September 24, 2014.</w:t>
      </w:r>
    </w:p>
    <w:p w:rsidR="00032422" w:rsidRPr="00032422" w:rsidRDefault="00032422" w:rsidP="00EA5DDA">
      <w:pPr>
        <w:pStyle w:val="FOFNumbered"/>
        <w:rPr>
          <w:snapToGrid/>
        </w:rPr>
      </w:pPr>
      <w:r w:rsidRPr="00032422">
        <w:rPr>
          <w:snapToGrid/>
        </w:rPr>
        <w:t xml:space="preserve">The proposed service area to be transferred is in Northeast Washington County. </w:t>
      </w:r>
      <w:r w:rsidR="00EA5DDA">
        <w:rPr>
          <w:snapToGrid/>
        </w:rPr>
        <w:t xml:space="preserve"> </w:t>
      </w:r>
      <w:r w:rsidRPr="00032422">
        <w:rPr>
          <w:snapToGrid/>
        </w:rPr>
        <w:t>The total area being transferred includes approximately 73,620 acres and serves 1</w:t>
      </w:r>
      <w:r w:rsidR="00EA5DDA">
        <w:rPr>
          <w:snapToGrid/>
        </w:rPr>
        <w:t>,</w:t>
      </w:r>
      <w:r w:rsidRPr="00032422">
        <w:rPr>
          <w:snapToGrid/>
        </w:rPr>
        <w:t xml:space="preserve">103 current </w:t>
      </w:r>
      <w:r w:rsidRPr="00032422">
        <w:rPr>
          <w:snapToGrid/>
        </w:rPr>
        <w:lastRenderedPageBreak/>
        <w:t xml:space="preserve">customers. </w:t>
      </w:r>
      <w:r w:rsidR="00EA5DDA">
        <w:rPr>
          <w:snapToGrid/>
        </w:rPr>
        <w:t xml:space="preserve"> Corix</w:t>
      </w:r>
      <w:r w:rsidRPr="00032422">
        <w:rPr>
          <w:snapToGrid/>
        </w:rPr>
        <w:t xml:space="preserve"> would acquire the water system facilities as well as all customers and customer contracts of </w:t>
      </w:r>
      <w:r w:rsidR="00EA5DDA">
        <w:rPr>
          <w:snapToGrid/>
        </w:rPr>
        <w:t>Bluebonnet</w:t>
      </w:r>
      <w:r w:rsidRPr="00032422">
        <w:rPr>
          <w:snapToGrid/>
        </w:rPr>
        <w:t xml:space="preserve"> within the service area </w:t>
      </w:r>
      <w:r w:rsidR="00EA5DDA">
        <w:rPr>
          <w:snapToGrid/>
        </w:rPr>
        <w:t xml:space="preserve">being </w:t>
      </w:r>
      <w:r w:rsidRPr="00032422">
        <w:rPr>
          <w:snapToGrid/>
        </w:rPr>
        <w:t xml:space="preserve">transferred. </w:t>
      </w:r>
      <w:r w:rsidR="00EA5DDA">
        <w:rPr>
          <w:snapToGrid/>
        </w:rPr>
        <w:t xml:space="preserve"> </w:t>
      </w:r>
      <w:r w:rsidRPr="00032422">
        <w:rPr>
          <w:snapToGrid/>
        </w:rPr>
        <w:t>The current rates and services of these customers will not be affected.</w:t>
      </w:r>
    </w:p>
    <w:p w:rsidR="00032422" w:rsidRPr="00032422" w:rsidRDefault="00EA5DDA" w:rsidP="00EA5DDA">
      <w:pPr>
        <w:pStyle w:val="FOFNumbered"/>
        <w:rPr>
          <w:snapToGrid/>
        </w:rPr>
      </w:pPr>
      <w:r>
        <w:rPr>
          <w:snapToGrid/>
        </w:rPr>
        <w:t>Bluebonnet</w:t>
      </w:r>
      <w:r w:rsidRPr="00032422">
        <w:rPr>
          <w:snapToGrid/>
        </w:rPr>
        <w:t xml:space="preserve"> </w:t>
      </w:r>
      <w:r w:rsidR="00032422" w:rsidRPr="00032422">
        <w:rPr>
          <w:snapToGrid/>
        </w:rPr>
        <w:t>holds CCN No. 11556 for the provision of service in Washington County.</w:t>
      </w:r>
    </w:p>
    <w:p w:rsidR="00032422" w:rsidRPr="00032422" w:rsidRDefault="00032422" w:rsidP="00EA5DDA">
      <w:pPr>
        <w:pStyle w:val="FOFNumbered"/>
        <w:rPr>
          <w:snapToGrid/>
        </w:rPr>
      </w:pPr>
      <w:r w:rsidRPr="00032422">
        <w:rPr>
          <w:snapToGrid/>
        </w:rPr>
        <w:t>On October 22, 2014, the Commission</w:t>
      </w:r>
      <w:r w:rsidR="00EA5DDA">
        <w:rPr>
          <w:snapToGrid/>
        </w:rPr>
        <w:t>’</w:t>
      </w:r>
      <w:r w:rsidRPr="00032422">
        <w:rPr>
          <w:snapToGrid/>
        </w:rPr>
        <w:t xml:space="preserve">s Administrative Law Judge (ALJ) </w:t>
      </w:r>
      <w:r w:rsidR="00D217A4">
        <w:rPr>
          <w:snapToGrid/>
        </w:rPr>
        <w:t xml:space="preserve">issued Order No. 3, deeming </w:t>
      </w:r>
      <w:r w:rsidRPr="00032422">
        <w:rPr>
          <w:snapToGrid/>
        </w:rPr>
        <w:t>the Application administratively complete.</w:t>
      </w:r>
    </w:p>
    <w:p w:rsidR="00032422" w:rsidRPr="00D217A4" w:rsidRDefault="00032422" w:rsidP="008F0268">
      <w:pPr>
        <w:pStyle w:val="FOFNumbered"/>
        <w:rPr>
          <w:snapToGrid/>
          <w:szCs w:val="24"/>
        </w:rPr>
      </w:pPr>
      <w:r w:rsidRPr="00D217A4">
        <w:rPr>
          <w:snapToGrid/>
          <w:szCs w:val="24"/>
        </w:rPr>
        <w:t xml:space="preserve">On November 5, 2015, the ALJ </w:t>
      </w:r>
      <w:r w:rsidR="00D217A4" w:rsidRPr="00D217A4">
        <w:rPr>
          <w:snapToGrid/>
          <w:szCs w:val="24"/>
        </w:rPr>
        <w:t xml:space="preserve">issued Order No. 4, requiring </w:t>
      </w:r>
      <w:r w:rsidR="00EA5DDA" w:rsidRPr="00D217A4">
        <w:rPr>
          <w:snapToGrid/>
          <w:szCs w:val="24"/>
        </w:rPr>
        <w:t>Corix</w:t>
      </w:r>
      <w:r w:rsidRPr="00D217A4">
        <w:rPr>
          <w:snapToGrid/>
          <w:szCs w:val="24"/>
        </w:rPr>
        <w:t xml:space="preserve"> to issue notice to affected parties</w:t>
      </w:r>
      <w:r w:rsidR="00D217A4" w:rsidRPr="00D217A4">
        <w:rPr>
          <w:snapToGrid/>
          <w:szCs w:val="24"/>
        </w:rPr>
        <w:t xml:space="preserve"> and requiring Commission Staff </w:t>
      </w:r>
      <w:r w:rsidR="008B6D6F">
        <w:rPr>
          <w:snapToGrid/>
          <w:szCs w:val="24"/>
        </w:rPr>
        <w:t xml:space="preserve">to </w:t>
      </w:r>
      <w:r w:rsidR="00D217A4" w:rsidRPr="00D217A4">
        <w:rPr>
          <w:bCs/>
          <w:snapToGrid/>
          <w:szCs w:val="24"/>
        </w:rPr>
        <w:t xml:space="preserve">file a recommendation </w:t>
      </w:r>
      <w:r w:rsidR="00D217A4" w:rsidRPr="00D217A4">
        <w:rPr>
          <w:snapToGrid/>
          <w:szCs w:val="24"/>
        </w:rPr>
        <w:t>regarding the sufficiency of notice and propose a procedural schedule for further processing.</w:t>
      </w:r>
    </w:p>
    <w:p w:rsidR="00032422" w:rsidRPr="00032422" w:rsidRDefault="00EA5DDA" w:rsidP="00EA5DDA">
      <w:pPr>
        <w:pStyle w:val="FOFNumbered"/>
        <w:rPr>
          <w:snapToGrid/>
        </w:rPr>
      </w:pPr>
      <w:r>
        <w:rPr>
          <w:snapToGrid/>
        </w:rPr>
        <w:t>Corix</w:t>
      </w:r>
      <w:r w:rsidR="00032422" w:rsidRPr="00032422">
        <w:rPr>
          <w:snapToGrid/>
        </w:rPr>
        <w:t xml:space="preserve"> issued notice to </w:t>
      </w:r>
      <w:r w:rsidR="00C07AA2">
        <w:rPr>
          <w:snapToGrid/>
        </w:rPr>
        <w:t>all</w:t>
      </w:r>
      <w:r w:rsidR="00032422" w:rsidRPr="00032422">
        <w:rPr>
          <w:snapToGrid/>
        </w:rPr>
        <w:t xml:space="preserve"> affected parties on November 25, 2014.</w:t>
      </w:r>
    </w:p>
    <w:p w:rsidR="00032422" w:rsidRPr="00032422" w:rsidRDefault="00EA5DDA" w:rsidP="00EA5DDA">
      <w:pPr>
        <w:pStyle w:val="FOFNumbered"/>
        <w:rPr>
          <w:snapToGrid/>
        </w:rPr>
      </w:pPr>
      <w:r>
        <w:rPr>
          <w:snapToGrid/>
        </w:rPr>
        <w:t>Corix</w:t>
      </w:r>
      <w:r w:rsidR="00032422" w:rsidRPr="00032422">
        <w:rPr>
          <w:snapToGrid/>
        </w:rPr>
        <w:t xml:space="preserve"> filed affidavits </w:t>
      </w:r>
      <w:r>
        <w:rPr>
          <w:snapToGrid/>
        </w:rPr>
        <w:t xml:space="preserve">providing proof </w:t>
      </w:r>
      <w:r w:rsidR="00032422" w:rsidRPr="00032422">
        <w:rPr>
          <w:snapToGrid/>
        </w:rPr>
        <w:t>of notice on December 9, 2014.</w:t>
      </w:r>
    </w:p>
    <w:p w:rsidR="00032422" w:rsidRDefault="00E22312" w:rsidP="00EA5DDA">
      <w:pPr>
        <w:pStyle w:val="FOFNumbered"/>
        <w:rPr>
          <w:snapToGrid/>
        </w:rPr>
      </w:pPr>
      <w:r>
        <w:rPr>
          <w:snapToGrid/>
        </w:rPr>
        <w:t>On December 18, 2014, the ALJ issued Order No. 5, finding the notice sufficient and establishing a procedural schedule for continued processing.</w:t>
      </w:r>
    </w:p>
    <w:p w:rsidR="007F41B8" w:rsidRDefault="007F41B8" w:rsidP="00EA5DDA">
      <w:pPr>
        <w:pStyle w:val="FOFNumbered"/>
        <w:rPr>
          <w:snapToGrid/>
        </w:rPr>
      </w:pPr>
      <w:r>
        <w:rPr>
          <w:snapToGrid/>
        </w:rPr>
        <w:t xml:space="preserve">On February 23, 2015, Commission Staff filed </w:t>
      </w:r>
      <w:r w:rsidR="00437F53">
        <w:rPr>
          <w:snapToGrid/>
        </w:rPr>
        <w:t xml:space="preserve">a recommendation that </w:t>
      </w:r>
      <w:bookmarkStart w:id="0" w:name="_GoBack"/>
      <w:bookmarkEnd w:id="0"/>
      <w:r w:rsidR="00437F53">
        <w:rPr>
          <w:snapToGrid/>
        </w:rPr>
        <w:t>Bluebonnet and Corix be allowed to proceed with the transaction.</w:t>
      </w:r>
    </w:p>
    <w:p w:rsidR="009A2B13" w:rsidRDefault="009A2B13" w:rsidP="00EA5DDA">
      <w:pPr>
        <w:pStyle w:val="FOFNumbered"/>
        <w:rPr>
          <w:snapToGrid/>
        </w:rPr>
      </w:pPr>
      <w:r>
        <w:rPr>
          <w:snapToGrid/>
        </w:rPr>
        <w:t>On March 2, 2015, Commission Staff filed a joint proposed notice of approval and request to admit evidence.</w:t>
      </w:r>
    </w:p>
    <w:p w:rsidR="00E22312" w:rsidRDefault="00E22312" w:rsidP="00EA5DDA">
      <w:pPr>
        <w:pStyle w:val="FOFNumbered"/>
        <w:rPr>
          <w:snapToGrid/>
        </w:rPr>
      </w:pPr>
      <w:r>
        <w:rPr>
          <w:snapToGrid/>
        </w:rPr>
        <w:t>On March 5, 2015, the ALJ issued Order No. 6, approving the sale/transfer to proceed.</w:t>
      </w:r>
    </w:p>
    <w:p w:rsidR="00E22312" w:rsidRDefault="00E22312" w:rsidP="00EA5DDA">
      <w:pPr>
        <w:pStyle w:val="FOFNumbered"/>
        <w:rPr>
          <w:snapToGrid/>
        </w:rPr>
      </w:pPr>
      <w:r>
        <w:rPr>
          <w:snapToGrid/>
        </w:rPr>
        <w:t>On May 14, 2015, Corix filed the Bill of Sale signed by both it and Bluebonnet and Bluebonnet’s affidavit with respect to the transfer of customer deposits.</w:t>
      </w:r>
    </w:p>
    <w:p w:rsidR="00E22312" w:rsidRDefault="00E22312" w:rsidP="00EA5DDA">
      <w:pPr>
        <w:pStyle w:val="FOFNumbered"/>
        <w:rPr>
          <w:snapToGrid/>
        </w:rPr>
      </w:pPr>
      <w:r>
        <w:rPr>
          <w:snapToGrid/>
        </w:rPr>
        <w:t>On June 11, 2015, Commission Staff recommended that the closing documents be deemed sufficient and requested a date certain for preparation of final mapping, sending and receiving consent forms, and preparation of a final recommendation regarding such documentation.</w:t>
      </w:r>
    </w:p>
    <w:p w:rsidR="00E22312" w:rsidRDefault="00E22312" w:rsidP="00E22312">
      <w:pPr>
        <w:pStyle w:val="FOFNumbered"/>
        <w:rPr>
          <w:snapToGrid/>
        </w:rPr>
      </w:pPr>
      <w:r>
        <w:rPr>
          <w:snapToGrid/>
        </w:rPr>
        <w:t>On June 22, 2015, Corix and Bluebonnet separately filed their consent forms concurring with Commission Staff’s map and certificates.</w:t>
      </w:r>
    </w:p>
    <w:p w:rsidR="00A878B6" w:rsidRDefault="00A878B6" w:rsidP="00E22312">
      <w:pPr>
        <w:pStyle w:val="FOFNumbered"/>
        <w:rPr>
          <w:snapToGrid/>
        </w:rPr>
      </w:pPr>
      <w:r>
        <w:rPr>
          <w:snapToGrid/>
        </w:rPr>
        <w:lastRenderedPageBreak/>
        <w:t xml:space="preserve">The map and certificates described in Finding of Fact No. </w:t>
      </w:r>
      <w:r w:rsidR="00C07AA2">
        <w:rPr>
          <w:snapToGrid/>
        </w:rPr>
        <w:t>1</w:t>
      </w:r>
      <w:r w:rsidR="00437F53">
        <w:rPr>
          <w:snapToGrid/>
        </w:rPr>
        <w:t>6</w:t>
      </w:r>
      <w:r>
        <w:rPr>
          <w:snapToGrid/>
        </w:rPr>
        <w:t xml:space="preserve"> are </w:t>
      </w:r>
      <w:r w:rsidR="00437F53">
        <w:rPr>
          <w:snapToGrid/>
        </w:rPr>
        <w:t xml:space="preserve">provided as Attachments A through </w:t>
      </w:r>
      <w:r w:rsidR="009215D7">
        <w:rPr>
          <w:snapToGrid/>
        </w:rPr>
        <w:t>C</w:t>
      </w:r>
      <w:r w:rsidR="00437F53">
        <w:rPr>
          <w:snapToGrid/>
        </w:rPr>
        <w:t xml:space="preserve"> </w:t>
      </w:r>
      <w:r>
        <w:rPr>
          <w:snapToGrid/>
        </w:rPr>
        <w:t>to this Notice.</w:t>
      </w:r>
    </w:p>
    <w:p w:rsidR="00E22312" w:rsidRDefault="00E22312" w:rsidP="00E22312">
      <w:pPr>
        <w:pStyle w:val="FOFNumbered"/>
        <w:rPr>
          <w:snapToGrid/>
        </w:rPr>
      </w:pPr>
      <w:r>
        <w:rPr>
          <w:snapToGrid/>
        </w:rPr>
        <w:t xml:space="preserve">On August 13, 2015, Commission Staff recommended </w:t>
      </w:r>
      <w:r w:rsidR="00437F53">
        <w:rPr>
          <w:snapToGrid/>
        </w:rPr>
        <w:t>the mapping and certificates it prepared be approved</w:t>
      </w:r>
      <w:r>
        <w:rPr>
          <w:snapToGrid/>
        </w:rPr>
        <w:t>.</w:t>
      </w:r>
    </w:p>
    <w:p w:rsidR="00A878B6" w:rsidRDefault="00A878B6" w:rsidP="00E22312">
      <w:pPr>
        <w:pStyle w:val="FOFNumbered"/>
        <w:rPr>
          <w:snapToGrid/>
        </w:rPr>
      </w:pPr>
      <w:r>
        <w:rPr>
          <w:snapToGrid/>
        </w:rPr>
        <w:t>More than 15 days have passed since the completion of all notice requirements.</w:t>
      </w:r>
    </w:p>
    <w:p w:rsidR="00A878B6" w:rsidRPr="00E22312" w:rsidRDefault="00A878B6" w:rsidP="00E22312">
      <w:pPr>
        <w:pStyle w:val="FOFNumbered"/>
        <w:rPr>
          <w:snapToGrid/>
        </w:rPr>
      </w:pPr>
      <w:r>
        <w:rPr>
          <w:snapToGrid/>
        </w:rPr>
        <w:t>No one contested the Application and no public hearing is required.</w:t>
      </w:r>
    </w:p>
    <w:p w:rsidR="00032422" w:rsidRPr="00032422" w:rsidRDefault="00032422" w:rsidP="00371133">
      <w:pPr>
        <w:pStyle w:val="Heading6"/>
        <w:rPr>
          <w:snapToGrid/>
        </w:rPr>
      </w:pPr>
      <w:r w:rsidRPr="00032422">
        <w:rPr>
          <w:snapToGrid/>
        </w:rPr>
        <w:t>Sale, Acquisition, Lease, Rental, Merger, or Consolidation between Seller and Purchaser</w:t>
      </w:r>
    </w:p>
    <w:p w:rsidR="00032422" w:rsidRPr="00032422" w:rsidRDefault="00371133" w:rsidP="00371133">
      <w:pPr>
        <w:pStyle w:val="FOFNumbered"/>
        <w:rPr>
          <w:snapToGrid/>
        </w:rPr>
      </w:pPr>
      <w:r>
        <w:rPr>
          <w:snapToGrid/>
        </w:rPr>
        <w:t>Corix</w:t>
      </w:r>
      <w:r w:rsidR="00032422" w:rsidRPr="00032422">
        <w:rPr>
          <w:snapToGrid/>
        </w:rPr>
        <w:t xml:space="preserve"> has demonstrated adequate financial, managerial, and technical capability for providing continuous and adequate service to the requested area </w:t>
      </w:r>
      <w:r>
        <w:rPr>
          <w:snapToGrid/>
        </w:rPr>
        <w:t>certificated to Corix</w:t>
      </w:r>
      <w:r w:rsidR="00032422" w:rsidRPr="00032422">
        <w:rPr>
          <w:snapToGrid/>
        </w:rPr>
        <w:t>.</w:t>
      </w:r>
    </w:p>
    <w:p w:rsidR="00032422" w:rsidRPr="00032422" w:rsidRDefault="008463F9" w:rsidP="00142B47">
      <w:pPr>
        <w:pStyle w:val="FOFNumbered"/>
        <w:rPr>
          <w:snapToGrid/>
        </w:rPr>
      </w:pPr>
      <w:r>
        <w:rPr>
          <w:snapToGrid/>
        </w:rPr>
        <w:t>Corix and Bluebonnet</w:t>
      </w:r>
      <w:r w:rsidR="00032422" w:rsidRPr="00032422">
        <w:rPr>
          <w:snapToGrid/>
        </w:rPr>
        <w:t xml:space="preserve"> have demonstrated that the transaction </w:t>
      </w:r>
      <w:r w:rsidR="00EE4950">
        <w:rPr>
          <w:snapToGrid/>
        </w:rPr>
        <w:t>should be approved</w:t>
      </w:r>
      <w:r w:rsidR="00032422" w:rsidRPr="00032422">
        <w:rPr>
          <w:snapToGrid/>
        </w:rPr>
        <w:t>.</w:t>
      </w:r>
    </w:p>
    <w:p w:rsidR="00032422" w:rsidRPr="00032422" w:rsidRDefault="00032422" w:rsidP="008463F9">
      <w:pPr>
        <w:pStyle w:val="Heading6"/>
        <w:rPr>
          <w:snapToGrid/>
        </w:rPr>
      </w:pPr>
      <w:r w:rsidRPr="00032422">
        <w:rPr>
          <w:snapToGrid/>
        </w:rPr>
        <w:t xml:space="preserve">Transfer of </w:t>
      </w:r>
      <w:r w:rsidR="008463F9">
        <w:rPr>
          <w:snapToGrid/>
        </w:rPr>
        <w:t xml:space="preserve">Bluebonnet’s </w:t>
      </w:r>
      <w:r w:rsidRPr="00032422">
        <w:rPr>
          <w:snapToGrid/>
        </w:rPr>
        <w:t>Certificate of Convenience and Necessity</w:t>
      </w:r>
    </w:p>
    <w:p w:rsidR="00032422" w:rsidRPr="00032422" w:rsidRDefault="00032422" w:rsidP="00142B47">
      <w:pPr>
        <w:pStyle w:val="FOFNumbered"/>
        <w:rPr>
          <w:snapToGrid/>
        </w:rPr>
      </w:pPr>
      <w:r w:rsidRPr="00032422">
        <w:rPr>
          <w:snapToGrid/>
        </w:rPr>
        <w:t>The Commission has considered the factors listed in TWC §</w:t>
      </w:r>
      <w:r w:rsidR="008463F9">
        <w:rPr>
          <w:snapToGrid/>
        </w:rPr>
        <w:t> 13.246(c), including (a</w:t>
      </w:r>
      <w:r w:rsidRPr="00032422">
        <w:rPr>
          <w:snapToGrid/>
        </w:rPr>
        <w:t>) the adequacy of service currently provided to the requesting area; (</w:t>
      </w:r>
      <w:r w:rsidR="008463F9">
        <w:rPr>
          <w:snapToGrid/>
        </w:rPr>
        <w:t>b</w:t>
      </w:r>
      <w:r w:rsidRPr="00032422">
        <w:rPr>
          <w:snapToGrid/>
        </w:rPr>
        <w:t>) the need for additional service in the requested area, including whether any landowners or prospective landowners, tenants, or residents have requested service; (</w:t>
      </w:r>
      <w:r w:rsidR="008463F9">
        <w:rPr>
          <w:snapToGrid/>
        </w:rPr>
        <w:t>c</w:t>
      </w:r>
      <w:r w:rsidRPr="00032422">
        <w:rPr>
          <w:snapToGrid/>
        </w:rPr>
        <w:t>)</w:t>
      </w:r>
      <w:r w:rsidR="008463F9">
        <w:rPr>
          <w:snapToGrid/>
        </w:rPr>
        <w:t> </w:t>
      </w:r>
      <w:r w:rsidRPr="00032422">
        <w:rPr>
          <w:snapToGrid/>
        </w:rPr>
        <w:t>the effect of the approval of the Application on any retail public utility of the same kind already serving the proximate area; (</w:t>
      </w:r>
      <w:r w:rsidR="008463F9">
        <w:rPr>
          <w:snapToGrid/>
        </w:rPr>
        <w:t>d</w:t>
      </w:r>
      <w:r w:rsidRPr="00032422">
        <w:rPr>
          <w:snapToGrid/>
        </w:rPr>
        <w:t xml:space="preserve">) the ability of the </w:t>
      </w:r>
      <w:r w:rsidR="008463F9">
        <w:rPr>
          <w:snapToGrid/>
        </w:rPr>
        <w:t>Corix</w:t>
      </w:r>
      <w:r w:rsidRPr="00032422">
        <w:rPr>
          <w:snapToGrid/>
        </w:rPr>
        <w:t xml:space="preserve"> to provide adequate service, including meeting the standards of the Commission, taking into consideration the current and projected density and land use of the area; (</w:t>
      </w:r>
      <w:r w:rsidR="008463F9">
        <w:rPr>
          <w:snapToGrid/>
        </w:rPr>
        <w:t>e</w:t>
      </w:r>
      <w:r w:rsidRPr="00032422">
        <w:rPr>
          <w:snapToGrid/>
        </w:rPr>
        <w:t>) the feasibility of obtaining service from an adjacent retail public utility; (</w:t>
      </w:r>
      <w:r w:rsidR="008463F9">
        <w:rPr>
          <w:snapToGrid/>
        </w:rPr>
        <w:t>f</w:t>
      </w:r>
      <w:r w:rsidRPr="00032422">
        <w:rPr>
          <w:snapToGrid/>
        </w:rPr>
        <w:t xml:space="preserve">) the financial ability of </w:t>
      </w:r>
      <w:r w:rsidR="008463F9">
        <w:rPr>
          <w:snapToGrid/>
        </w:rPr>
        <w:t>Corix</w:t>
      </w:r>
      <w:r w:rsidRPr="00032422">
        <w:rPr>
          <w:snapToGrid/>
        </w:rPr>
        <w:t xml:space="preserve"> to pay for the facilities necessary to provide continuous and adequate service and the financial ability of </w:t>
      </w:r>
      <w:r w:rsidR="008463F9">
        <w:rPr>
          <w:snapToGrid/>
        </w:rPr>
        <w:t>Corix</w:t>
      </w:r>
      <w:r w:rsidRPr="00032422">
        <w:rPr>
          <w:snapToGrid/>
        </w:rPr>
        <w:t xml:space="preserve">, including, if applicable, the adequacy of </w:t>
      </w:r>
      <w:r w:rsidR="008463F9">
        <w:rPr>
          <w:snapToGrid/>
        </w:rPr>
        <w:t>its</w:t>
      </w:r>
      <w:r w:rsidRPr="00032422">
        <w:rPr>
          <w:snapToGrid/>
        </w:rPr>
        <w:t xml:space="preserve"> debt-to-equity ratio; (</w:t>
      </w:r>
      <w:r w:rsidR="008463F9">
        <w:rPr>
          <w:snapToGrid/>
        </w:rPr>
        <w:t>g</w:t>
      </w:r>
      <w:r w:rsidRPr="00032422">
        <w:rPr>
          <w:snapToGrid/>
        </w:rPr>
        <w:t>)</w:t>
      </w:r>
      <w:r w:rsidR="008463F9">
        <w:rPr>
          <w:snapToGrid/>
        </w:rPr>
        <w:t> </w:t>
      </w:r>
      <w:r w:rsidRPr="00032422">
        <w:rPr>
          <w:snapToGrid/>
        </w:rPr>
        <w:t>environmental integrity; (</w:t>
      </w:r>
      <w:r w:rsidR="008463F9">
        <w:rPr>
          <w:snapToGrid/>
        </w:rPr>
        <w:t>h</w:t>
      </w:r>
      <w:r w:rsidRPr="00032422">
        <w:rPr>
          <w:snapToGrid/>
        </w:rPr>
        <w:t>) the probabl</w:t>
      </w:r>
      <w:r w:rsidR="008B6D6F">
        <w:rPr>
          <w:snapToGrid/>
        </w:rPr>
        <w:t>e</w:t>
      </w:r>
      <w:r w:rsidRPr="00032422">
        <w:rPr>
          <w:snapToGrid/>
        </w:rPr>
        <w:t xml:space="preserve"> improvement of service or lowering of cost to consumers in that area resulting from the granting of the certificate or amendment; and (</w:t>
      </w:r>
      <w:r w:rsidR="008463F9">
        <w:rPr>
          <w:snapToGrid/>
        </w:rPr>
        <w:t>i</w:t>
      </w:r>
      <w:r w:rsidRPr="00032422">
        <w:rPr>
          <w:snapToGrid/>
        </w:rPr>
        <w:t>) the effect on the land included in the certificated area.</w:t>
      </w:r>
    </w:p>
    <w:p w:rsidR="00A878B6" w:rsidRPr="00A878B6" w:rsidRDefault="00032422" w:rsidP="00A878B6">
      <w:pPr>
        <w:pStyle w:val="FOFNumbered"/>
        <w:rPr>
          <w:snapToGrid/>
        </w:rPr>
      </w:pPr>
      <w:r w:rsidRPr="00142B47">
        <w:rPr>
          <w:snapToGrid/>
        </w:rPr>
        <w:t xml:space="preserve">After consideration of the factors in TWC § 13.246(c), </w:t>
      </w:r>
      <w:r w:rsidR="00142B47" w:rsidRPr="00142B47">
        <w:rPr>
          <w:snapToGrid/>
        </w:rPr>
        <w:t>Corix and Bluebonnet</w:t>
      </w:r>
      <w:r w:rsidR="00142B47">
        <w:rPr>
          <w:snapToGrid/>
        </w:rPr>
        <w:t xml:space="preserve"> have </w:t>
      </w:r>
      <w:r w:rsidRPr="00142B47">
        <w:rPr>
          <w:snapToGrid/>
        </w:rPr>
        <w:t xml:space="preserve">demonstrated that </w:t>
      </w:r>
      <w:r w:rsidR="00142B47">
        <w:rPr>
          <w:snapToGrid/>
        </w:rPr>
        <w:t>Corix</w:t>
      </w:r>
      <w:r w:rsidRPr="00142B47">
        <w:rPr>
          <w:snapToGrid/>
        </w:rPr>
        <w:t xml:space="preserve"> is capable of rendering adequate and continuous service to every consumer within the certificated area.</w:t>
      </w:r>
    </w:p>
    <w:p w:rsidR="00032422" w:rsidRPr="00032422" w:rsidRDefault="00142B47" w:rsidP="00C05074">
      <w:pPr>
        <w:pStyle w:val="Heading1"/>
        <w:spacing w:before="360"/>
        <w:rPr>
          <w:snapToGrid/>
        </w:rPr>
      </w:pPr>
      <w:r>
        <w:rPr>
          <w:snapToGrid/>
        </w:rPr>
        <w:lastRenderedPageBreak/>
        <w:t xml:space="preserve"> </w:t>
      </w:r>
      <w:r w:rsidR="00032422" w:rsidRPr="00032422">
        <w:rPr>
          <w:snapToGrid/>
        </w:rPr>
        <w:t xml:space="preserve"> Conclusions of Law</w:t>
      </w:r>
    </w:p>
    <w:p w:rsidR="00032422" w:rsidRPr="00032422" w:rsidRDefault="00032422" w:rsidP="00142B47">
      <w:pPr>
        <w:pStyle w:val="COLNumbered"/>
        <w:ind w:left="720" w:hanging="720"/>
        <w:rPr>
          <w:snapToGrid/>
        </w:rPr>
      </w:pPr>
      <w:r w:rsidRPr="00032422">
        <w:rPr>
          <w:snapToGrid/>
        </w:rPr>
        <w:t xml:space="preserve">The Commission has jurisdiction over this proceeding pursuant to TWC §§ </w:t>
      </w:r>
      <w:r w:rsidR="008B6D6F">
        <w:rPr>
          <w:snapToGrid/>
        </w:rPr>
        <w:t xml:space="preserve">13.241, </w:t>
      </w:r>
      <w:r w:rsidRPr="00032422">
        <w:rPr>
          <w:snapToGrid/>
        </w:rPr>
        <w:t>13.</w:t>
      </w:r>
      <w:r w:rsidR="00A878B6">
        <w:rPr>
          <w:snapToGrid/>
        </w:rPr>
        <w:t>246</w:t>
      </w:r>
      <w:r w:rsidR="008B6D6F">
        <w:rPr>
          <w:snapToGrid/>
        </w:rPr>
        <w:t xml:space="preserve">, 13.254, </w:t>
      </w:r>
      <w:r w:rsidR="002C0838">
        <w:rPr>
          <w:snapToGrid/>
        </w:rPr>
        <w:t>and 13.301</w:t>
      </w:r>
      <w:r w:rsidRPr="00032422">
        <w:rPr>
          <w:snapToGrid/>
        </w:rPr>
        <w:t>.</w:t>
      </w:r>
    </w:p>
    <w:p w:rsidR="00032422" w:rsidRPr="00A878B6" w:rsidRDefault="00142B47" w:rsidP="00A878B6">
      <w:pPr>
        <w:pStyle w:val="COLNumbered"/>
        <w:tabs>
          <w:tab w:val="left" w:pos="720"/>
        </w:tabs>
        <w:ind w:left="720" w:hanging="720"/>
        <w:rPr>
          <w:snapToGrid/>
        </w:rPr>
      </w:pPr>
      <w:r>
        <w:rPr>
          <w:snapToGrid/>
        </w:rPr>
        <w:t xml:space="preserve">Bluebonnet and Corix </w:t>
      </w:r>
      <w:r w:rsidR="00032422" w:rsidRPr="00032422">
        <w:rPr>
          <w:snapToGrid/>
        </w:rPr>
        <w:t xml:space="preserve">are </w:t>
      </w:r>
      <w:r w:rsidR="002C0838">
        <w:rPr>
          <w:snapToGrid/>
        </w:rPr>
        <w:t>water</w:t>
      </w:r>
      <w:r w:rsidR="00A878B6">
        <w:rPr>
          <w:snapToGrid/>
        </w:rPr>
        <w:t xml:space="preserve"> </w:t>
      </w:r>
      <w:r w:rsidR="00032422" w:rsidRPr="00032422">
        <w:rPr>
          <w:snapToGrid/>
        </w:rPr>
        <w:t>utilities as defined in TWC § 13.002</w:t>
      </w:r>
      <w:r w:rsidR="002C0838">
        <w:rPr>
          <w:snapToGrid/>
        </w:rPr>
        <w:t>(23).</w:t>
      </w:r>
    </w:p>
    <w:p w:rsidR="00032422" w:rsidRPr="00032422" w:rsidRDefault="00032422" w:rsidP="00142B47">
      <w:pPr>
        <w:pStyle w:val="COLNumbered"/>
        <w:tabs>
          <w:tab w:val="left" w:pos="720"/>
        </w:tabs>
        <w:ind w:left="720" w:hanging="720"/>
        <w:rPr>
          <w:snapToGrid/>
        </w:rPr>
      </w:pPr>
      <w:r w:rsidRPr="00032422">
        <w:rPr>
          <w:snapToGrid/>
        </w:rPr>
        <w:t>Public notice of the Application was provided as required by TWC § 13.301(a)(2).</w:t>
      </w:r>
    </w:p>
    <w:p w:rsidR="00D8787D" w:rsidRPr="008B6D6F" w:rsidRDefault="00032422" w:rsidP="00D8787D">
      <w:pPr>
        <w:pStyle w:val="COLNumbered"/>
        <w:ind w:left="720" w:hanging="720"/>
        <w:rPr>
          <w:szCs w:val="24"/>
        </w:rPr>
      </w:pPr>
      <w:r w:rsidRPr="00032422">
        <w:rPr>
          <w:snapToGrid/>
        </w:rPr>
        <w:t xml:space="preserve">The Application was processed in accordance with the requirements of </w:t>
      </w:r>
      <w:r w:rsidR="002C0838">
        <w:rPr>
          <w:snapToGrid/>
        </w:rPr>
        <w:t xml:space="preserve">TWC § 13.301 and 16 TAC §§ </w:t>
      </w:r>
      <w:r w:rsidR="002C0838" w:rsidRPr="00032422">
        <w:rPr>
          <w:snapToGrid/>
        </w:rPr>
        <w:t>24.109 and 24.112</w:t>
      </w:r>
      <w:r w:rsidR="00D8787D">
        <w:rPr>
          <w:snapToGrid/>
          <w:szCs w:val="24"/>
        </w:rPr>
        <w:t>.</w:t>
      </w:r>
    </w:p>
    <w:p w:rsidR="008B6D6F" w:rsidRPr="008B6D6F" w:rsidRDefault="008B6D6F" w:rsidP="00D8787D">
      <w:pPr>
        <w:pStyle w:val="COLNumbered"/>
        <w:ind w:left="720" w:hanging="720"/>
        <w:rPr>
          <w:szCs w:val="24"/>
        </w:rPr>
      </w:pPr>
      <w:r>
        <w:t>Corix and Bluebonnet</w:t>
      </w:r>
      <w:r w:rsidRPr="00E60091">
        <w:t xml:space="preserve"> completed the sale within 365 days from the date of </w:t>
      </w:r>
      <w:r>
        <w:t>Commission</w:t>
      </w:r>
      <w:r w:rsidRPr="00E60091">
        <w:t xml:space="preserve"> approval of the sale, consistent with </w:t>
      </w:r>
      <w:r w:rsidRPr="00376763">
        <w:rPr>
          <w:rFonts w:eastAsia="SimSun"/>
          <w:lang w:eastAsia="zh-CN"/>
        </w:rPr>
        <w:t xml:space="preserve">16 TAC </w:t>
      </w:r>
      <w:r>
        <w:rPr>
          <w:rFonts w:eastAsia="SimSun"/>
          <w:lang w:eastAsia="zh-CN"/>
        </w:rPr>
        <w:t>§ </w:t>
      </w:r>
      <w:r w:rsidRPr="00E60091">
        <w:t>24.112(e)</w:t>
      </w:r>
      <w:r>
        <w:t>.</w:t>
      </w:r>
    </w:p>
    <w:p w:rsidR="00032422" w:rsidRDefault="00032422" w:rsidP="00142B47">
      <w:pPr>
        <w:pStyle w:val="COLNumbered"/>
        <w:tabs>
          <w:tab w:val="left" w:pos="720"/>
        </w:tabs>
        <w:ind w:left="720" w:hanging="720"/>
        <w:rPr>
          <w:snapToGrid/>
        </w:rPr>
      </w:pPr>
      <w:r w:rsidRPr="00032422">
        <w:rPr>
          <w:snapToGrid/>
        </w:rPr>
        <w:t xml:space="preserve">After </w:t>
      </w:r>
      <w:r w:rsidR="002C0838">
        <w:rPr>
          <w:snapToGrid/>
        </w:rPr>
        <w:t>considering</w:t>
      </w:r>
      <w:r w:rsidRPr="00032422">
        <w:rPr>
          <w:snapToGrid/>
        </w:rPr>
        <w:t xml:space="preserve"> the factors in TWC § 13.246(c), </w:t>
      </w:r>
      <w:r w:rsidR="00142B47">
        <w:rPr>
          <w:snapToGrid/>
        </w:rPr>
        <w:t xml:space="preserve">Corix </w:t>
      </w:r>
      <w:r w:rsidR="002C0838">
        <w:rPr>
          <w:snapToGrid/>
        </w:rPr>
        <w:t>has</w:t>
      </w:r>
      <w:r w:rsidRPr="00032422">
        <w:rPr>
          <w:snapToGrid/>
        </w:rPr>
        <w:t xml:space="preserve"> demonstrated adequate financial, managerial, and technical capability for providing </w:t>
      </w:r>
      <w:r w:rsidR="002C0838">
        <w:rPr>
          <w:snapToGrid/>
        </w:rPr>
        <w:t xml:space="preserve">continuous and </w:t>
      </w:r>
      <w:r w:rsidRPr="00032422">
        <w:rPr>
          <w:snapToGrid/>
        </w:rPr>
        <w:t xml:space="preserve">adequate service to </w:t>
      </w:r>
      <w:r w:rsidR="002C0838">
        <w:rPr>
          <w:snapToGrid/>
        </w:rPr>
        <w:t>the requested area and its existing certificated area</w:t>
      </w:r>
      <w:r w:rsidRPr="00032422">
        <w:rPr>
          <w:snapToGrid/>
        </w:rPr>
        <w:t>.</w:t>
      </w:r>
    </w:p>
    <w:p w:rsidR="002C0838" w:rsidRDefault="002C0838" w:rsidP="00142B47">
      <w:pPr>
        <w:pStyle w:val="COLNumbered"/>
        <w:tabs>
          <w:tab w:val="left" w:pos="720"/>
        </w:tabs>
        <w:ind w:left="720" w:hanging="720"/>
        <w:rPr>
          <w:snapToGrid/>
        </w:rPr>
      </w:pPr>
      <w:r>
        <w:rPr>
          <w:snapToGrid/>
        </w:rPr>
        <w:t xml:space="preserve">Corix and Bluebonnet have demonstrated that the sale and transfer of customers and facilities to Corix, </w:t>
      </w:r>
      <w:r w:rsidR="00C07AA2">
        <w:rPr>
          <w:snapToGrid/>
        </w:rPr>
        <w:t>amending</w:t>
      </w:r>
      <w:r>
        <w:rPr>
          <w:snapToGrid/>
        </w:rPr>
        <w:t xml:space="preserve"> CCN No. 13227 to include the transferred </w:t>
      </w:r>
      <w:r w:rsidR="00C07AA2">
        <w:rPr>
          <w:snapToGrid/>
        </w:rPr>
        <w:t>facilities and customers</w:t>
      </w:r>
      <w:r>
        <w:rPr>
          <w:snapToGrid/>
        </w:rPr>
        <w:t>, and cancellation of Bluebonnet’s CCN No. 11556 is necessary for the service, accommodation, convenience, and safety of the public.</w:t>
      </w:r>
    </w:p>
    <w:p w:rsidR="008B6D6F" w:rsidRDefault="008B6D6F" w:rsidP="00142B47">
      <w:pPr>
        <w:pStyle w:val="COLNumbered"/>
        <w:tabs>
          <w:tab w:val="left" w:pos="720"/>
        </w:tabs>
        <w:ind w:left="720" w:hanging="720"/>
        <w:rPr>
          <w:snapToGrid/>
        </w:rPr>
      </w:pPr>
      <w:r>
        <w:t xml:space="preserve">Pursuant to </w:t>
      </w:r>
      <w:r w:rsidRPr="00376763">
        <w:rPr>
          <w:rFonts w:eastAsia="SimSun"/>
          <w:lang w:eastAsia="zh-CN"/>
        </w:rPr>
        <w:t xml:space="preserve">16 TAC </w:t>
      </w:r>
      <w:r>
        <w:rPr>
          <w:rFonts w:eastAsia="SimSun"/>
          <w:lang w:eastAsia="zh-CN"/>
        </w:rPr>
        <w:t xml:space="preserve">§ 24.106(f), Corix is required to record evidence of </w:t>
      </w:r>
      <w:r>
        <w:rPr>
          <w:rFonts w:eastAsia="SimSun"/>
          <w:lang w:eastAsia="zh-CN"/>
        </w:rPr>
        <w:t>the</w:t>
      </w:r>
      <w:r>
        <w:rPr>
          <w:rFonts w:eastAsia="SimSun"/>
          <w:lang w:eastAsia="zh-CN"/>
        </w:rPr>
        <w:t xml:space="preserve"> approved CCN and service area in the real property records of </w:t>
      </w:r>
      <w:r w:rsidR="00437F53">
        <w:rPr>
          <w:rFonts w:eastAsia="SimSun"/>
          <w:lang w:eastAsia="zh-CN"/>
        </w:rPr>
        <w:t>the county in which the area is located</w:t>
      </w:r>
      <w:r>
        <w:rPr>
          <w:rFonts w:eastAsia="SimSun"/>
          <w:lang w:eastAsia="zh-CN"/>
        </w:rPr>
        <w:t>.</w:t>
      </w:r>
    </w:p>
    <w:p w:rsidR="00437F53" w:rsidRDefault="00E6259C" w:rsidP="00142B47">
      <w:pPr>
        <w:pStyle w:val="COLNumbered"/>
        <w:tabs>
          <w:tab w:val="left" w:pos="720"/>
        </w:tabs>
        <w:ind w:left="720" w:hanging="720"/>
        <w:rPr>
          <w:snapToGrid/>
        </w:rPr>
      </w:pPr>
      <w:r>
        <w:rPr>
          <w:snapToGrid/>
        </w:rPr>
        <w:t>The requirements for informal disposition pursuant to 16 TAC § 22.35 have been met in this proceeding.</w:t>
      </w:r>
    </w:p>
    <w:p w:rsidR="00437F53" w:rsidRDefault="00437F53">
      <w:pPr>
        <w:rPr>
          <w:snapToGrid/>
        </w:rPr>
      </w:pPr>
      <w:r>
        <w:rPr>
          <w:snapToGrid/>
        </w:rPr>
        <w:br w:type="page"/>
      </w:r>
    </w:p>
    <w:p w:rsidR="00032422" w:rsidRPr="00032422" w:rsidRDefault="00032422" w:rsidP="00C05074">
      <w:pPr>
        <w:pStyle w:val="Heading1"/>
        <w:spacing w:before="360"/>
        <w:rPr>
          <w:snapToGrid/>
        </w:rPr>
      </w:pPr>
      <w:r w:rsidRPr="00032422">
        <w:rPr>
          <w:snapToGrid/>
        </w:rPr>
        <w:lastRenderedPageBreak/>
        <w:t>Ordering Paragraphs</w:t>
      </w:r>
    </w:p>
    <w:p w:rsidR="00032422" w:rsidRPr="00032422" w:rsidRDefault="00032422" w:rsidP="00D8787D">
      <w:pPr>
        <w:spacing w:before="120" w:line="360" w:lineRule="auto"/>
        <w:ind w:left="72" w:firstLine="648"/>
        <w:jc w:val="both"/>
        <w:textAlignment w:val="baseline"/>
        <w:rPr>
          <w:snapToGrid/>
          <w:color w:val="000000"/>
          <w:szCs w:val="22"/>
        </w:rPr>
      </w:pPr>
      <w:r w:rsidRPr="00032422">
        <w:rPr>
          <w:snapToGrid/>
          <w:color w:val="000000"/>
          <w:szCs w:val="22"/>
        </w:rPr>
        <w:t xml:space="preserve">In accordance with these findings of fact and conclusions of law, the </w:t>
      </w:r>
      <w:r w:rsidR="009A2B13">
        <w:rPr>
          <w:snapToGrid/>
          <w:color w:val="000000"/>
          <w:szCs w:val="22"/>
        </w:rPr>
        <w:t>Commission</w:t>
      </w:r>
      <w:r w:rsidRPr="00032422">
        <w:rPr>
          <w:snapToGrid/>
          <w:color w:val="000000"/>
          <w:szCs w:val="22"/>
        </w:rPr>
        <w:t xml:space="preserve"> issues the following order:</w:t>
      </w:r>
    </w:p>
    <w:p w:rsidR="00032422" w:rsidRDefault="00E6259C" w:rsidP="00C05074">
      <w:pPr>
        <w:pStyle w:val="OrderingNumbered"/>
        <w:numPr>
          <w:ilvl w:val="3"/>
          <w:numId w:val="33"/>
        </w:numPr>
        <w:tabs>
          <w:tab w:val="clear" w:pos="360"/>
          <w:tab w:val="num" w:pos="720"/>
        </w:tabs>
        <w:ind w:left="720" w:hanging="720"/>
        <w:rPr>
          <w:snapToGrid/>
        </w:rPr>
      </w:pPr>
      <w:r>
        <w:rPr>
          <w:snapToGrid/>
        </w:rPr>
        <w:t xml:space="preserve">The Application </w:t>
      </w:r>
      <w:r w:rsidR="008B6D6F">
        <w:rPr>
          <w:snapToGrid/>
        </w:rPr>
        <w:t xml:space="preserve">by Corix and Bluebonnet </w:t>
      </w:r>
      <w:r>
        <w:rPr>
          <w:snapToGrid/>
        </w:rPr>
        <w:t>is approved.</w:t>
      </w:r>
    </w:p>
    <w:p w:rsidR="009A2B13" w:rsidRPr="00032422" w:rsidRDefault="009A2B13" w:rsidP="00C05074">
      <w:pPr>
        <w:pStyle w:val="OrderingNumbered"/>
        <w:numPr>
          <w:ilvl w:val="3"/>
          <w:numId w:val="33"/>
        </w:numPr>
        <w:tabs>
          <w:tab w:val="clear" w:pos="360"/>
          <w:tab w:val="num" w:pos="720"/>
        </w:tabs>
        <w:ind w:left="720" w:hanging="720"/>
        <w:rPr>
          <w:snapToGrid/>
        </w:rPr>
      </w:pPr>
      <w:r>
        <w:rPr>
          <w:snapToGrid/>
        </w:rPr>
        <w:t>The Commission admits the following into evidence:  (a) the Application</w:t>
      </w:r>
      <w:r w:rsidR="007F41B8">
        <w:rPr>
          <w:snapToGrid/>
        </w:rPr>
        <w:t>,</w:t>
      </w:r>
      <w:r>
        <w:rPr>
          <w:snapToGrid/>
        </w:rPr>
        <w:t xml:space="preserve"> and all attachments thereto</w:t>
      </w:r>
      <w:r w:rsidR="007F41B8">
        <w:rPr>
          <w:snapToGrid/>
        </w:rPr>
        <w:t>, filed July 31, 2014</w:t>
      </w:r>
      <w:r>
        <w:rPr>
          <w:snapToGrid/>
        </w:rPr>
        <w:t xml:space="preserve">; (b) </w:t>
      </w:r>
      <w:r w:rsidR="007F41B8">
        <w:rPr>
          <w:snapToGrid/>
        </w:rPr>
        <w:t>n</w:t>
      </w:r>
      <w:r>
        <w:rPr>
          <w:snapToGrid/>
        </w:rPr>
        <w:t>otice of the Application</w:t>
      </w:r>
      <w:r w:rsidR="007F41B8">
        <w:rPr>
          <w:snapToGrid/>
        </w:rPr>
        <w:t xml:space="preserve"> issued November 25, 2014 and proof of notice filed December 9, 2014</w:t>
      </w:r>
      <w:r>
        <w:rPr>
          <w:snapToGrid/>
        </w:rPr>
        <w:t xml:space="preserve">; and (c) Commission Staff </w:t>
      </w:r>
      <w:r w:rsidR="007F41B8">
        <w:rPr>
          <w:snapToGrid/>
        </w:rPr>
        <w:t>r</w:t>
      </w:r>
      <w:r>
        <w:rPr>
          <w:snapToGrid/>
        </w:rPr>
        <w:t>ecommendation</w:t>
      </w:r>
      <w:r w:rsidR="007F41B8">
        <w:rPr>
          <w:snapToGrid/>
        </w:rPr>
        <w:t>s,</w:t>
      </w:r>
      <w:r>
        <w:rPr>
          <w:snapToGrid/>
        </w:rPr>
        <w:t xml:space="preserve"> and all attachments thereto</w:t>
      </w:r>
      <w:r w:rsidR="007F41B8">
        <w:rPr>
          <w:snapToGrid/>
        </w:rPr>
        <w:t>, filed February 23, 2015, June 11, 2015, and August 13, 2015.</w:t>
      </w:r>
    </w:p>
    <w:p w:rsidR="00032422" w:rsidRDefault="00E6259C" w:rsidP="00C05074">
      <w:pPr>
        <w:pStyle w:val="OrderingNumbered"/>
        <w:numPr>
          <w:ilvl w:val="3"/>
          <w:numId w:val="33"/>
        </w:numPr>
        <w:tabs>
          <w:tab w:val="clear" w:pos="360"/>
          <w:tab w:val="num" w:pos="720"/>
        </w:tabs>
        <w:ind w:left="720" w:hanging="720"/>
        <w:rPr>
          <w:snapToGrid/>
          <w:spacing w:val="1"/>
        </w:rPr>
      </w:pPr>
      <w:r>
        <w:rPr>
          <w:snapToGrid/>
          <w:spacing w:val="1"/>
        </w:rPr>
        <w:t>Corix’s CCN No. 13227</w:t>
      </w:r>
      <w:r w:rsidR="00437F53">
        <w:rPr>
          <w:snapToGrid/>
          <w:spacing w:val="1"/>
        </w:rPr>
        <w:t xml:space="preserve"> </w:t>
      </w:r>
      <w:r w:rsidR="00245FC0">
        <w:rPr>
          <w:snapToGrid/>
          <w:spacing w:val="1"/>
        </w:rPr>
        <w:t>is amended consistent with this Notice.</w:t>
      </w:r>
    </w:p>
    <w:p w:rsidR="00245FC0" w:rsidRDefault="00245FC0" w:rsidP="00C05074">
      <w:pPr>
        <w:pStyle w:val="OrderingNumbered"/>
        <w:numPr>
          <w:ilvl w:val="3"/>
          <w:numId w:val="33"/>
        </w:numPr>
        <w:tabs>
          <w:tab w:val="clear" w:pos="360"/>
          <w:tab w:val="num" w:pos="720"/>
        </w:tabs>
        <w:ind w:left="720" w:hanging="720"/>
        <w:rPr>
          <w:snapToGrid/>
          <w:spacing w:val="1"/>
        </w:rPr>
      </w:pPr>
      <w:r>
        <w:rPr>
          <w:snapToGrid/>
          <w:spacing w:val="1"/>
        </w:rPr>
        <w:t xml:space="preserve">Corix’s Water Utility Tariff, </w:t>
      </w:r>
      <w:r w:rsidR="00437F53">
        <w:rPr>
          <w:snapToGrid/>
          <w:spacing w:val="1"/>
        </w:rPr>
        <w:t>a</w:t>
      </w:r>
      <w:r>
        <w:rPr>
          <w:snapToGrid/>
          <w:spacing w:val="1"/>
        </w:rPr>
        <w:t>ttach</w:t>
      </w:r>
      <w:r w:rsidR="009A2B13">
        <w:rPr>
          <w:snapToGrid/>
          <w:spacing w:val="1"/>
        </w:rPr>
        <w:t xml:space="preserve">ment </w:t>
      </w:r>
      <w:r w:rsidR="009215D7">
        <w:rPr>
          <w:snapToGrid/>
          <w:spacing w:val="1"/>
        </w:rPr>
        <w:t xml:space="preserve">D </w:t>
      </w:r>
      <w:r>
        <w:rPr>
          <w:snapToGrid/>
          <w:spacing w:val="1"/>
        </w:rPr>
        <w:t>to this Notice, is approved.</w:t>
      </w:r>
    </w:p>
    <w:p w:rsidR="00245FC0" w:rsidRDefault="00245FC0" w:rsidP="00C05074">
      <w:pPr>
        <w:pStyle w:val="OrderingNumbered"/>
        <w:numPr>
          <w:ilvl w:val="3"/>
          <w:numId w:val="33"/>
        </w:numPr>
        <w:tabs>
          <w:tab w:val="clear" w:pos="360"/>
          <w:tab w:val="num" w:pos="720"/>
        </w:tabs>
        <w:ind w:left="720" w:hanging="720"/>
        <w:rPr>
          <w:snapToGrid/>
          <w:spacing w:val="1"/>
        </w:rPr>
      </w:pPr>
      <w:r>
        <w:rPr>
          <w:snapToGrid/>
          <w:spacing w:val="1"/>
        </w:rPr>
        <w:t>Corix shall service every customer and applicant for service within the area covered by is CCN No. 13227, and such service shall be continuous and adequate.</w:t>
      </w:r>
    </w:p>
    <w:p w:rsidR="008B6D6F" w:rsidRDefault="008B6D6F" w:rsidP="008B6D6F">
      <w:pPr>
        <w:pStyle w:val="OrderingNumbered"/>
        <w:numPr>
          <w:ilvl w:val="3"/>
          <w:numId w:val="33"/>
        </w:numPr>
        <w:tabs>
          <w:tab w:val="clear" w:pos="360"/>
          <w:tab w:val="num" w:pos="720"/>
        </w:tabs>
        <w:ind w:left="720" w:hanging="720"/>
        <w:rPr>
          <w:snapToGrid/>
          <w:spacing w:val="1"/>
        </w:rPr>
      </w:pPr>
      <w:r>
        <w:rPr>
          <w:snapToGrid/>
          <w:spacing w:val="1"/>
        </w:rPr>
        <w:t>Bluebonnet’s</w:t>
      </w:r>
      <w:r w:rsidRPr="00032422">
        <w:rPr>
          <w:snapToGrid/>
          <w:spacing w:val="1"/>
        </w:rPr>
        <w:t xml:space="preserve"> </w:t>
      </w:r>
      <w:r>
        <w:rPr>
          <w:snapToGrid/>
          <w:spacing w:val="1"/>
        </w:rPr>
        <w:t>CCN No. 11556 is cancelled consistent with this Notice.</w:t>
      </w:r>
    </w:p>
    <w:p w:rsidR="008B6D6F" w:rsidRDefault="008B6D6F" w:rsidP="00C05074">
      <w:pPr>
        <w:pStyle w:val="OrderingNumbered"/>
        <w:numPr>
          <w:ilvl w:val="3"/>
          <w:numId w:val="33"/>
        </w:numPr>
        <w:tabs>
          <w:tab w:val="clear" w:pos="360"/>
          <w:tab w:val="num" w:pos="720"/>
        </w:tabs>
        <w:ind w:left="720" w:hanging="720"/>
        <w:rPr>
          <w:snapToGrid/>
          <w:spacing w:val="1"/>
        </w:rPr>
      </w:pPr>
      <w:r>
        <w:t>Corix</w:t>
      </w:r>
      <w:r w:rsidRPr="00E60091">
        <w:t xml:space="preserve"> shall submit to the Commission evidence of the recording of a certified copy of the map of CCN No. 13227 </w:t>
      </w:r>
      <w:r>
        <w:t xml:space="preserve">attached to this Notice </w:t>
      </w:r>
      <w:r w:rsidRPr="00E60091">
        <w:t xml:space="preserve">in the real property records of </w:t>
      </w:r>
      <w:r>
        <w:t>Washington County</w:t>
      </w:r>
      <w:r w:rsidRPr="00E60091">
        <w:t xml:space="preserve"> no later than the 31 day</w:t>
      </w:r>
      <w:r>
        <w:t>s</w:t>
      </w:r>
      <w:r w:rsidRPr="00E60091">
        <w:t xml:space="preserve"> after </w:t>
      </w:r>
      <w:r>
        <w:t xml:space="preserve">receipt </w:t>
      </w:r>
      <w:r w:rsidRPr="00E60091">
        <w:t xml:space="preserve">of this </w:t>
      </w:r>
      <w:r>
        <w:t>Notice</w:t>
      </w:r>
      <w:r w:rsidR="00C53E3E">
        <w:t>.</w:t>
      </w:r>
    </w:p>
    <w:p w:rsidR="00245FC0" w:rsidRDefault="00245FC0" w:rsidP="00C05074">
      <w:pPr>
        <w:pStyle w:val="OrderingNumbered"/>
        <w:numPr>
          <w:ilvl w:val="3"/>
          <w:numId w:val="33"/>
        </w:numPr>
        <w:tabs>
          <w:tab w:val="clear" w:pos="360"/>
          <w:tab w:val="num" w:pos="720"/>
        </w:tabs>
        <w:ind w:left="720" w:hanging="720"/>
        <w:rPr>
          <w:snapToGrid/>
          <w:spacing w:val="1"/>
        </w:rPr>
      </w:pPr>
      <w:r>
        <w:rPr>
          <w:snapToGrid/>
          <w:spacing w:val="1"/>
        </w:rPr>
        <w:t>All other motions, requests for entry of specific findings of fact or conclusions of law, and any other requests for general or specific relief, if not expressly granted herein, are denied.</w:t>
      </w:r>
    </w:p>
    <w:p w:rsidR="005B5864" w:rsidRPr="00614240" w:rsidRDefault="005B5864" w:rsidP="00437F53">
      <w:pPr>
        <w:tabs>
          <w:tab w:val="left" w:pos="720"/>
          <w:tab w:val="left" w:pos="1440"/>
          <w:tab w:val="left" w:pos="2160"/>
          <w:tab w:val="left" w:pos="2880"/>
          <w:tab w:val="left" w:pos="4954"/>
          <w:tab w:val="left" w:pos="5760"/>
          <w:tab w:val="left" w:pos="6912"/>
        </w:tabs>
        <w:spacing w:before="240" w:after="240"/>
        <w:rPr>
          <w:b/>
          <w:szCs w:val="24"/>
        </w:rPr>
      </w:pPr>
      <w:r>
        <w:rPr>
          <w:b/>
          <w:szCs w:val="24"/>
        </w:rPr>
        <w:tab/>
      </w:r>
      <w:r w:rsidRPr="00614240">
        <w:rPr>
          <w:b/>
          <w:szCs w:val="24"/>
        </w:rPr>
        <w:t xml:space="preserve">SIGNED AT AUSTIN, TEXAS on the _________ day of </w:t>
      </w:r>
      <w:r w:rsidR="00245FC0">
        <w:rPr>
          <w:b/>
          <w:szCs w:val="24"/>
        </w:rPr>
        <w:t>August</w:t>
      </w:r>
      <w:r>
        <w:rPr>
          <w:b/>
          <w:szCs w:val="24"/>
        </w:rPr>
        <w:t xml:space="preserve"> 2015</w:t>
      </w:r>
      <w:r w:rsidRPr="00614240">
        <w:rPr>
          <w:b/>
          <w:szCs w:val="24"/>
        </w:rPr>
        <w:t>.</w:t>
      </w:r>
    </w:p>
    <w:p w:rsidR="005B5864" w:rsidRDefault="005B5864" w:rsidP="009A2B13">
      <w:pPr>
        <w:tabs>
          <w:tab w:val="left" w:pos="720"/>
          <w:tab w:val="left" w:pos="1440"/>
          <w:tab w:val="left" w:pos="2160"/>
          <w:tab w:val="left" w:pos="2880"/>
          <w:tab w:val="left" w:pos="4140"/>
          <w:tab w:val="left" w:pos="5760"/>
          <w:tab w:val="left" w:pos="6912"/>
        </w:tabs>
        <w:spacing w:before="120"/>
        <w:rPr>
          <w:b/>
          <w:szCs w:val="24"/>
        </w:rPr>
      </w:pPr>
      <w:r>
        <w:rPr>
          <w:b/>
          <w:szCs w:val="24"/>
        </w:rPr>
        <w:tab/>
      </w:r>
      <w:r>
        <w:rPr>
          <w:b/>
          <w:szCs w:val="24"/>
        </w:rPr>
        <w:tab/>
      </w:r>
      <w:r>
        <w:rPr>
          <w:b/>
          <w:szCs w:val="24"/>
        </w:rPr>
        <w:tab/>
      </w:r>
      <w:r>
        <w:rPr>
          <w:b/>
          <w:szCs w:val="24"/>
        </w:rPr>
        <w:tab/>
        <w:t xml:space="preserve">            </w:t>
      </w:r>
      <w:r>
        <w:rPr>
          <w:b/>
          <w:szCs w:val="24"/>
        </w:rPr>
        <w:tab/>
      </w:r>
      <w:r w:rsidRPr="00614240">
        <w:rPr>
          <w:b/>
          <w:szCs w:val="24"/>
        </w:rPr>
        <w:t>PUBLIC UTILITY COMMISSION OF TEXAS</w:t>
      </w:r>
    </w:p>
    <w:p w:rsidR="005B5864" w:rsidRDefault="005B5864" w:rsidP="005B5864">
      <w:pPr>
        <w:tabs>
          <w:tab w:val="left" w:pos="720"/>
          <w:tab w:val="left" w:pos="1440"/>
          <w:tab w:val="left" w:pos="2160"/>
          <w:tab w:val="left" w:pos="3600"/>
          <w:tab w:val="left" w:pos="4954"/>
          <w:tab w:val="left" w:pos="5760"/>
          <w:tab w:val="left" w:pos="6912"/>
        </w:tabs>
        <w:rPr>
          <w:b/>
          <w:szCs w:val="24"/>
        </w:rPr>
      </w:pPr>
    </w:p>
    <w:p w:rsidR="005B5864" w:rsidRPr="00614240" w:rsidRDefault="005B5864" w:rsidP="005B5864">
      <w:pPr>
        <w:tabs>
          <w:tab w:val="left" w:pos="720"/>
          <w:tab w:val="left" w:pos="1440"/>
          <w:tab w:val="left" w:pos="2160"/>
          <w:tab w:val="left" w:pos="3600"/>
          <w:tab w:val="left" w:pos="4954"/>
          <w:tab w:val="left" w:pos="5760"/>
          <w:tab w:val="left" w:pos="6912"/>
        </w:tabs>
        <w:rPr>
          <w:b/>
          <w:szCs w:val="24"/>
        </w:rPr>
      </w:pPr>
    </w:p>
    <w:p w:rsidR="005B5864" w:rsidRPr="00614240" w:rsidRDefault="005B5864" w:rsidP="005B5864">
      <w:pPr>
        <w:tabs>
          <w:tab w:val="left" w:pos="720"/>
          <w:tab w:val="left" w:pos="1440"/>
          <w:tab w:val="left" w:pos="2160"/>
          <w:tab w:val="left" w:pos="4140"/>
          <w:tab w:val="left" w:pos="4954"/>
          <w:tab w:val="left" w:pos="5760"/>
          <w:tab w:val="left" w:pos="6912"/>
        </w:tabs>
        <w:rPr>
          <w:b/>
          <w:szCs w:val="24"/>
        </w:rPr>
      </w:pPr>
      <w:r>
        <w:rPr>
          <w:b/>
          <w:szCs w:val="24"/>
        </w:rPr>
        <w:tab/>
      </w:r>
      <w:r>
        <w:rPr>
          <w:b/>
          <w:szCs w:val="24"/>
        </w:rPr>
        <w:tab/>
      </w:r>
      <w:r>
        <w:rPr>
          <w:b/>
          <w:szCs w:val="24"/>
        </w:rPr>
        <w:tab/>
      </w:r>
      <w:r>
        <w:rPr>
          <w:b/>
          <w:szCs w:val="24"/>
        </w:rPr>
        <w:tab/>
        <w:t>_</w:t>
      </w:r>
      <w:r w:rsidRPr="00614240">
        <w:rPr>
          <w:b/>
          <w:szCs w:val="24"/>
        </w:rPr>
        <w:t>______________________________________</w:t>
      </w:r>
    </w:p>
    <w:p w:rsidR="005B5864" w:rsidRDefault="005B5864" w:rsidP="005B5864">
      <w:pPr>
        <w:keepNext/>
        <w:tabs>
          <w:tab w:val="left" w:pos="3600"/>
          <w:tab w:val="left" w:pos="3960"/>
          <w:tab w:val="left" w:pos="4140"/>
          <w:tab w:val="left" w:pos="6912"/>
        </w:tabs>
        <w:jc w:val="both"/>
        <w:rPr>
          <w:b/>
          <w:szCs w:val="24"/>
        </w:rPr>
      </w:pPr>
      <w:r w:rsidRPr="00614240">
        <w:rPr>
          <w:b/>
          <w:szCs w:val="24"/>
        </w:rPr>
        <w:tab/>
      </w:r>
      <w:r>
        <w:rPr>
          <w:b/>
          <w:szCs w:val="24"/>
        </w:rPr>
        <w:tab/>
      </w:r>
      <w:r>
        <w:rPr>
          <w:b/>
          <w:szCs w:val="24"/>
        </w:rPr>
        <w:tab/>
        <w:t>IRENE MONTELONGO</w:t>
      </w:r>
    </w:p>
    <w:p w:rsidR="005B5864" w:rsidRDefault="005B5864" w:rsidP="005B5864">
      <w:pPr>
        <w:tabs>
          <w:tab w:val="left" w:pos="3960"/>
          <w:tab w:val="left" w:pos="4140"/>
          <w:tab w:val="left" w:pos="5040"/>
          <w:tab w:val="left" w:pos="6912"/>
        </w:tabs>
        <w:jc w:val="both"/>
        <w:rPr>
          <w:b/>
          <w:szCs w:val="24"/>
        </w:rPr>
      </w:pPr>
      <w:r>
        <w:rPr>
          <w:b/>
          <w:szCs w:val="24"/>
        </w:rPr>
        <w:tab/>
      </w:r>
      <w:r>
        <w:rPr>
          <w:b/>
          <w:szCs w:val="24"/>
        </w:rPr>
        <w:tab/>
        <w:t>DIRECTOR, DOCKET MANAGEMENT</w:t>
      </w:r>
    </w:p>
    <w:p w:rsidR="00437F53" w:rsidRPr="00614240" w:rsidRDefault="00437F53" w:rsidP="005B5864">
      <w:pPr>
        <w:tabs>
          <w:tab w:val="left" w:pos="3960"/>
          <w:tab w:val="left" w:pos="4140"/>
          <w:tab w:val="left" w:pos="5040"/>
          <w:tab w:val="left" w:pos="6912"/>
        </w:tabs>
        <w:jc w:val="both"/>
        <w:rPr>
          <w:b/>
          <w:szCs w:val="24"/>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245FC0">
        <w:rPr>
          <w:noProof/>
          <w:sz w:val="16"/>
        </w:rPr>
        <w:t>q:\cadm\docket management\water\stm\43xxx\43048noa.docx</w:t>
      </w:r>
      <w:r>
        <w:rPr>
          <w:sz w:val="16"/>
        </w:rPr>
        <w:fldChar w:fldCharType="end"/>
      </w:r>
      <w:r w:rsidR="00AD3AF7">
        <w:rPr>
          <w:sz w:val="16"/>
        </w:rPr>
        <w:t xml:space="preserve">  </w:t>
      </w:r>
    </w:p>
    <w:p w:rsidR="00AD3AF7" w:rsidRDefault="00AD3AF7" w:rsidP="00AD3AF7">
      <w:pPr>
        <w:keepNext/>
        <w:rPr>
          <w:sz w:val="16"/>
          <w:highlight w:val="yellow"/>
        </w:rPr>
      </w:pPr>
    </w:p>
    <w:p w:rsidR="00AD3AF7" w:rsidRDefault="00AD3AF7" w:rsidP="00AD3AF7">
      <w:pPr>
        <w:keepNext/>
        <w:rPr>
          <w:sz w:val="16"/>
          <w:highlight w:val="yellow"/>
        </w:rPr>
      </w:pPr>
    </w:p>
    <w:p w:rsidR="00AD3AF7" w:rsidRPr="00AD3AF7" w:rsidRDefault="00AD3AF7" w:rsidP="00AD3AF7">
      <w:pPr>
        <w:keepNext/>
        <w:rPr>
          <w:sz w:val="16"/>
        </w:rPr>
      </w:pPr>
    </w:p>
    <w:p w:rsidR="00AD3AF7" w:rsidRDefault="00AD3AF7"/>
    <w:sectPr w:rsidR="00AD3AF7" w:rsidSect="00174A16">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2B5" w:rsidRDefault="00C112B5">
      <w:r>
        <w:separator/>
      </w:r>
    </w:p>
  </w:endnote>
  <w:endnote w:type="continuationSeparator" w:id="0">
    <w:p w:rsidR="00C112B5" w:rsidRDefault="00C1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2B5" w:rsidRDefault="00C112B5">
      <w:r>
        <w:separator/>
      </w:r>
    </w:p>
  </w:footnote>
  <w:footnote w:type="continuationSeparator" w:id="0">
    <w:p w:rsidR="00C112B5" w:rsidRDefault="00C112B5">
      <w:r>
        <w:continuationSeparator/>
      </w:r>
    </w:p>
  </w:footnote>
  <w:footnote w:id="1">
    <w:p w:rsidR="00174A16" w:rsidRPr="00142B47" w:rsidRDefault="00174A16" w:rsidP="00174A16">
      <w:pPr>
        <w:pStyle w:val="FootnoteText"/>
        <w:spacing w:before="0" w:after="120"/>
      </w:pPr>
      <w:r w:rsidRPr="00142B47">
        <w:rPr>
          <w:rStyle w:val="FootnoteReference"/>
        </w:rPr>
        <w:footnoteRef/>
      </w:r>
      <w:r w:rsidRPr="00142B47">
        <w:t xml:space="preserve"> </w:t>
      </w:r>
      <w:r w:rsidRPr="00032422">
        <w:rPr>
          <w:i/>
          <w:snapToGrid/>
          <w:color w:val="000000"/>
        </w:rPr>
        <w:t xml:space="preserve">See </w:t>
      </w:r>
      <w:r w:rsidRPr="00032422">
        <w:rPr>
          <w:snapToGrid/>
          <w:color w:val="000000"/>
        </w:rPr>
        <w:t>House Bill (HB) 1600 and Senate Bill (SB) 567</w:t>
      </w:r>
      <w:r w:rsidRPr="00142B47">
        <w:rPr>
          <w:snapToGrid/>
          <w:color w:val="000000"/>
        </w:rPr>
        <w:t xml:space="preserve"> of the </w:t>
      </w:r>
      <w:r w:rsidRPr="00032422">
        <w:rPr>
          <w:snapToGrid/>
          <w:color w:val="000000"/>
        </w:rPr>
        <w:t>83rd Legislature</w:t>
      </w:r>
      <w:r w:rsidRPr="00142B47">
        <w:rPr>
          <w:snapToGrid/>
          <w:color w:val="00000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1B5" w:rsidRDefault="009B21B5" w:rsidP="009B21B5">
    <w:pPr>
      <w:pStyle w:val="Header"/>
      <w:tabs>
        <w:tab w:val="clear" w:pos="4320"/>
        <w:tab w:val="clear" w:pos="8640"/>
        <w:tab w:val="center" w:pos="4950"/>
        <w:tab w:val="right" w:pos="9360"/>
      </w:tabs>
      <w:rPr>
        <w:rStyle w:val="PageNumber"/>
      </w:rPr>
    </w:pPr>
    <w:r>
      <w:t>Docket No. 43048</w:t>
    </w:r>
    <w:r>
      <w:tab/>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80055A">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0055A">
      <w:rPr>
        <w:rStyle w:val="PageNumber"/>
        <w:noProof/>
      </w:rPr>
      <w:t>5</w:t>
    </w:r>
    <w:r>
      <w:rPr>
        <w:rStyle w:val="PageNumber"/>
      </w:rPr>
      <w:fldChar w:fldCharType="end"/>
    </w:r>
  </w:p>
  <w:p w:rsidR="009B21B5" w:rsidRDefault="009B21B5" w:rsidP="009B21B5">
    <w:pPr>
      <w:pStyle w:val="Header"/>
      <w:rPr>
        <w:rStyle w:val="PageNumber"/>
      </w:rPr>
    </w:pPr>
  </w:p>
  <w:p w:rsidR="009B21B5" w:rsidRDefault="009B21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A8F3D5E"/>
    <w:multiLevelType w:val="singleLevel"/>
    <w:tmpl w:val="29504130"/>
    <w:lvl w:ilvl="0">
      <w:start w:val="1"/>
      <w:numFmt w:val="decimal"/>
      <w:pStyle w:val="FOFNumbered"/>
      <w:lvlText w:val="%1."/>
      <w:lvlJc w:val="left"/>
      <w:pPr>
        <w:tabs>
          <w:tab w:val="num" w:pos="720"/>
        </w:tabs>
        <w:ind w:left="720" w:hanging="720"/>
      </w:pPr>
    </w:lvl>
  </w:abstractNum>
  <w:abstractNum w:abstractNumId="2" w15:restartNumberingAfterBreak="0">
    <w:nsid w:val="0B492E04"/>
    <w:multiLevelType w:val="multilevel"/>
    <w:tmpl w:val="354855A2"/>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0BA02E8B"/>
    <w:multiLevelType w:val="multilevel"/>
    <w:tmpl w:val="6E5AEA18"/>
    <w:lvl w:ilvl="0">
      <w:start w:val="15"/>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1E24003E"/>
    <w:multiLevelType w:val="multilevel"/>
    <w:tmpl w:val="E1E0CD30"/>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7" w15:restartNumberingAfterBreak="0">
    <w:nsid w:val="22652905"/>
    <w:multiLevelType w:val="multilevel"/>
    <w:tmpl w:val="C1FA4A10"/>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73086F"/>
    <w:multiLevelType w:val="multilevel"/>
    <w:tmpl w:val="57061088"/>
    <w:lvl w:ilvl="0">
      <w:start w:val="18"/>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ECD751E"/>
    <w:multiLevelType w:val="multilevel"/>
    <w:tmpl w:val="9BC67EE8"/>
    <w:lvl w:ilvl="0">
      <w:start w:val="5"/>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0911CD"/>
    <w:multiLevelType w:val="multilevel"/>
    <w:tmpl w:val="982A2356"/>
    <w:lvl w:ilvl="0">
      <w:start w:val="1"/>
      <w:numFmt w:val="upperRoman"/>
      <w:suff w:val="space"/>
      <w:lvlText w:val="%1."/>
      <w:lvlJc w:val="center"/>
      <w:pPr>
        <w:ind w:left="0" w:firstLine="288"/>
      </w:pPr>
      <w:rPr>
        <w:rFonts w:hint="default"/>
      </w:rPr>
    </w:lvl>
    <w:lvl w:ilvl="1">
      <w:start w:val="1"/>
      <w:numFmt w:val="upperLetter"/>
      <w:suff w:val="space"/>
      <w:lvlText w:val="%2."/>
      <w:lvlJc w:val="center"/>
      <w:pPr>
        <w:ind w:left="0" w:firstLine="0"/>
      </w:pPr>
      <w:rPr>
        <w:rFonts w:hint="default"/>
      </w:rPr>
    </w:lvl>
    <w:lvl w:ilvl="2">
      <w:start w:val="1"/>
      <w:numFmt w:val="decimal"/>
      <w:lvlText w:val="%3."/>
      <w:lvlJc w:val="left"/>
      <w:pPr>
        <w:tabs>
          <w:tab w:val="num" w:pos="360"/>
        </w:tabs>
        <w:ind w:left="0" w:firstLine="0"/>
      </w:pPr>
      <w:rPr>
        <w:rFonts w:hint="default"/>
      </w:rPr>
    </w:lvl>
    <w:lvl w:ilvl="3">
      <w:start w:val="4"/>
      <w:numFmt w:val="decimal"/>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upperLetter"/>
      <w:lvlText w:val="(%6) "/>
      <w:lvlJc w:val="left"/>
      <w:pPr>
        <w:tabs>
          <w:tab w:val="num" w:pos="3960"/>
        </w:tabs>
        <w:ind w:left="3600" w:firstLine="0"/>
      </w:pPr>
      <w:rPr>
        <w:rFonts w:hint="default"/>
      </w:rPr>
    </w:lvl>
    <w:lvl w:ilvl="6">
      <w:start w:val="1"/>
      <w:numFmt w:val="upp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4E462426"/>
    <w:multiLevelType w:val="multilevel"/>
    <w:tmpl w:val="FE64DC02"/>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8E5507"/>
    <w:multiLevelType w:val="multilevel"/>
    <w:tmpl w:val="5E68148C"/>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4"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727E2468"/>
    <w:multiLevelType w:val="multilevel"/>
    <w:tmpl w:val="D8586664"/>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510C70"/>
    <w:multiLevelType w:val="multilevel"/>
    <w:tmpl w:val="A79C932A"/>
    <w:lvl w:ilvl="0">
      <w:start w:val="7"/>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4"/>
  </w:num>
  <w:num w:numId="3">
    <w:abstractNumId w:val="14"/>
  </w:num>
  <w:num w:numId="4">
    <w:abstractNumId w:val="14"/>
  </w:num>
  <w:num w:numId="5">
    <w:abstractNumId w:val="0"/>
  </w:num>
  <w:num w:numId="6">
    <w:abstractNumId w:val="13"/>
  </w:num>
  <w:num w:numId="7">
    <w:abstractNumId w:val="13"/>
    <w:lvlOverride w:ilvl="0">
      <w:startOverride w:val="1"/>
    </w:lvlOverride>
  </w:num>
  <w:num w:numId="8">
    <w:abstractNumId w:val="1"/>
  </w:num>
  <w:num w:numId="9">
    <w:abstractNumId w:val="4"/>
  </w:num>
  <w:num w:numId="10">
    <w:abstractNumId w:val="14"/>
  </w:num>
  <w:num w:numId="11">
    <w:abstractNumId w:val="14"/>
  </w:num>
  <w:num w:numId="12">
    <w:abstractNumId w:val="4"/>
  </w:num>
  <w:num w:numId="13">
    <w:abstractNumId w:val="14"/>
  </w:num>
  <w:num w:numId="14">
    <w:abstractNumId w:val="4"/>
  </w:num>
  <w:num w:numId="15">
    <w:abstractNumId w:val="6"/>
  </w:num>
  <w:num w:numId="16">
    <w:abstractNumId w:val="6"/>
  </w:num>
  <w:num w:numId="17">
    <w:abstractNumId w:val="6"/>
  </w:num>
  <w:num w:numId="18">
    <w:abstractNumId w:val="6"/>
  </w:num>
  <w:num w:numId="19">
    <w:abstractNumId w:val="14"/>
  </w:num>
  <w:num w:numId="20">
    <w:abstractNumId w:val="4"/>
  </w:num>
  <w:num w:numId="21">
    <w:abstractNumId w:val="6"/>
  </w:num>
  <w:num w:numId="22">
    <w:abstractNumId w:val="6"/>
  </w:num>
  <w:num w:numId="23">
    <w:abstractNumId w:val="6"/>
  </w:num>
  <w:num w:numId="24">
    <w:abstractNumId w:val="6"/>
  </w:num>
  <w:num w:numId="25">
    <w:abstractNumId w:val="15"/>
  </w:num>
  <w:num w:numId="26">
    <w:abstractNumId w:val="9"/>
  </w:num>
  <w:num w:numId="27">
    <w:abstractNumId w:val="3"/>
  </w:num>
  <w:num w:numId="28">
    <w:abstractNumId w:val="8"/>
  </w:num>
  <w:num w:numId="29">
    <w:abstractNumId w:val="11"/>
  </w:num>
  <w:num w:numId="30">
    <w:abstractNumId w:val="16"/>
  </w:num>
  <w:num w:numId="31">
    <w:abstractNumId w:val="5"/>
  </w:num>
  <w:num w:numId="32">
    <w:abstractNumId w:val="7"/>
  </w:num>
  <w:num w:numId="33">
    <w:abstractNumId w:val="12"/>
  </w:num>
  <w:num w:numId="34">
    <w:abstractNumId w:val="2"/>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2B5"/>
    <w:rsid w:val="00032422"/>
    <w:rsid w:val="00040455"/>
    <w:rsid w:val="00077D4A"/>
    <w:rsid w:val="000812EE"/>
    <w:rsid w:val="000C1AB7"/>
    <w:rsid w:val="000F2909"/>
    <w:rsid w:val="0010502B"/>
    <w:rsid w:val="00142B47"/>
    <w:rsid w:val="00174A16"/>
    <w:rsid w:val="001C6A61"/>
    <w:rsid w:val="001F7869"/>
    <w:rsid w:val="00245FC0"/>
    <w:rsid w:val="0027205A"/>
    <w:rsid w:val="002868A2"/>
    <w:rsid w:val="002A1501"/>
    <w:rsid w:val="002C0838"/>
    <w:rsid w:val="002C2B5C"/>
    <w:rsid w:val="002D4B65"/>
    <w:rsid w:val="0036472C"/>
    <w:rsid w:val="00371133"/>
    <w:rsid w:val="00376FC3"/>
    <w:rsid w:val="003B45AE"/>
    <w:rsid w:val="003C4326"/>
    <w:rsid w:val="003E1BD1"/>
    <w:rsid w:val="003E3C10"/>
    <w:rsid w:val="00415C67"/>
    <w:rsid w:val="00437F53"/>
    <w:rsid w:val="004B1C7B"/>
    <w:rsid w:val="004C31B3"/>
    <w:rsid w:val="00580522"/>
    <w:rsid w:val="005B5864"/>
    <w:rsid w:val="006633C6"/>
    <w:rsid w:val="00680DE9"/>
    <w:rsid w:val="006D2582"/>
    <w:rsid w:val="006E2930"/>
    <w:rsid w:val="00772C9D"/>
    <w:rsid w:val="007C59E3"/>
    <w:rsid w:val="007D4C0C"/>
    <w:rsid w:val="007F41B8"/>
    <w:rsid w:val="0080055A"/>
    <w:rsid w:val="008439DC"/>
    <w:rsid w:val="008463F9"/>
    <w:rsid w:val="00852E35"/>
    <w:rsid w:val="00896CE7"/>
    <w:rsid w:val="008A1D27"/>
    <w:rsid w:val="008B6D6F"/>
    <w:rsid w:val="008C0300"/>
    <w:rsid w:val="008D3357"/>
    <w:rsid w:val="008F66B2"/>
    <w:rsid w:val="009215D7"/>
    <w:rsid w:val="00967322"/>
    <w:rsid w:val="00977223"/>
    <w:rsid w:val="009A287F"/>
    <w:rsid w:val="009A2B13"/>
    <w:rsid w:val="009B21B5"/>
    <w:rsid w:val="009B61FA"/>
    <w:rsid w:val="00A671A8"/>
    <w:rsid w:val="00A878B6"/>
    <w:rsid w:val="00AD3AF7"/>
    <w:rsid w:val="00B16C4B"/>
    <w:rsid w:val="00B312A6"/>
    <w:rsid w:val="00BB22CB"/>
    <w:rsid w:val="00C05074"/>
    <w:rsid w:val="00C07AA2"/>
    <w:rsid w:val="00C112B5"/>
    <w:rsid w:val="00C36161"/>
    <w:rsid w:val="00C36761"/>
    <w:rsid w:val="00C53E3E"/>
    <w:rsid w:val="00CB2179"/>
    <w:rsid w:val="00CD78C8"/>
    <w:rsid w:val="00D0614C"/>
    <w:rsid w:val="00D0672D"/>
    <w:rsid w:val="00D10BD6"/>
    <w:rsid w:val="00D21646"/>
    <w:rsid w:val="00D217A4"/>
    <w:rsid w:val="00D276F2"/>
    <w:rsid w:val="00D8787D"/>
    <w:rsid w:val="00DB4B7E"/>
    <w:rsid w:val="00DE1E14"/>
    <w:rsid w:val="00E0317C"/>
    <w:rsid w:val="00E0440D"/>
    <w:rsid w:val="00E22312"/>
    <w:rsid w:val="00E6259C"/>
    <w:rsid w:val="00EA5DDA"/>
    <w:rsid w:val="00EE4950"/>
    <w:rsid w:val="00EF1A9B"/>
    <w:rsid w:val="00F46A0E"/>
    <w:rsid w:val="00F533B1"/>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032422"/>
    <w:rPr>
      <w:b/>
      <w:bCs/>
      <w:caps/>
    </w:rPr>
  </w:style>
  <w:style w:type="paragraph" w:customStyle="1" w:styleId="DocketNumber">
    <w:name w:val="Docket Number"/>
    <w:basedOn w:val="Title"/>
    <w:link w:val="DocketNumberChar"/>
    <w:qFormat/>
    <w:rsid w:val="00032422"/>
    <w:pPr>
      <w:spacing w:before="0"/>
    </w:pPr>
    <w:rPr>
      <w:caps/>
      <w:szCs w:val="24"/>
    </w:rPr>
  </w:style>
  <w:style w:type="character" w:customStyle="1" w:styleId="DocketNumberChar">
    <w:name w:val="Docket Number Char"/>
    <w:basedOn w:val="DefaultParagraphFont"/>
    <w:link w:val="DocketNumber"/>
    <w:rsid w:val="00032422"/>
    <w:rPr>
      <w:b/>
      <w:caps/>
      <w:snapToGrid w:val="0"/>
      <w:sz w:val="24"/>
      <w:szCs w:val="24"/>
    </w:rPr>
  </w:style>
  <w:style w:type="paragraph" w:customStyle="1" w:styleId="OrderStyle">
    <w:name w:val="Order Style"/>
    <w:basedOn w:val="Normal"/>
    <w:link w:val="OrderStyleChar"/>
    <w:qFormat/>
    <w:rsid w:val="00032422"/>
    <w:rPr>
      <w:rFonts w:eastAsia="SimSun"/>
      <w:b/>
      <w:caps/>
      <w:snapToGrid/>
      <w:lang w:eastAsia="zh-TW"/>
    </w:rPr>
  </w:style>
  <w:style w:type="character" w:customStyle="1" w:styleId="OrderStyleChar">
    <w:name w:val="Order Style Char"/>
    <w:basedOn w:val="DefaultParagraphFont"/>
    <w:link w:val="OrderStyle"/>
    <w:rsid w:val="00032422"/>
    <w:rPr>
      <w:rFonts w:eastAsia="SimSun"/>
      <w:b/>
      <w:caps/>
      <w:sz w:val="24"/>
      <w:lang w:eastAsia="zh-TW"/>
    </w:rPr>
  </w:style>
  <w:style w:type="character" w:customStyle="1" w:styleId="HeaderChar">
    <w:name w:val="Header Char"/>
    <w:basedOn w:val="DefaultParagraphFont"/>
    <w:link w:val="Header"/>
    <w:rsid w:val="009B21B5"/>
    <w:rPr>
      <w:b/>
      <w:snapToGrid w:val="0"/>
    </w:rPr>
  </w:style>
  <w:style w:type="paragraph" w:styleId="BalloonText">
    <w:name w:val="Balloon Text"/>
    <w:basedOn w:val="Normal"/>
    <w:link w:val="BalloonTextChar"/>
    <w:semiHidden/>
    <w:unhideWhenUsed/>
    <w:rsid w:val="00EF1A9B"/>
    <w:rPr>
      <w:rFonts w:ascii="Segoe UI" w:hAnsi="Segoe UI" w:cs="Segoe UI"/>
      <w:sz w:val="18"/>
      <w:szCs w:val="18"/>
    </w:rPr>
  </w:style>
  <w:style w:type="character" w:customStyle="1" w:styleId="BalloonTextChar">
    <w:name w:val="Balloon Text Char"/>
    <w:basedOn w:val="DefaultParagraphFont"/>
    <w:link w:val="BalloonText"/>
    <w:semiHidden/>
    <w:rsid w:val="00EF1A9B"/>
    <w:rPr>
      <w:rFonts w:ascii="Segoe UI" w:hAnsi="Segoe UI" w:cs="Segoe U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5F0C6-5997-4DFE-BE0D-54439E669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2015-03-04T16:15:00Z</dcterms:created>
  <dcterms:modified xsi:type="dcterms:W3CDTF">2015-08-14T21:28:00Z</dcterms:modified>
</cp:coreProperties>
</file>