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D451DC" w:rsidRDefault="00D03613" w:rsidP="00ED299D">
      <w:pPr>
        <w:pStyle w:val="Docketnumber"/>
        <w:spacing w:after="360"/>
      </w:pPr>
      <w:bookmarkStart w:id="0" w:name="_GoBack"/>
      <w:bookmarkEnd w:id="0"/>
      <w:r>
        <w:t>PUC DOCKET NO. 42919</w:t>
      </w:r>
      <w:r>
        <w:br/>
        <w:t xml:space="preserve">SOAH DOCKET NO. </w:t>
      </w:r>
      <w:r w:rsidRPr="00053647">
        <w:rPr>
          <w:rFonts w:eastAsia="Times New Roman"/>
        </w:rPr>
        <w:t>473-15-0372.WS</w:t>
      </w:r>
    </w:p>
    <w:tbl>
      <w:tblPr>
        <w:tblStyle w:val="TableGrid"/>
        <w:tblW w:w="9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608"/>
        <w:gridCol w:w="360"/>
        <w:gridCol w:w="4392"/>
      </w:tblGrid>
      <w:tr w:rsidR="007572FC" w:rsidTr="009C1919">
        <w:tc>
          <w:tcPr>
            <w:tcW w:w="4608" w:type="dxa"/>
          </w:tcPr>
          <w:p w:rsidR="007572FC" w:rsidRDefault="00D03613" w:rsidP="008D6883">
            <w:pPr>
              <w:pStyle w:val="Docketstyle"/>
            </w:pPr>
            <w:r w:rsidRPr="00053647">
              <w:rPr>
                <w:rFonts w:eastAsia="Times New Roman"/>
              </w:rPr>
              <w:t>APPLICATION OF DOUBLE DIAMOND UTILITIES CO. FOR A WATER AND SEWER RATE/TARIFF CHANGE (37752-R AND 37753-R)</w:t>
            </w:r>
          </w:p>
        </w:tc>
        <w:tc>
          <w:tcPr>
            <w:tcW w:w="360" w:type="dxa"/>
          </w:tcPr>
          <w:p w:rsidR="007572FC" w:rsidRDefault="001E360C" w:rsidP="001E360C">
            <w:pPr>
              <w:pStyle w:val="Docketstyle"/>
            </w:pPr>
            <w:r>
              <w:t>§</w:t>
            </w:r>
          </w:p>
          <w:p w:rsidR="001E360C" w:rsidRDefault="001E360C" w:rsidP="001E360C">
            <w:pPr>
              <w:pStyle w:val="Docketstyle"/>
            </w:pPr>
            <w:r>
              <w:t>§</w:t>
            </w:r>
          </w:p>
          <w:p w:rsidR="001E360C" w:rsidRDefault="001E360C" w:rsidP="001E360C">
            <w:pPr>
              <w:pStyle w:val="Docketstyle"/>
            </w:pPr>
            <w:r>
              <w:t>§</w:t>
            </w:r>
            <w:r w:rsidR="00D03613">
              <w:t>§</w:t>
            </w:r>
          </w:p>
        </w:tc>
        <w:tc>
          <w:tcPr>
            <w:tcW w:w="4392" w:type="dxa"/>
          </w:tcPr>
          <w:p w:rsidR="007572FC" w:rsidRDefault="001E360C" w:rsidP="001E360C">
            <w:pPr>
              <w:pStyle w:val="DocketstylePUC"/>
            </w:pPr>
            <w:r>
              <w:t>PUBLIC UTILITY COMMISSION</w:t>
            </w:r>
          </w:p>
          <w:p w:rsidR="001E360C" w:rsidRDefault="001E360C" w:rsidP="001E360C">
            <w:pPr>
              <w:pStyle w:val="DocketstylePUC"/>
            </w:pPr>
          </w:p>
          <w:p w:rsidR="001E360C" w:rsidRDefault="001E360C" w:rsidP="001E360C">
            <w:pPr>
              <w:pStyle w:val="DocketstylePUC"/>
            </w:pPr>
            <w:r>
              <w:t>OF TEXAS</w:t>
            </w:r>
          </w:p>
        </w:tc>
      </w:tr>
    </w:tbl>
    <w:p w:rsidR="007572FC" w:rsidRDefault="00C54659" w:rsidP="008B5BE7">
      <w:pPr>
        <w:pStyle w:val="Titleoforder"/>
        <w:spacing w:before="360" w:after="240"/>
      </w:pPr>
      <w:r>
        <w:t xml:space="preserve"> ORDER</w:t>
      </w:r>
    </w:p>
    <w:p w:rsidR="00266F9F" w:rsidRDefault="00266F9F" w:rsidP="00266F9F">
      <w:pPr>
        <w:pStyle w:val="BodyText"/>
      </w:pPr>
      <w:r>
        <w:t>This Order address</w:t>
      </w:r>
      <w:r w:rsidR="001D4F4B">
        <w:t>es</w:t>
      </w:r>
      <w:r>
        <w:t xml:space="preserve"> the </w:t>
      </w:r>
      <w:r w:rsidR="005B328F">
        <w:t xml:space="preserve">application of Double Diamond Utilities Co. (Double Diamond) for a water and sewer rate/tariff change.  A stipulation and settlement agreement (agreement) was executed that resolves all issues </w:t>
      </w:r>
      <w:r w:rsidR="007346DE">
        <w:t xml:space="preserve">between the parties </w:t>
      </w:r>
      <w:r w:rsidR="005B328F">
        <w:t>in this proceeding.  Consistent with the agreement, Double Diamond’s application is approved.</w:t>
      </w:r>
    </w:p>
    <w:p w:rsidR="008D1724" w:rsidRDefault="008D1724" w:rsidP="00EE5DDA">
      <w:pPr>
        <w:pStyle w:val="BodyText"/>
      </w:pPr>
      <w:r>
        <w:t>The Commission adopts the following findings of fact and conclusions of law</w:t>
      </w:r>
      <w:r w:rsidR="00D03613">
        <w:t>:</w:t>
      </w:r>
    </w:p>
    <w:p w:rsidR="008D1724" w:rsidRPr="008D1724" w:rsidRDefault="00EE5DDA" w:rsidP="008B5BE7">
      <w:pPr>
        <w:pStyle w:val="Heading1"/>
      </w:pPr>
      <w:r>
        <w:t>Findings of Fact</w:t>
      </w:r>
    </w:p>
    <w:p w:rsidR="00D03613" w:rsidRPr="00053647" w:rsidRDefault="00D03613" w:rsidP="00D03613">
      <w:pPr>
        <w:pStyle w:val="Heading7"/>
      </w:pPr>
      <w:r w:rsidRPr="00053647">
        <w:t>Procedural History</w:t>
      </w:r>
    </w:p>
    <w:p w:rsidR="00ED299D" w:rsidRDefault="00D03613" w:rsidP="00D03613">
      <w:pPr>
        <w:pStyle w:val="FOFNumbered"/>
      </w:pPr>
      <w:r w:rsidRPr="00D03613">
        <w:t xml:space="preserve">On October 13, 2013, </w:t>
      </w:r>
      <w:r>
        <w:t>Double Diamond</w:t>
      </w:r>
      <w:r w:rsidRPr="00D03613">
        <w:t xml:space="preserve"> filed application</w:t>
      </w:r>
      <w:r w:rsidR="008D6883">
        <w:t>s</w:t>
      </w:r>
      <w:r w:rsidRPr="00D03613">
        <w:t xml:space="preserve"> </w:t>
      </w:r>
      <w:r w:rsidR="009809BF">
        <w:t>to</w:t>
      </w:r>
      <w:r>
        <w:t xml:space="preserve"> increase </w:t>
      </w:r>
      <w:r w:rsidRPr="00D03613">
        <w:t>water and sewer rates and change water and sewer tariffs</w:t>
      </w:r>
      <w:r w:rsidR="009809BF">
        <w:t xml:space="preserve"> for service provided at </w:t>
      </w:r>
      <w:r w:rsidR="00ED299D">
        <w:t>T</w:t>
      </w:r>
      <w:r w:rsidR="009809BF">
        <w:t>he Retreat</w:t>
      </w:r>
      <w:r w:rsidR="00F04021">
        <w:t xml:space="preserve"> Water Supply (</w:t>
      </w:r>
      <w:r w:rsidR="007D4569">
        <w:t xml:space="preserve">The </w:t>
      </w:r>
      <w:r w:rsidR="00F04021">
        <w:t>Retreat)</w:t>
      </w:r>
      <w:r w:rsidRPr="00D03613">
        <w:t xml:space="preserve">.  </w:t>
      </w:r>
    </w:p>
    <w:p w:rsidR="00F04021" w:rsidRDefault="00D03613" w:rsidP="00D03613">
      <w:pPr>
        <w:pStyle w:val="FOFNumbered"/>
      </w:pPr>
      <w:r w:rsidRPr="00D03613">
        <w:t>The Texas Commission on Environmental Quality (TCEQ) accepted the application</w:t>
      </w:r>
      <w:r w:rsidR="00ED299D">
        <w:t>s</w:t>
      </w:r>
      <w:r w:rsidRPr="00D03613">
        <w:t xml:space="preserve"> for filing on December 3, 2013, and designated </w:t>
      </w:r>
      <w:r w:rsidR="00ED299D">
        <w:t>them</w:t>
      </w:r>
      <w:r w:rsidRPr="00D03613">
        <w:t xml:space="preserve"> application Nos. 37752-R and 37753-R. </w:t>
      </w:r>
    </w:p>
    <w:p w:rsidR="00F04021" w:rsidRDefault="00F04021" w:rsidP="00D03613">
      <w:pPr>
        <w:pStyle w:val="FOFNumbered"/>
      </w:pPr>
      <w:r>
        <w:t xml:space="preserve">Double Diamond proposed a three-year phase in with increases effective January 1, 2014, 2015, and 2016 for an overall revenue increase of $84,926 for water and $90,410 for sewer.  Double Diamond proposed the following rate structure for </w:t>
      </w:r>
      <w:r w:rsidR="007D4569">
        <w:t>The</w:t>
      </w:r>
      <w:r>
        <w:t xml:space="preserve"> Retreat:</w:t>
      </w:r>
    </w:p>
    <w:p w:rsidR="00D03613" w:rsidRPr="00896A05" w:rsidRDefault="00F04021" w:rsidP="008B5BE7">
      <w:pPr>
        <w:pStyle w:val="FOFNumbered"/>
        <w:numPr>
          <w:ilvl w:val="0"/>
          <w:numId w:val="0"/>
        </w:numPr>
        <w:ind w:left="720"/>
        <w:jc w:val="center"/>
        <w:rPr>
          <w:b/>
          <w:sz w:val="28"/>
          <w:szCs w:val="28"/>
        </w:rPr>
      </w:pPr>
      <w:r w:rsidRPr="00896A05">
        <w:rPr>
          <w:b/>
          <w:sz w:val="28"/>
          <w:szCs w:val="28"/>
        </w:rPr>
        <w:t>Water Rates</w:t>
      </w:r>
    </w:p>
    <w:p w:rsidR="00F04021" w:rsidRDefault="00F04021" w:rsidP="00F04021">
      <w:pPr>
        <w:pStyle w:val="FOFNumbered"/>
        <w:numPr>
          <w:ilvl w:val="0"/>
          <w:numId w:val="0"/>
        </w:numPr>
        <w:tabs>
          <w:tab w:val="left" w:pos="3060"/>
        </w:tabs>
        <w:spacing w:before="0" w:line="240" w:lineRule="auto"/>
        <w:ind w:left="720"/>
        <w:jc w:val="left"/>
        <w:rPr>
          <w:b/>
        </w:rPr>
      </w:pPr>
      <w:r w:rsidRPr="00D042CD">
        <w:rPr>
          <w:b/>
          <w:u w:val="single"/>
        </w:rPr>
        <w:t>Effective Date</w:t>
      </w:r>
      <w:r>
        <w:rPr>
          <w:b/>
        </w:rPr>
        <w:tab/>
      </w:r>
      <w:r>
        <w:rPr>
          <w:b/>
        </w:rPr>
        <w:tab/>
      </w:r>
      <w:r w:rsidRPr="00C71E52">
        <w:rPr>
          <w:b/>
          <w:u w:val="single"/>
        </w:rPr>
        <w:t>Current</w:t>
      </w:r>
      <w:r>
        <w:rPr>
          <w:b/>
        </w:rPr>
        <w:tab/>
      </w:r>
      <w:r w:rsidR="00C71E52">
        <w:rPr>
          <w:b/>
        </w:rPr>
        <w:t xml:space="preserve">    </w:t>
      </w:r>
      <w:r w:rsidR="00DC4F9E">
        <w:rPr>
          <w:b/>
        </w:rPr>
        <w:t xml:space="preserve">  </w:t>
      </w:r>
      <w:r w:rsidRPr="00C71E52">
        <w:rPr>
          <w:b/>
          <w:u w:val="single"/>
        </w:rPr>
        <w:t>Year 1</w:t>
      </w:r>
      <w:r>
        <w:rPr>
          <w:b/>
        </w:rPr>
        <w:tab/>
        <w:t xml:space="preserve">        </w:t>
      </w:r>
      <w:r w:rsidR="00DC4F9E">
        <w:rPr>
          <w:b/>
        </w:rPr>
        <w:t xml:space="preserve"> </w:t>
      </w:r>
      <w:r w:rsidRPr="00C71E52">
        <w:rPr>
          <w:b/>
          <w:u w:val="single"/>
        </w:rPr>
        <w:t>Year 2</w:t>
      </w:r>
      <w:r>
        <w:rPr>
          <w:b/>
        </w:rPr>
        <w:tab/>
        <w:t xml:space="preserve">       </w:t>
      </w:r>
      <w:r w:rsidR="00C71E52">
        <w:rPr>
          <w:b/>
        </w:rPr>
        <w:t xml:space="preserve">   </w:t>
      </w:r>
      <w:r w:rsidRPr="00C71E52">
        <w:rPr>
          <w:b/>
          <w:u w:val="single"/>
        </w:rPr>
        <w:t>Year 3</w:t>
      </w:r>
    </w:p>
    <w:p w:rsidR="00F04021" w:rsidRDefault="00F04021" w:rsidP="00F04021">
      <w:pPr>
        <w:pStyle w:val="FOFNumbered"/>
        <w:numPr>
          <w:ilvl w:val="0"/>
          <w:numId w:val="0"/>
        </w:numPr>
        <w:tabs>
          <w:tab w:val="left" w:pos="3060"/>
        </w:tabs>
        <w:spacing w:before="0" w:line="240" w:lineRule="auto"/>
        <w:ind w:left="720"/>
        <w:jc w:val="left"/>
      </w:pPr>
      <w:r>
        <w:rPr>
          <w:b/>
        </w:rPr>
        <w:tab/>
      </w:r>
      <w:r>
        <w:rPr>
          <w:b/>
        </w:rPr>
        <w:tab/>
      </w:r>
      <w:r>
        <w:rPr>
          <w:b/>
        </w:rPr>
        <w:tab/>
      </w:r>
      <w:r>
        <w:rPr>
          <w:b/>
        </w:rPr>
        <w:tab/>
        <w:t xml:space="preserve">   </w:t>
      </w:r>
      <w:r w:rsidR="00DC4F9E">
        <w:rPr>
          <w:b/>
        </w:rPr>
        <w:t xml:space="preserve">  </w:t>
      </w:r>
      <w:r>
        <w:t>1/1/2014</w:t>
      </w:r>
      <w:r>
        <w:tab/>
        <w:t xml:space="preserve">       </w:t>
      </w:r>
      <w:r w:rsidR="00DC4F9E">
        <w:t xml:space="preserve"> </w:t>
      </w:r>
      <w:r>
        <w:t>1/1/2015</w:t>
      </w:r>
      <w:r>
        <w:tab/>
        <w:t xml:space="preserve">         1/1/2016</w:t>
      </w:r>
    </w:p>
    <w:p w:rsidR="00F04021" w:rsidRDefault="00F04021" w:rsidP="008B5BE7">
      <w:pPr>
        <w:pStyle w:val="FOFNumbered"/>
        <w:numPr>
          <w:ilvl w:val="0"/>
          <w:numId w:val="0"/>
        </w:numPr>
        <w:tabs>
          <w:tab w:val="left" w:pos="3060"/>
        </w:tabs>
        <w:spacing w:before="180" w:line="240" w:lineRule="auto"/>
        <w:ind w:left="720"/>
        <w:jc w:val="left"/>
      </w:pPr>
      <w:r>
        <w:t>Meter Charge (no gal</w:t>
      </w:r>
      <w:r w:rsidR="008B5BE7">
        <w:t>lons</w:t>
      </w:r>
      <w:r>
        <w:t xml:space="preserve"> in minimum bill)</w:t>
      </w:r>
    </w:p>
    <w:p w:rsidR="00F04021" w:rsidRDefault="00F04021" w:rsidP="00F04021">
      <w:pPr>
        <w:pStyle w:val="FOFNumbered"/>
        <w:numPr>
          <w:ilvl w:val="0"/>
          <w:numId w:val="0"/>
        </w:numPr>
        <w:tabs>
          <w:tab w:val="left" w:pos="3060"/>
          <w:tab w:val="left" w:pos="3690"/>
        </w:tabs>
        <w:spacing w:before="0" w:line="240" w:lineRule="auto"/>
        <w:ind w:left="720"/>
        <w:jc w:val="left"/>
      </w:pPr>
      <w:r>
        <w:t xml:space="preserve">     5/8” or ¾”</w:t>
      </w:r>
      <w:r w:rsidR="00C71E52">
        <w:tab/>
      </w:r>
      <w:r w:rsidR="00C71E52">
        <w:tab/>
        <w:t xml:space="preserve">$ </w:t>
      </w:r>
      <w:r>
        <w:t>39.00</w:t>
      </w:r>
      <w:r>
        <w:tab/>
        <w:t xml:space="preserve">      </w:t>
      </w:r>
      <w:r w:rsidR="00C71E52">
        <w:t xml:space="preserve">$ </w:t>
      </w:r>
      <w:r>
        <w:t>43.98</w:t>
      </w:r>
      <w:r>
        <w:tab/>
        <w:t xml:space="preserve">       </w:t>
      </w:r>
      <w:r w:rsidR="00C71E52">
        <w:t xml:space="preserve"> </w:t>
      </w:r>
      <w:proofErr w:type="gramStart"/>
      <w:r>
        <w:t>$</w:t>
      </w:r>
      <w:r w:rsidR="00C71E52">
        <w:t xml:space="preserve"> </w:t>
      </w:r>
      <w:r w:rsidR="00030906">
        <w:t xml:space="preserve"> </w:t>
      </w:r>
      <w:r>
        <w:t>49.60</w:t>
      </w:r>
      <w:proofErr w:type="gramEnd"/>
      <w:r>
        <w:tab/>
        <w:t xml:space="preserve">       </w:t>
      </w:r>
      <w:r w:rsidR="00C71E52">
        <w:t xml:space="preserve">   </w:t>
      </w:r>
      <w:r>
        <w:t>$</w:t>
      </w:r>
      <w:r w:rsidR="00C71E52">
        <w:t xml:space="preserve"> </w:t>
      </w:r>
      <w:r w:rsidR="00030906">
        <w:t xml:space="preserve"> </w:t>
      </w:r>
      <w:r>
        <w:t>55.94</w:t>
      </w:r>
    </w:p>
    <w:p w:rsidR="00C71E52" w:rsidRDefault="00F04021" w:rsidP="00F04021">
      <w:pPr>
        <w:pStyle w:val="FOFNumbered"/>
        <w:numPr>
          <w:ilvl w:val="0"/>
          <w:numId w:val="0"/>
        </w:numPr>
        <w:tabs>
          <w:tab w:val="left" w:pos="3060"/>
          <w:tab w:val="left" w:pos="3690"/>
        </w:tabs>
        <w:spacing w:before="0" w:line="240" w:lineRule="auto"/>
        <w:ind w:left="720"/>
        <w:jc w:val="left"/>
      </w:pPr>
      <w:r>
        <w:t xml:space="preserve">     1”</w:t>
      </w:r>
      <w:r>
        <w:tab/>
        <w:t xml:space="preserve">            </w:t>
      </w:r>
      <w:r w:rsidR="008B5BE7">
        <w:t xml:space="preserve"> </w:t>
      </w:r>
      <w:r>
        <w:t>97.50</w:t>
      </w:r>
      <w:r w:rsidR="00C71E52">
        <w:tab/>
        <w:t xml:space="preserve">       109.96</w:t>
      </w:r>
      <w:r w:rsidR="00C71E52">
        <w:tab/>
        <w:t xml:space="preserve">          124.01               139.86</w:t>
      </w:r>
    </w:p>
    <w:p w:rsidR="00F04021" w:rsidRDefault="00C71E52" w:rsidP="00F04021">
      <w:pPr>
        <w:pStyle w:val="FOFNumbered"/>
        <w:numPr>
          <w:ilvl w:val="0"/>
          <w:numId w:val="0"/>
        </w:numPr>
        <w:tabs>
          <w:tab w:val="left" w:pos="3060"/>
          <w:tab w:val="left" w:pos="3690"/>
        </w:tabs>
        <w:spacing w:before="0" w:line="240" w:lineRule="auto"/>
        <w:ind w:left="720"/>
        <w:jc w:val="left"/>
      </w:pPr>
      <w:r>
        <w:t xml:space="preserve">     1½”                                     </w:t>
      </w:r>
      <w:r w:rsidR="008B5BE7">
        <w:t xml:space="preserve"> </w:t>
      </w:r>
      <w:r>
        <w:t>195.00</w:t>
      </w:r>
      <w:r>
        <w:tab/>
        <w:t xml:space="preserve">       219.92 </w:t>
      </w:r>
      <w:r>
        <w:tab/>
        <w:t xml:space="preserve">          248.02</w:t>
      </w:r>
      <w:r>
        <w:tab/>
      </w:r>
      <w:r>
        <w:tab/>
        <w:t>279.72</w:t>
      </w:r>
    </w:p>
    <w:p w:rsidR="00C71E52" w:rsidRDefault="00C71E52" w:rsidP="00F04021">
      <w:pPr>
        <w:pStyle w:val="FOFNumbered"/>
        <w:numPr>
          <w:ilvl w:val="0"/>
          <w:numId w:val="0"/>
        </w:numPr>
        <w:tabs>
          <w:tab w:val="left" w:pos="3060"/>
          <w:tab w:val="left" w:pos="3690"/>
        </w:tabs>
        <w:spacing w:before="0" w:line="240" w:lineRule="auto"/>
        <w:ind w:left="720"/>
        <w:jc w:val="left"/>
      </w:pPr>
      <w:r>
        <w:t xml:space="preserve">     2”</w:t>
      </w:r>
      <w:r>
        <w:tab/>
        <w:t xml:space="preserve">           312.00</w:t>
      </w:r>
      <w:r>
        <w:tab/>
        <w:t xml:space="preserve">       351.87</w:t>
      </w:r>
      <w:r>
        <w:tab/>
        <w:t xml:space="preserve">          396.83</w:t>
      </w:r>
      <w:r>
        <w:tab/>
        <w:t xml:space="preserve">            447.55</w:t>
      </w:r>
    </w:p>
    <w:p w:rsidR="00C71E52" w:rsidRDefault="00C71E52" w:rsidP="00F04021">
      <w:pPr>
        <w:pStyle w:val="FOFNumbered"/>
        <w:numPr>
          <w:ilvl w:val="0"/>
          <w:numId w:val="0"/>
        </w:numPr>
        <w:tabs>
          <w:tab w:val="left" w:pos="3060"/>
          <w:tab w:val="left" w:pos="3690"/>
        </w:tabs>
        <w:spacing w:before="0" w:line="240" w:lineRule="auto"/>
        <w:ind w:left="720"/>
        <w:jc w:val="left"/>
      </w:pPr>
      <w:r>
        <w:t xml:space="preserve">     3”</w:t>
      </w:r>
      <w:r>
        <w:tab/>
        <w:t xml:space="preserve">           585.00</w:t>
      </w:r>
      <w:r>
        <w:tab/>
        <w:t xml:space="preserve">       659.76</w:t>
      </w:r>
      <w:r>
        <w:tab/>
        <w:t xml:space="preserve">          744.06</w:t>
      </w:r>
      <w:r>
        <w:tab/>
      </w:r>
      <w:r>
        <w:tab/>
        <w:t>839.15</w:t>
      </w:r>
    </w:p>
    <w:p w:rsidR="00C71E52" w:rsidRDefault="00C71E52" w:rsidP="002D5F4E">
      <w:pPr>
        <w:pStyle w:val="FOFNumbered"/>
        <w:numPr>
          <w:ilvl w:val="0"/>
          <w:numId w:val="0"/>
        </w:numPr>
        <w:tabs>
          <w:tab w:val="left" w:pos="3060"/>
          <w:tab w:val="left" w:pos="3690"/>
        </w:tabs>
        <w:spacing w:before="240" w:line="240" w:lineRule="auto"/>
        <w:ind w:left="720"/>
        <w:jc w:val="left"/>
      </w:pPr>
      <w:proofErr w:type="spellStart"/>
      <w:r>
        <w:lastRenderedPageBreak/>
        <w:t>Gallonage</w:t>
      </w:r>
      <w:proofErr w:type="spellEnd"/>
      <w:r>
        <w:t xml:space="preserve"> Charges (per 1,000 gallons)</w:t>
      </w:r>
      <w:r w:rsidR="00E3671E">
        <w:t>:</w:t>
      </w:r>
    </w:p>
    <w:p w:rsidR="00C71E52" w:rsidRDefault="002D5F4E" w:rsidP="00F04021">
      <w:pPr>
        <w:pStyle w:val="FOFNumbered"/>
        <w:numPr>
          <w:ilvl w:val="0"/>
          <w:numId w:val="0"/>
        </w:numPr>
        <w:tabs>
          <w:tab w:val="left" w:pos="3060"/>
          <w:tab w:val="left" w:pos="3690"/>
        </w:tabs>
        <w:spacing w:before="0" w:line="240" w:lineRule="auto"/>
        <w:ind w:left="720"/>
        <w:jc w:val="left"/>
      </w:pPr>
      <w:r>
        <w:t xml:space="preserve">   </w:t>
      </w:r>
      <w:r w:rsidR="00C71E52">
        <w:t>0-3,000</w:t>
      </w:r>
      <w:r w:rsidR="00C71E52">
        <w:tab/>
      </w:r>
      <w:r w:rsidR="00C71E52">
        <w:tab/>
        <w:t xml:space="preserve"> $ 2.00</w:t>
      </w:r>
      <w:r w:rsidR="00C71E52">
        <w:tab/>
        <w:t xml:space="preserve">     </w:t>
      </w:r>
      <w:r w:rsidR="002534C9">
        <w:t xml:space="preserve">  $ 2.26</w:t>
      </w:r>
      <w:r w:rsidR="002534C9">
        <w:tab/>
        <w:t xml:space="preserve">       $ 2.54</w:t>
      </w:r>
      <w:r w:rsidR="002534C9">
        <w:tab/>
        <w:t xml:space="preserve">        </w:t>
      </w:r>
      <w:proofErr w:type="gramStart"/>
      <w:r w:rsidR="00C71E52">
        <w:t xml:space="preserve">$ </w:t>
      </w:r>
      <w:r w:rsidR="002534C9">
        <w:t xml:space="preserve"> </w:t>
      </w:r>
      <w:r w:rsidR="00C71E52">
        <w:t>2.87</w:t>
      </w:r>
      <w:proofErr w:type="gramEnd"/>
    </w:p>
    <w:p w:rsidR="00C71E52" w:rsidRDefault="002D5F4E" w:rsidP="00F04021">
      <w:pPr>
        <w:pStyle w:val="FOFNumbered"/>
        <w:numPr>
          <w:ilvl w:val="0"/>
          <w:numId w:val="0"/>
        </w:numPr>
        <w:tabs>
          <w:tab w:val="left" w:pos="3060"/>
          <w:tab w:val="left" w:pos="3690"/>
        </w:tabs>
        <w:spacing w:before="0" w:line="240" w:lineRule="auto"/>
        <w:ind w:left="720"/>
        <w:jc w:val="left"/>
      </w:pPr>
      <w:r>
        <w:t xml:space="preserve">   </w:t>
      </w:r>
      <w:r w:rsidR="00C71E52">
        <w:t>3,001-10,000</w:t>
      </w:r>
      <w:r w:rsidR="00C71E52">
        <w:tab/>
      </w:r>
      <w:r w:rsidR="00C71E52">
        <w:tab/>
        <w:t xml:space="preserve">    2.75</w:t>
      </w:r>
      <w:r w:rsidR="00C71E52">
        <w:tab/>
        <w:t xml:space="preserve">          3.10</w:t>
      </w:r>
      <w:r w:rsidR="00C71E52">
        <w:tab/>
        <w:t xml:space="preserve">          3.50</w:t>
      </w:r>
      <w:r w:rsidR="00C71E52">
        <w:tab/>
      </w:r>
      <w:r w:rsidR="00C71E52">
        <w:tab/>
        <w:t>3.94</w:t>
      </w:r>
    </w:p>
    <w:p w:rsidR="00C71E52" w:rsidRDefault="002D5F4E" w:rsidP="00F04021">
      <w:pPr>
        <w:pStyle w:val="FOFNumbered"/>
        <w:numPr>
          <w:ilvl w:val="0"/>
          <w:numId w:val="0"/>
        </w:numPr>
        <w:tabs>
          <w:tab w:val="left" w:pos="3060"/>
          <w:tab w:val="left" w:pos="3690"/>
        </w:tabs>
        <w:spacing w:before="0" w:line="240" w:lineRule="auto"/>
        <w:ind w:left="720"/>
        <w:jc w:val="left"/>
      </w:pPr>
      <w:r>
        <w:t xml:space="preserve">   </w:t>
      </w:r>
      <w:r w:rsidR="00C71E52">
        <w:t>10,00</w:t>
      </w:r>
      <w:r w:rsidR="007F5A1F">
        <w:t>1</w:t>
      </w:r>
      <w:r w:rsidR="00C71E52">
        <w:t>-15,000</w:t>
      </w:r>
      <w:r w:rsidR="00C71E52">
        <w:tab/>
      </w:r>
      <w:r w:rsidR="00C71E52">
        <w:tab/>
        <w:t xml:space="preserve">    3.80</w:t>
      </w:r>
      <w:r w:rsidR="00C71E52">
        <w:tab/>
        <w:t xml:space="preserve">          4.29</w:t>
      </w:r>
      <w:r w:rsidR="00C71E52">
        <w:tab/>
        <w:t xml:space="preserve">          4.83</w:t>
      </w:r>
      <w:r w:rsidR="00C71E52">
        <w:tab/>
      </w:r>
      <w:r w:rsidR="00C71E52">
        <w:tab/>
        <w:t>5.45</w:t>
      </w:r>
    </w:p>
    <w:p w:rsidR="00C71E52" w:rsidRDefault="002D5F4E" w:rsidP="00F04021">
      <w:pPr>
        <w:pStyle w:val="FOFNumbered"/>
        <w:numPr>
          <w:ilvl w:val="0"/>
          <w:numId w:val="0"/>
        </w:numPr>
        <w:tabs>
          <w:tab w:val="left" w:pos="3060"/>
          <w:tab w:val="left" w:pos="3690"/>
        </w:tabs>
        <w:spacing w:before="0" w:line="240" w:lineRule="auto"/>
        <w:ind w:left="720"/>
        <w:jc w:val="left"/>
      </w:pPr>
      <w:r>
        <w:t xml:space="preserve">   </w:t>
      </w:r>
      <w:r w:rsidR="00C71E52">
        <w:t>15,001-20,000</w:t>
      </w:r>
      <w:r w:rsidR="00C71E52">
        <w:tab/>
      </w:r>
      <w:r w:rsidR="00C71E52">
        <w:tab/>
        <w:t xml:space="preserve">    5.25</w:t>
      </w:r>
      <w:r w:rsidR="002534C9">
        <w:tab/>
        <w:t xml:space="preserve">          5.92</w:t>
      </w:r>
      <w:r w:rsidR="002534C9">
        <w:tab/>
        <w:t xml:space="preserve">          6.68</w:t>
      </w:r>
      <w:r w:rsidR="002534C9">
        <w:tab/>
        <w:t xml:space="preserve">            </w:t>
      </w:r>
      <w:r w:rsidR="00C71E52">
        <w:t>7.53</w:t>
      </w:r>
    </w:p>
    <w:p w:rsidR="00C71E52" w:rsidRDefault="002D5F4E" w:rsidP="00F04021">
      <w:pPr>
        <w:pStyle w:val="FOFNumbered"/>
        <w:numPr>
          <w:ilvl w:val="0"/>
          <w:numId w:val="0"/>
        </w:numPr>
        <w:tabs>
          <w:tab w:val="left" w:pos="3060"/>
          <w:tab w:val="left" w:pos="3690"/>
        </w:tabs>
        <w:spacing w:before="0" w:line="240" w:lineRule="auto"/>
        <w:ind w:left="720"/>
        <w:jc w:val="left"/>
      </w:pPr>
      <w:r>
        <w:t xml:space="preserve">   </w:t>
      </w:r>
      <w:r w:rsidR="00C71E52">
        <w:t>20,001+</w:t>
      </w:r>
      <w:r w:rsidR="00C71E52">
        <w:tab/>
      </w:r>
      <w:r w:rsidR="00C71E52">
        <w:tab/>
        <w:t xml:space="preserve">    7.25</w:t>
      </w:r>
      <w:r w:rsidR="00C71E52">
        <w:tab/>
        <w:t xml:space="preserve">        </w:t>
      </w:r>
      <w:r w:rsidR="00014947">
        <w:t xml:space="preserve">  8.18</w:t>
      </w:r>
      <w:r w:rsidR="00014947">
        <w:tab/>
        <w:t xml:space="preserve">          9.22</w:t>
      </w:r>
      <w:r w:rsidR="00014947">
        <w:tab/>
        <w:t xml:space="preserve">         </w:t>
      </w:r>
      <w:r w:rsidR="00C71E52">
        <w:t xml:space="preserve"> 10.40</w:t>
      </w:r>
    </w:p>
    <w:p w:rsidR="009C4DCA" w:rsidRDefault="009C4DCA" w:rsidP="00F04021">
      <w:pPr>
        <w:pStyle w:val="FOFNumbered"/>
        <w:numPr>
          <w:ilvl w:val="0"/>
          <w:numId w:val="0"/>
        </w:numPr>
        <w:tabs>
          <w:tab w:val="left" w:pos="3060"/>
          <w:tab w:val="left" w:pos="3690"/>
        </w:tabs>
        <w:spacing w:before="0" w:line="240" w:lineRule="auto"/>
        <w:ind w:left="720"/>
        <w:jc w:val="left"/>
      </w:pPr>
    </w:p>
    <w:p w:rsidR="00870C7F" w:rsidRPr="00896A05" w:rsidRDefault="00870C7F" w:rsidP="00896A05">
      <w:pPr>
        <w:pStyle w:val="FOFNumbered"/>
        <w:numPr>
          <w:ilvl w:val="0"/>
          <w:numId w:val="0"/>
        </w:numPr>
        <w:spacing w:before="240"/>
        <w:ind w:left="720"/>
        <w:jc w:val="center"/>
        <w:rPr>
          <w:b/>
          <w:sz w:val="28"/>
          <w:szCs w:val="28"/>
        </w:rPr>
      </w:pPr>
      <w:r w:rsidRPr="00896A05">
        <w:rPr>
          <w:b/>
          <w:sz w:val="28"/>
          <w:szCs w:val="28"/>
        </w:rPr>
        <w:t>Sewer Rates</w:t>
      </w:r>
    </w:p>
    <w:p w:rsidR="00870C7F" w:rsidRDefault="00870C7F" w:rsidP="00896A05">
      <w:pPr>
        <w:pStyle w:val="FOFNumbered"/>
        <w:numPr>
          <w:ilvl w:val="0"/>
          <w:numId w:val="0"/>
        </w:numPr>
        <w:tabs>
          <w:tab w:val="left" w:pos="3060"/>
        </w:tabs>
        <w:spacing w:before="0" w:line="240" w:lineRule="auto"/>
        <w:ind w:left="720"/>
        <w:jc w:val="left"/>
        <w:rPr>
          <w:b/>
        </w:rPr>
      </w:pPr>
      <w:r w:rsidRPr="00D042CD">
        <w:rPr>
          <w:b/>
          <w:u w:val="single"/>
        </w:rPr>
        <w:t>Effective Date</w:t>
      </w:r>
      <w:r>
        <w:rPr>
          <w:b/>
        </w:rPr>
        <w:tab/>
      </w:r>
      <w:r>
        <w:rPr>
          <w:b/>
        </w:rPr>
        <w:tab/>
      </w:r>
      <w:r w:rsidRPr="00C71E52">
        <w:rPr>
          <w:b/>
          <w:u w:val="single"/>
        </w:rPr>
        <w:t>Current</w:t>
      </w:r>
      <w:r>
        <w:rPr>
          <w:b/>
        </w:rPr>
        <w:tab/>
        <w:t xml:space="preserve">   </w:t>
      </w:r>
      <w:r w:rsidR="006C6A0F">
        <w:rPr>
          <w:b/>
        </w:rPr>
        <w:t xml:space="preserve">  </w:t>
      </w:r>
      <w:r>
        <w:rPr>
          <w:b/>
        </w:rPr>
        <w:t xml:space="preserve"> </w:t>
      </w:r>
      <w:r w:rsidRPr="00C71E52">
        <w:rPr>
          <w:b/>
          <w:u w:val="single"/>
        </w:rPr>
        <w:t>Year 1</w:t>
      </w:r>
      <w:r>
        <w:rPr>
          <w:b/>
        </w:rPr>
        <w:tab/>
        <w:t xml:space="preserve">        </w:t>
      </w:r>
      <w:r w:rsidR="006C6A0F">
        <w:rPr>
          <w:b/>
        </w:rPr>
        <w:t xml:space="preserve"> </w:t>
      </w:r>
      <w:r w:rsidRPr="00C71E52">
        <w:rPr>
          <w:b/>
          <w:u w:val="single"/>
        </w:rPr>
        <w:t>Year 2</w:t>
      </w:r>
      <w:r>
        <w:rPr>
          <w:b/>
        </w:rPr>
        <w:tab/>
        <w:t xml:space="preserve">        </w:t>
      </w:r>
      <w:r w:rsidR="006C6A0F">
        <w:rPr>
          <w:b/>
        </w:rPr>
        <w:t xml:space="preserve"> </w:t>
      </w:r>
      <w:r>
        <w:rPr>
          <w:b/>
        </w:rPr>
        <w:t xml:space="preserve">  </w:t>
      </w:r>
      <w:r w:rsidRPr="00C71E52">
        <w:rPr>
          <w:b/>
          <w:u w:val="single"/>
        </w:rPr>
        <w:t>Year 3</w:t>
      </w:r>
    </w:p>
    <w:p w:rsidR="00870C7F" w:rsidRDefault="00870C7F" w:rsidP="00896A05">
      <w:pPr>
        <w:pStyle w:val="FOFNumbered"/>
        <w:numPr>
          <w:ilvl w:val="0"/>
          <w:numId w:val="0"/>
        </w:numPr>
        <w:tabs>
          <w:tab w:val="left" w:pos="3060"/>
        </w:tabs>
        <w:spacing w:before="0" w:line="240" w:lineRule="auto"/>
        <w:ind w:left="720"/>
        <w:jc w:val="left"/>
      </w:pPr>
      <w:r>
        <w:rPr>
          <w:b/>
        </w:rPr>
        <w:tab/>
      </w:r>
      <w:r>
        <w:rPr>
          <w:b/>
        </w:rPr>
        <w:tab/>
      </w:r>
      <w:r>
        <w:rPr>
          <w:b/>
        </w:rPr>
        <w:tab/>
      </w:r>
      <w:r>
        <w:rPr>
          <w:b/>
        </w:rPr>
        <w:tab/>
        <w:t xml:space="preserve">  </w:t>
      </w:r>
      <w:r w:rsidR="006C6A0F">
        <w:rPr>
          <w:b/>
        </w:rPr>
        <w:t xml:space="preserve"> </w:t>
      </w:r>
      <w:r>
        <w:rPr>
          <w:b/>
        </w:rPr>
        <w:t xml:space="preserve"> </w:t>
      </w:r>
      <w:r w:rsidR="00552697">
        <w:rPr>
          <w:b/>
        </w:rPr>
        <w:t xml:space="preserve"> </w:t>
      </w:r>
      <w:r>
        <w:t>1/1/2014</w:t>
      </w:r>
      <w:r>
        <w:tab/>
        <w:t xml:space="preserve">     </w:t>
      </w:r>
      <w:r w:rsidR="006C6A0F">
        <w:t xml:space="preserve"> </w:t>
      </w:r>
      <w:r>
        <w:t xml:space="preserve"> </w:t>
      </w:r>
      <w:r w:rsidR="00552697">
        <w:t xml:space="preserve"> </w:t>
      </w:r>
      <w:r>
        <w:t>1/1/2015</w:t>
      </w:r>
      <w:r>
        <w:tab/>
        <w:t xml:space="preserve">         1/1/2016</w:t>
      </w:r>
    </w:p>
    <w:p w:rsidR="00870C7F" w:rsidRDefault="00870C7F" w:rsidP="008B5BE7">
      <w:pPr>
        <w:pStyle w:val="FOFNumbered"/>
        <w:numPr>
          <w:ilvl w:val="0"/>
          <w:numId w:val="0"/>
        </w:numPr>
        <w:tabs>
          <w:tab w:val="left" w:pos="3060"/>
        </w:tabs>
        <w:spacing w:before="180" w:line="240" w:lineRule="auto"/>
        <w:ind w:left="720"/>
        <w:jc w:val="left"/>
      </w:pPr>
      <w:r>
        <w:t>Meter Charge (</w:t>
      </w:r>
      <w:r w:rsidR="00F60E6C">
        <w:t>3,000 gallons included</w:t>
      </w:r>
      <w:r>
        <w:t xml:space="preserve"> in minimum bill)</w:t>
      </w:r>
    </w:p>
    <w:p w:rsidR="00870C7F" w:rsidRDefault="00870C7F" w:rsidP="00896A05">
      <w:pPr>
        <w:pStyle w:val="FOFNumbered"/>
        <w:numPr>
          <w:ilvl w:val="0"/>
          <w:numId w:val="0"/>
        </w:numPr>
        <w:tabs>
          <w:tab w:val="left" w:pos="3060"/>
          <w:tab w:val="left" w:pos="3690"/>
        </w:tabs>
        <w:spacing w:before="0" w:line="240" w:lineRule="auto"/>
        <w:ind w:left="720"/>
        <w:jc w:val="left"/>
      </w:pPr>
      <w:r>
        <w:t xml:space="preserve">     5/8” or ¾”</w:t>
      </w:r>
      <w:r>
        <w:tab/>
        <w:t xml:space="preserve">         </w:t>
      </w:r>
      <w:proofErr w:type="gramStart"/>
      <w:r>
        <w:t xml:space="preserve">$ </w:t>
      </w:r>
      <w:r w:rsidR="00BA6A24">
        <w:t xml:space="preserve"> </w:t>
      </w:r>
      <w:r w:rsidR="00F60E6C">
        <w:t>48</w:t>
      </w:r>
      <w:r>
        <w:t>.00</w:t>
      </w:r>
      <w:proofErr w:type="gramEnd"/>
      <w:r>
        <w:tab/>
        <w:t xml:space="preserve">      $ </w:t>
      </w:r>
      <w:r w:rsidR="00F60E6C">
        <w:t>58</w:t>
      </w:r>
      <w:r>
        <w:t>.</w:t>
      </w:r>
      <w:r w:rsidR="00F60E6C">
        <w:t>93</w:t>
      </w:r>
      <w:r>
        <w:tab/>
      </w:r>
      <w:r w:rsidR="00F60E6C">
        <w:t xml:space="preserve">     </w:t>
      </w:r>
      <w:r>
        <w:t xml:space="preserve">$ </w:t>
      </w:r>
      <w:r w:rsidR="00F60E6C">
        <w:t xml:space="preserve">    72</w:t>
      </w:r>
      <w:r>
        <w:t>.</w:t>
      </w:r>
      <w:r w:rsidR="00F60E6C">
        <w:t>34</w:t>
      </w:r>
      <w:r>
        <w:tab/>
        <w:t xml:space="preserve">       </w:t>
      </w:r>
      <w:r w:rsidR="00F60E6C">
        <w:t xml:space="preserve">$    </w:t>
      </w:r>
      <w:r w:rsidR="00F2370E">
        <w:t xml:space="preserve"> </w:t>
      </w:r>
      <w:r w:rsidR="00F60E6C">
        <w:t>88.80</w:t>
      </w:r>
      <w:r>
        <w:t xml:space="preserve">  </w:t>
      </w:r>
      <w:r w:rsidR="00F60E6C">
        <w:t xml:space="preserve"> </w:t>
      </w:r>
    </w:p>
    <w:p w:rsidR="00870C7F" w:rsidRDefault="00870C7F" w:rsidP="00896A05">
      <w:pPr>
        <w:pStyle w:val="FOFNumbered"/>
        <w:numPr>
          <w:ilvl w:val="0"/>
          <w:numId w:val="0"/>
        </w:numPr>
        <w:tabs>
          <w:tab w:val="left" w:pos="3060"/>
          <w:tab w:val="left" w:pos="3690"/>
        </w:tabs>
        <w:spacing w:before="0" w:line="240" w:lineRule="auto"/>
        <w:ind w:left="720"/>
        <w:jc w:val="left"/>
      </w:pPr>
      <w:r>
        <w:t xml:space="preserve">     1”</w:t>
      </w:r>
      <w:r w:rsidR="00F60E6C">
        <w:tab/>
        <w:t xml:space="preserve">           120.00</w:t>
      </w:r>
      <w:r>
        <w:tab/>
        <w:t xml:space="preserve">       </w:t>
      </w:r>
      <w:r w:rsidR="00F60E6C">
        <w:t>147</w:t>
      </w:r>
      <w:r>
        <w:t>.</w:t>
      </w:r>
      <w:r w:rsidR="00F60E6C">
        <w:t>31</w:t>
      </w:r>
      <w:r>
        <w:tab/>
        <w:t xml:space="preserve">          </w:t>
      </w:r>
      <w:r w:rsidR="00F60E6C">
        <w:t>180</w:t>
      </w:r>
      <w:r>
        <w:t>.</w:t>
      </w:r>
      <w:r w:rsidR="00F60E6C">
        <w:t>84</w:t>
      </w:r>
      <w:r>
        <w:t xml:space="preserve">               </w:t>
      </w:r>
      <w:r w:rsidR="00F60E6C">
        <w:t>222</w:t>
      </w:r>
      <w:r>
        <w:t>.</w:t>
      </w:r>
      <w:r w:rsidR="00F60E6C">
        <w:t>00</w:t>
      </w:r>
    </w:p>
    <w:p w:rsidR="00870C7F" w:rsidRDefault="00870C7F" w:rsidP="00896A05">
      <w:pPr>
        <w:pStyle w:val="FOFNumbered"/>
        <w:numPr>
          <w:ilvl w:val="0"/>
          <w:numId w:val="0"/>
        </w:numPr>
        <w:tabs>
          <w:tab w:val="left" w:pos="3060"/>
          <w:tab w:val="left" w:pos="3690"/>
        </w:tabs>
        <w:spacing w:before="0" w:line="240" w:lineRule="auto"/>
        <w:ind w:left="720"/>
        <w:jc w:val="left"/>
      </w:pPr>
      <w:r>
        <w:t xml:space="preserve">     1½”                                     </w:t>
      </w:r>
      <w:r w:rsidR="008B5BE7">
        <w:t xml:space="preserve"> </w:t>
      </w:r>
      <w:r w:rsidR="00F60E6C">
        <w:t>240</w:t>
      </w:r>
      <w:r>
        <w:t>.00</w:t>
      </w:r>
      <w:r>
        <w:tab/>
        <w:t xml:space="preserve">       </w:t>
      </w:r>
      <w:r w:rsidR="00F60E6C">
        <w:t>294</w:t>
      </w:r>
      <w:r>
        <w:t>.</w:t>
      </w:r>
      <w:r w:rsidR="00F60E6C">
        <w:t>63</w:t>
      </w:r>
      <w:r>
        <w:t xml:space="preserve"> </w:t>
      </w:r>
      <w:r>
        <w:tab/>
        <w:t xml:space="preserve">          </w:t>
      </w:r>
      <w:r w:rsidR="00F60E6C">
        <w:t>361</w:t>
      </w:r>
      <w:r>
        <w:t>.</w:t>
      </w:r>
      <w:r w:rsidR="00F60E6C">
        <w:t>88</w:t>
      </w:r>
      <w:r>
        <w:tab/>
      </w:r>
      <w:r>
        <w:tab/>
      </w:r>
      <w:r w:rsidR="00F60E6C">
        <w:t>444</w:t>
      </w:r>
      <w:r>
        <w:t>.</w:t>
      </w:r>
      <w:r w:rsidR="00F60E6C">
        <w:t>00</w:t>
      </w:r>
    </w:p>
    <w:p w:rsidR="00870C7F" w:rsidRDefault="00870C7F" w:rsidP="00896A05">
      <w:pPr>
        <w:pStyle w:val="FOFNumbered"/>
        <w:numPr>
          <w:ilvl w:val="0"/>
          <w:numId w:val="0"/>
        </w:numPr>
        <w:tabs>
          <w:tab w:val="left" w:pos="3060"/>
          <w:tab w:val="left" w:pos="3690"/>
        </w:tabs>
        <w:spacing w:before="0" w:line="240" w:lineRule="auto"/>
        <w:ind w:left="720"/>
        <w:jc w:val="left"/>
      </w:pPr>
      <w:r>
        <w:t xml:space="preserve">     2”</w:t>
      </w:r>
      <w:r>
        <w:tab/>
        <w:t xml:space="preserve">           </w:t>
      </w:r>
      <w:r w:rsidR="00F60E6C">
        <w:t>384</w:t>
      </w:r>
      <w:r>
        <w:t>.00</w:t>
      </w:r>
      <w:r>
        <w:tab/>
        <w:t xml:space="preserve">       </w:t>
      </w:r>
      <w:r w:rsidR="00F60E6C">
        <w:t>471</w:t>
      </w:r>
      <w:r>
        <w:t>.</w:t>
      </w:r>
      <w:r w:rsidR="00F60E6C">
        <w:t>40</w:t>
      </w:r>
      <w:r>
        <w:tab/>
        <w:t xml:space="preserve">          </w:t>
      </w:r>
      <w:r w:rsidR="00F60E6C">
        <w:t>578</w:t>
      </w:r>
      <w:r>
        <w:t>.</w:t>
      </w:r>
      <w:r w:rsidR="00F60E6C">
        <w:t>69</w:t>
      </w:r>
      <w:r>
        <w:tab/>
        <w:t xml:space="preserve">            </w:t>
      </w:r>
      <w:r w:rsidR="00F60E6C">
        <w:t>710</w:t>
      </w:r>
      <w:r>
        <w:t>.</w:t>
      </w:r>
      <w:r w:rsidR="00F60E6C">
        <w:t>41</w:t>
      </w:r>
    </w:p>
    <w:p w:rsidR="00870C7F" w:rsidRDefault="00870C7F" w:rsidP="00896A05">
      <w:pPr>
        <w:pStyle w:val="FOFNumbered"/>
        <w:numPr>
          <w:ilvl w:val="0"/>
          <w:numId w:val="0"/>
        </w:numPr>
        <w:tabs>
          <w:tab w:val="left" w:pos="3060"/>
          <w:tab w:val="left" w:pos="3690"/>
        </w:tabs>
        <w:spacing w:before="0" w:line="240" w:lineRule="auto"/>
        <w:ind w:left="720"/>
        <w:jc w:val="left"/>
      </w:pPr>
      <w:r>
        <w:t xml:space="preserve">     3”</w:t>
      </w:r>
      <w:r>
        <w:tab/>
        <w:t xml:space="preserve">           </w:t>
      </w:r>
      <w:r w:rsidR="00F60E6C">
        <w:t>720</w:t>
      </w:r>
      <w:r>
        <w:t>.00</w:t>
      </w:r>
      <w:r>
        <w:tab/>
        <w:t xml:space="preserve">       </w:t>
      </w:r>
      <w:r w:rsidR="00F60E6C">
        <w:t>883</w:t>
      </w:r>
      <w:r>
        <w:t>.</w:t>
      </w:r>
      <w:r w:rsidR="00F60E6C">
        <w:t>88</w:t>
      </w:r>
      <w:r w:rsidR="00F60E6C">
        <w:tab/>
        <w:t xml:space="preserve">       1,085.05</w:t>
      </w:r>
      <w:r w:rsidR="00F60E6C">
        <w:tab/>
        <w:t xml:space="preserve">         1,332.01</w:t>
      </w:r>
    </w:p>
    <w:p w:rsidR="00870C7F" w:rsidRDefault="00870C7F" w:rsidP="00896A05">
      <w:pPr>
        <w:pStyle w:val="FOFNumbered"/>
        <w:numPr>
          <w:ilvl w:val="0"/>
          <w:numId w:val="0"/>
        </w:numPr>
        <w:tabs>
          <w:tab w:val="left" w:pos="3060"/>
          <w:tab w:val="left" w:pos="3690"/>
        </w:tabs>
        <w:spacing w:before="240" w:line="240" w:lineRule="auto"/>
        <w:ind w:left="720"/>
        <w:jc w:val="left"/>
      </w:pPr>
      <w:proofErr w:type="spellStart"/>
      <w:r>
        <w:t>Gallonage</w:t>
      </w:r>
      <w:proofErr w:type="spellEnd"/>
      <w:r>
        <w:t xml:space="preserve"> Charges (per 1,000 gallons)</w:t>
      </w:r>
      <w:r w:rsidR="00E3671E">
        <w:t>:</w:t>
      </w:r>
    </w:p>
    <w:p w:rsidR="00870C7F" w:rsidRDefault="002D5F4E" w:rsidP="00896A05">
      <w:pPr>
        <w:pStyle w:val="FOFNumbered"/>
        <w:numPr>
          <w:ilvl w:val="0"/>
          <w:numId w:val="0"/>
        </w:numPr>
        <w:tabs>
          <w:tab w:val="left" w:pos="3060"/>
          <w:tab w:val="left" w:pos="3690"/>
        </w:tabs>
        <w:spacing w:before="0" w:line="240" w:lineRule="auto"/>
        <w:ind w:left="720"/>
        <w:jc w:val="left"/>
      </w:pPr>
      <w:r>
        <w:t xml:space="preserve">   </w:t>
      </w:r>
      <w:r w:rsidR="00EA5639">
        <w:t xml:space="preserve">  </w:t>
      </w:r>
      <w:r w:rsidR="00870C7F">
        <w:t>3,000</w:t>
      </w:r>
      <w:r w:rsidR="00EA5639">
        <w:t>+</w:t>
      </w:r>
      <w:r w:rsidR="00870C7F">
        <w:tab/>
      </w:r>
      <w:r w:rsidR="00870C7F">
        <w:tab/>
        <w:t xml:space="preserve"> </w:t>
      </w:r>
      <w:proofErr w:type="gramStart"/>
      <w:r w:rsidR="005A1DB2">
        <w:t>$  8.00</w:t>
      </w:r>
      <w:proofErr w:type="gramEnd"/>
      <w:r w:rsidR="00870C7F">
        <w:tab/>
        <w:t xml:space="preserve">       $ </w:t>
      </w:r>
      <w:r w:rsidR="007F1383">
        <w:t xml:space="preserve"> </w:t>
      </w:r>
      <w:r w:rsidR="00EA5639">
        <w:t>9.82</w:t>
      </w:r>
      <w:r w:rsidR="00EA5639">
        <w:tab/>
        <w:t xml:space="preserve">       $</w:t>
      </w:r>
      <w:r w:rsidR="007F1383">
        <w:t xml:space="preserve">   </w:t>
      </w:r>
      <w:r w:rsidR="00EA5639">
        <w:t>12.06</w:t>
      </w:r>
      <w:r w:rsidR="00870C7F">
        <w:tab/>
        <w:t xml:space="preserve">         $</w:t>
      </w:r>
      <w:r w:rsidR="007F1383">
        <w:t xml:space="preserve">   </w:t>
      </w:r>
      <w:r w:rsidR="00EA5639">
        <w:t>14.80</w:t>
      </w:r>
    </w:p>
    <w:p w:rsidR="00870C7F" w:rsidRDefault="002D5F4E" w:rsidP="00EA5639">
      <w:pPr>
        <w:pStyle w:val="FOFNumbered"/>
        <w:numPr>
          <w:ilvl w:val="0"/>
          <w:numId w:val="0"/>
        </w:numPr>
        <w:tabs>
          <w:tab w:val="left" w:pos="3060"/>
          <w:tab w:val="left" w:pos="3690"/>
        </w:tabs>
        <w:spacing w:before="0" w:line="240" w:lineRule="auto"/>
        <w:ind w:left="720"/>
        <w:jc w:val="left"/>
      </w:pPr>
      <w:r>
        <w:t xml:space="preserve">   </w:t>
      </w:r>
    </w:p>
    <w:p w:rsidR="00ED299D" w:rsidRDefault="00ED299D" w:rsidP="00ED299D">
      <w:pPr>
        <w:pStyle w:val="FOFNumbered"/>
        <w:numPr>
          <w:ilvl w:val="0"/>
          <w:numId w:val="0"/>
        </w:numPr>
        <w:tabs>
          <w:tab w:val="left" w:pos="3060"/>
          <w:tab w:val="left" w:pos="3690"/>
        </w:tabs>
        <w:spacing w:before="0" w:after="120"/>
      </w:pPr>
      <w:r>
        <w:t xml:space="preserve">The only </w:t>
      </w:r>
      <w:r w:rsidR="007346DE">
        <w:t>m</w:t>
      </w:r>
      <w:r>
        <w:t xml:space="preserve">iscellaneous </w:t>
      </w:r>
      <w:r w:rsidR="007346DE">
        <w:t>f</w:t>
      </w:r>
      <w:r>
        <w:t xml:space="preserve">ee increase is the </w:t>
      </w:r>
      <w:r w:rsidR="007346DE">
        <w:t>r</w:t>
      </w:r>
      <w:r>
        <w:t xml:space="preserve">eturned </w:t>
      </w:r>
      <w:r w:rsidR="007346DE">
        <w:t>c</w:t>
      </w:r>
      <w:r>
        <w:t xml:space="preserve">heck </w:t>
      </w:r>
      <w:r w:rsidR="007346DE">
        <w:t>c</w:t>
      </w:r>
      <w:r>
        <w:t xml:space="preserve">harge on the </w:t>
      </w:r>
      <w:r w:rsidR="007346DE">
        <w:t>s</w:t>
      </w:r>
      <w:r>
        <w:t xml:space="preserve">ewer </w:t>
      </w:r>
      <w:r w:rsidR="007346DE">
        <w:t>t</w:t>
      </w:r>
      <w:r>
        <w:t xml:space="preserve">ariff which </w:t>
      </w:r>
      <w:r w:rsidR="008B145C">
        <w:t>changed</w:t>
      </w:r>
      <w:r>
        <w:t xml:space="preserve"> from $20 to $30.</w:t>
      </w:r>
    </w:p>
    <w:p w:rsidR="00D03613" w:rsidRPr="00D03613" w:rsidRDefault="00D03613" w:rsidP="00ED299D">
      <w:pPr>
        <w:pStyle w:val="FOFNumbered"/>
        <w:spacing w:before="240"/>
      </w:pPr>
      <w:r w:rsidRPr="00D03613">
        <w:t>The application</w:t>
      </w:r>
      <w:r w:rsidR="008D6883">
        <w:t>s</w:t>
      </w:r>
      <w:r w:rsidRPr="00D03613">
        <w:t xml:space="preserve"> </w:t>
      </w:r>
      <w:r w:rsidR="008D6883">
        <w:t>were</w:t>
      </w:r>
      <w:r w:rsidRPr="00D03613">
        <w:t xml:space="preserve"> assigned TCEQ Docket No. 2014-0619-UCR. The deadline for customer protests was April 1, 2014.  </w:t>
      </w:r>
    </w:p>
    <w:p w:rsidR="00D03613" w:rsidRPr="00D03613" w:rsidRDefault="00D03613" w:rsidP="00D03613">
      <w:pPr>
        <w:pStyle w:val="FOFNumbered"/>
      </w:pPr>
      <w:r w:rsidRPr="00D03613">
        <w:t xml:space="preserve">Out of </w:t>
      </w:r>
      <w:r>
        <w:t>Double Diamond’s</w:t>
      </w:r>
      <w:r w:rsidRPr="00D03613">
        <w:t xml:space="preserve"> 86 customers, more than 10% timely filed protests to the application. </w:t>
      </w:r>
      <w:r>
        <w:t xml:space="preserve"> </w:t>
      </w:r>
      <w:r w:rsidRPr="00D03613">
        <w:t xml:space="preserve">Because at least </w:t>
      </w:r>
      <w:r>
        <w:t>10%</w:t>
      </w:r>
      <w:r w:rsidRPr="00D03613">
        <w:t xml:space="preserve"> of affected ratepayers protested the proposed rate</w:t>
      </w:r>
      <w:r w:rsidR="008D6883">
        <w:t>s</w:t>
      </w:r>
      <w:r w:rsidRPr="00D03613">
        <w:t xml:space="preserve"> in accordance with 16 </w:t>
      </w:r>
      <w:r>
        <w:t xml:space="preserve">Texas Administrative Code </w:t>
      </w:r>
      <w:r w:rsidRPr="00D03613">
        <w:t>§ 24.27(c)</w:t>
      </w:r>
      <w:r>
        <w:t xml:space="preserve"> (TAC)</w:t>
      </w:r>
      <w:r w:rsidRPr="00D03613">
        <w:t xml:space="preserve">, TCEQ staff referred this case to the State Office of Administrative Hearings (SOAH) on May 22, 2014.  A prehearing conference was never held </w:t>
      </w:r>
      <w:r w:rsidR="00D01B00">
        <w:t>in accordance with</w:t>
      </w:r>
      <w:r w:rsidRPr="00D03613">
        <w:t xml:space="preserve"> TCEQ’s referral.</w:t>
      </w:r>
    </w:p>
    <w:p w:rsidR="008D6883" w:rsidRDefault="00D03613" w:rsidP="00D03613">
      <w:pPr>
        <w:pStyle w:val="FOFNumbered"/>
      </w:pPr>
      <w:r w:rsidRPr="00D03613">
        <w:t>On September 1, 2014, the Commission began the economic regulati</w:t>
      </w:r>
      <w:r w:rsidR="007C29F9">
        <w:t>on of water and sewer utilities</w:t>
      </w:r>
      <w:r w:rsidRPr="00D03613">
        <w:t xml:space="preserve"> and </w:t>
      </w:r>
      <w:r w:rsidR="008D6883">
        <w:t>the applications were</w:t>
      </w:r>
      <w:r w:rsidRPr="00D03613">
        <w:t xml:space="preserve"> transferred to the Commission. </w:t>
      </w:r>
    </w:p>
    <w:p w:rsidR="008D6883" w:rsidRDefault="008D6883" w:rsidP="00D03613">
      <w:pPr>
        <w:pStyle w:val="FOFNumbered"/>
      </w:pPr>
      <w:r>
        <w:t>Upon transfer to the Commission, the applications were assigned control numbers 42919 and 42920.  In Order No. 2, issued on September 23, 2014, the two cases were consolidated into Docket No. 42919 to allow for more efficient processing.</w:t>
      </w:r>
      <w:r w:rsidR="00D03613" w:rsidRPr="00D03613">
        <w:t xml:space="preserve"> </w:t>
      </w:r>
    </w:p>
    <w:p w:rsidR="00D03613" w:rsidRPr="00D03613" w:rsidRDefault="00D03613" w:rsidP="00D03613">
      <w:pPr>
        <w:pStyle w:val="FOFNumbered"/>
      </w:pPr>
      <w:r w:rsidRPr="00D03613">
        <w:lastRenderedPageBreak/>
        <w:t>On September 24, 2014, the Commission issued an order of referral to SOAH requesting the assignment of a</w:t>
      </w:r>
      <w:r w:rsidR="007C29F9">
        <w:t>n</w:t>
      </w:r>
      <w:r w:rsidRPr="00D03613">
        <w:t xml:space="preserve"> </w:t>
      </w:r>
      <w:r w:rsidR="007C29F9" w:rsidRPr="00D03613">
        <w:t xml:space="preserve">administrative law judge </w:t>
      </w:r>
      <w:r w:rsidRPr="00D03613">
        <w:t>to conduct a hearing</w:t>
      </w:r>
      <w:r w:rsidR="007C29F9">
        <w:t xml:space="preserve"> and requested that the parties </w:t>
      </w:r>
      <w:r w:rsidRPr="00D03613">
        <w:t xml:space="preserve">submit a list of issues. </w:t>
      </w:r>
    </w:p>
    <w:p w:rsidR="00D03613" w:rsidRPr="00D03613" w:rsidRDefault="00D03613" w:rsidP="00D03613">
      <w:pPr>
        <w:pStyle w:val="FOFNumbered"/>
      </w:pPr>
      <w:r w:rsidRPr="00D03613">
        <w:t xml:space="preserve">On September 26, 2014, </w:t>
      </w:r>
      <w:r w:rsidR="00594CBE">
        <w:t>Double Diamond</w:t>
      </w:r>
      <w:r w:rsidRPr="00D03613">
        <w:t xml:space="preserve"> filed a notice of settlement and petition for withdrawal of protests and motion for remand.  </w:t>
      </w:r>
      <w:r w:rsidR="00594CBE">
        <w:t>Double Diamond’s</w:t>
      </w:r>
      <w:r w:rsidRPr="00D03613">
        <w:t xml:space="preserve"> motion revealed that in June 2014, all but five of the customers who initially protested </w:t>
      </w:r>
      <w:r w:rsidR="00594CBE">
        <w:t>Double Diamond’s</w:t>
      </w:r>
      <w:r w:rsidR="00594CBE" w:rsidRPr="00D03613">
        <w:t xml:space="preserve"> </w:t>
      </w:r>
      <w:r w:rsidRPr="00D03613">
        <w:t xml:space="preserve">rates withdrew their protests and settled with the utility. </w:t>
      </w:r>
      <w:r w:rsidR="00594CBE">
        <w:t xml:space="preserve"> </w:t>
      </w:r>
      <w:r w:rsidRPr="00D03613">
        <w:t xml:space="preserve">Therefore, </w:t>
      </w:r>
      <w:r w:rsidR="00594CBE">
        <w:t>Double Diamond’s</w:t>
      </w:r>
      <w:r w:rsidR="00594CBE" w:rsidRPr="00D03613">
        <w:t xml:space="preserve"> </w:t>
      </w:r>
      <w:r w:rsidRPr="00D03613">
        <w:t xml:space="preserve">proposed rates were no longer protested by </w:t>
      </w:r>
      <w:r w:rsidR="00594CBE">
        <w:t>10%</w:t>
      </w:r>
      <w:r w:rsidRPr="00D03613">
        <w:t xml:space="preserve"> or more of affected ratepayers. </w:t>
      </w:r>
    </w:p>
    <w:p w:rsidR="00D03613" w:rsidRPr="00D03613" w:rsidRDefault="00D03613" w:rsidP="00D03613">
      <w:pPr>
        <w:pStyle w:val="FOFNumbered"/>
      </w:pPr>
      <w:r w:rsidRPr="00D03613">
        <w:t xml:space="preserve">On October 2, 2014, </w:t>
      </w:r>
      <w:r w:rsidR="00594CBE">
        <w:t xml:space="preserve">Commission </w:t>
      </w:r>
      <w:r w:rsidRPr="00D03613">
        <w:t xml:space="preserve">Staff filed a list of issues. </w:t>
      </w:r>
    </w:p>
    <w:p w:rsidR="00D03613" w:rsidRPr="00D03613" w:rsidRDefault="00D03613" w:rsidP="00D03613">
      <w:pPr>
        <w:pStyle w:val="FOFNumbered"/>
      </w:pPr>
      <w:r w:rsidRPr="00D03613">
        <w:t xml:space="preserve">On October 2, 2014, </w:t>
      </w:r>
      <w:r w:rsidR="00594CBE">
        <w:t>Double Diamond</w:t>
      </w:r>
      <w:r w:rsidRPr="00D03613">
        <w:t xml:space="preserve"> filed a joint motion to abate and remand with a settlement agreement and withdrawal letters attached. </w:t>
      </w:r>
      <w:r w:rsidR="00594CBE">
        <w:t xml:space="preserve">Commission </w:t>
      </w:r>
      <w:r w:rsidRPr="00D03613">
        <w:t xml:space="preserve">Staff was not a party to the settlement agreement or the motion to remand. </w:t>
      </w:r>
    </w:p>
    <w:p w:rsidR="00D03613" w:rsidRPr="00D03613" w:rsidRDefault="00D03613" w:rsidP="00D03613">
      <w:pPr>
        <w:pStyle w:val="FOFNumbered"/>
      </w:pPr>
      <w:r w:rsidRPr="00D03613">
        <w:t xml:space="preserve">On October 6, 2014, SOAH </w:t>
      </w:r>
      <w:r w:rsidR="00594CBE">
        <w:t xml:space="preserve">issued </w:t>
      </w:r>
      <w:r w:rsidRPr="00D03613">
        <w:t>Order No. 2</w:t>
      </w:r>
      <w:r w:rsidR="00594CBE">
        <w:t>,</w:t>
      </w:r>
      <w:r w:rsidRPr="00D03613">
        <w:t xml:space="preserve"> </w:t>
      </w:r>
      <w:r w:rsidR="00594CBE">
        <w:t>remanding the case to the Commission and dismissing the SOAH docket.</w:t>
      </w:r>
      <w:r w:rsidRPr="00D03613">
        <w:t xml:space="preserve"> </w:t>
      </w:r>
    </w:p>
    <w:p w:rsidR="00D03613" w:rsidRPr="00D03613" w:rsidRDefault="00D03613" w:rsidP="00D03613">
      <w:pPr>
        <w:pStyle w:val="FOFNumbered"/>
      </w:pPr>
      <w:r w:rsidRPr="00D03613">
        <w:t xml:space="preserve">On October 6, 2014, </w:t>
      </w:r>
      <w:r w:rsidR="005A636C">
        <w:t xml:space="preserve">Commission </w:t>
      </w:r>
      <w:r w:rsidRPr="00D03613">
        <w:t xml:space="preserve">Staff filed a motion </w:t>
      </w:r>
      <w:r w:rsidR="005A636C">
        <w:t>to reconsider</w:t>
      </w:r>
      <w:r w:rsidRPr="00D03613">
        <w:t xml:space="preserve"> SOAH Order No. 2, requesting that the case be abated and not remanded to the Commission </w:t>
      </w:r>
      <w:r w:rsidR="005A636C">
        <w:t xml:space="preserve">in order </w:t>
      </w:r>
      <w:r w:rsidRPr="00D03613">
        <w:t xml:space="preserve">to allow </w:t>
      </w:r>
      <w:r w:rsidR="005A636C">
        <w:t xml:space="preserve">Commission </w:t>
      </w:r>
      <w:r w:rsidRPr="00D03613">
        <w:t xml:space="preserve">Staff time to review the settlement agreement before SOAH relinquished its jurisdiction. </w:t>
      </w:r>
      <w:r w:rsidR="005A636C">
        <w:t xml:space="preserve">Commission Staff’s motion was granted by </w:t>
      </w:r>
      <w:r w:rsidRPr="00D03613">
        <w:t xml:space="preserve">SOAH Order No. 3 </w:t>
      </w:r>
      <w:r w:rsidR="005A636C">
        <w:t>on October 9, 2014</w:t>
      </w:r>
      <w:r w:rsidRPr="00D03613">
        <w:t xml:space="preserve">. </w:t>
      </w:r>
    </w:p>
    <w:p w:rsidR="00D03613" w:rsidRPr="00D03613" w:rsidRDefault="00D03613" w:rsidP="00D03613">
      <w:pPr>
        <w:pStyle w:val="FOFNumbered"/>
      </w:pPr>
      <w:r w:rsidRPr="00D03613">
        <w:t xml:space="preserve">On October 9, 2014, the Commission notified the parties that it would not consider a preliminary order </w:t>
      </w:r>
      <w:r w:rsidR="005A636C">
        <w:t>regarding</w:t>
      </w:r>
      <w:r w:rsidRPr="00D03613">
        <w:t xml:space="preserve"> this matter at the October 17, 2014 </w:t>
      </w:r>
      <w:r w:rsidR="005A636C" w:rsidRPr="00D03613">
        <w:t>open meeting</w:t>
      </w:r>
      <w:r w:rsidRPr="00D03613">
        <w:t xml:space="preserve">, but would consider a preliminary order in the future if one was needed. </w:t>
      </w:r>
      <w:r w:rsidR="005A636C">
        <w:t xml:space="preserve"> </w:t>
      </w:r>
      <w:r w:rsidRPr="00D03613">
        <w:t xml:space="preserve">Subsequent to SOAH Order No. 3, </w:t>
      </w:r>
      <w:r w:rsidR="005A636C">
        <w:t xml:space="preserve">Commission </w:t>
      </w:r>
      <w:r w:rsidRPr="00D03613">
        <w:t xml:space="preserve">Staff communicated with </w:t>
      </w:r>
      <w:r w:rsidR="005A636C">
        <w:t>Double Diamond</w:t>
      </w:r>
      <w:r w:rsidRPr="00D03613">
        <w:t xml:space="preserve"> to determine </w:t>
      </w:r>
      <w:r w:rsidR="005A636C">
        <w:t xml:space="preserve">development of </w:t>
      </w:r>
      <w:r w:rsidRPr="00D03613">
        <w:t xml:space="preserve">a </w:t>
      </w:r>
      <w:r w:rsidR="00CB29A0">
        <w:t>proposed final</w:t>
      </w:r>
      <w:r w:rsidRPr="00D03613">
        <w:t xml:space="preserve"> order. </w:t>
      </w:r>
    </w:p>
    <w:p w:rsidR="00D03613" w:rsidRPr="00D03613" w:rsidRDefault="00D03613" w:rsidP="00D03613">
      <w:pPr>
        <w:pStyle w:val="FOFNumbered"/>
      </w:pPr>
      <w:r w:rsidRPr="00D03613">
        <w:t xml:space="preserve">On April 2, 2015, </w:t>
      </w:r>
      <w:r w:rsidR="00CB29A0">
        <w:t>Double Diamond</w:t>
      </w:r>
      <w:r w:rsidRPr="00D03613">
        <w:t xml:space="preserve"> </w:t>
      </w:r>
      <w:r w:rsidR="00CB29A0">
        <w:t>requested</w:t>
      </w:r>
      <w:r w:rsidRPr="00D03613">
        <w:t xml:space="preserve"> additional time to allow </w:t>
      </w:r>
      <w:r w:rsidR="00CB29A0">
        <w:t xml:space="preserve">resolution of this docket with Commission Staff.  Commission </w:t>
      </w:r>
      <w:r w:rsidRPr="00D03613">
        <w:t xml:space="preserve">Staff communicated with </w:t>
      </w:r>
      <w:r w:rsidR="00CB29A0">
        <w:t>Double Diamond</w:t>
      </w:r>
      <w:r w:rsidRPr="00D03613">
        <w:t xml:space="preserve"> and encouraged </w:t>
      </w:r>
      <w:r w:rsidR="00CB29A0">
        <w:t xml:space="preserve">identification and location of the </w:t>
      </w:r>
      <w:r w:rsidRPr="00D03613">
        <w:t xml:space="preserve">few </w:t>
      </w:r>
      <w:proofErr w:type="gramStart"/>
      <w:r w:rsidRPr="00D03613">
        <w:t>protestants</w:t>
      </w:r>
      <w:proofErr w:type="gramEnd"/>
      <w:r w:rsidRPr="00D03613">
        <w:t xml:space="preserve"> who had not withdrawn and </w:t>
      </w:r>
      <w:r w:rsidR="008B145C">
        <w:t xml:space="preserve">determine </w:t>
      </w:r>
      <w:r w:rsidRPr="00D03613">
        <w:t xml:space="preserve">whether </w:t>
      </w:r>
      <w:r w:rsidR="00CB29A0">
        <w:t xml:space="preserve">they were interested in </w:t>
      </w:r>
      <w:r w:rsidRPr="00D03613">
        <w:t>pursuing this case.</w:t>
      </w:r>
    </w:p>
    <w:p w:rsidR="00D03613" w:rsidRPr="00D03613" w:rsidRDefault="004E7301" w:rsidP="00D03613">
      <w:pPr>
        <w:pStyle w:val="FOFNumbered"/>
      </w:pPr>
      <w:r>
        <w:lastRenderedPageBreak/>
        <w:t xml:space="preserve">On May 15, 2015, Commission </w:t>
      </w:r>
      <w:r w:rsidR="00D03613" w:rsidRPr="00D03613">
        <w:t xml:space="preserve">Staff filed a request for a hearing to determine whether any of the </w:t>
      </w:r>
      <w:proofErr w:type="gramStart"/>
      <w:r w:rsidR="00D03613" w:rsidRPr="00D03613">
        <w:t>protestants</w:t>
      </w:r>
      <w:proofErr w:type="gramEnd"/>
      <w:r w:rsidR="00D03613" w:rsidRPr="00D03613">
        <w:t xml:space="preserve"> who had not yet withdrawn were still interested in contesting this matter. </w:t>
      </w:r>
    </w:p>
    <w:p w:rsidR="00D03613" w:rsidRPr="00D03613" w:rsidRDefault="00D93BBC" w:rsidP="00D03613">
      <w:pPr>
        <w:pStyle w:val="FOFNumbered"/>
      </w:pPr>
      <w:r>
        <w:t xml:space="preserve">On May 15, 2017, SOAH issued Order No. 5, scheduling a prehearing conference.  </w:t>
      </w:r>
    </w:p>
    <w:p w:rsidR="00D03613" w:rsidRPr="00D03613" w:rsidRDefault="00D03613" w:rsidP="00D03613">
      <w:pPr>
        <w:pStyle w:val="FOFNumbered"/>
      </w:pPr>
      <w:r w:rsidRPr="00D03613">
        <w:t xml:space="preserve">On May 29, 2015, </w:t>
      </w:r>
      <w:r w:rsidR="00D93BBC">
        <w:t>Double Diamond</w:t>
      </w:r>
      <w:r w:rsidRPr="00D03613">
        <w:t xml:space="preserve"> filed </w:t>
      </w:r>
      <w:r w:rsidR="00D93BBC">
        <w:t xml:space="preserve">notice of resolution of all protests, comprising all of the protest letters </w:t>
      </w:r>
      <w:r w:rsidR="006D2167">
        <w:t>filed in application Nos. 37752-R and 37753-R along with the corresponding settlement authorizations for each protestant agreeing to the settlement filed by Double Diamond on September 26, 2014.</w:t>
      </w:r>
    </w:p>
    <w:p w:rsidR="00D03613" w:rsidRDefault="006D2167" w:rsidP="00D03613">
      <w:pPr>
        <w:pStyle w:val="FOFNumbered"/>
      </w:pPr>
      <w:r>
        <w:t>On June 5, 2015, Commission Staff and Double Diamond jointly requested cancellation of the prehearing conference, which was granted by SOAH Order No. 6 on June 8, 2015.</w:t>
      </w:r>
    </w:p>
    <w:p w:rsidR="00776BB5" w:rsidRDefault="00776BB5" w:rsidP="00D03613">
      <w:pPr>
        <w:pStyle w:val="FOFNumbered"/>
      </w:pPr>
      <w:r>
        <w:t>On April 7, 2017, Double Diamond and Commission Staff jointly filed an agreement that resolves all issues in this docket.</w:t>
      </w:r>
    </w:p>
    <w:p w:rsidR="00776BB5" w:rsidRPr="00D03613" w:rsidRDefault="00776BB5" w:rsidP="00D03613">
      <w:pPr>
        <w:pStyle w:val="FOFNumbered"/>
      </w:pPr>
      <w:r>
        <w:t xml:space="preserve">On </w:t>
      </w:r>
      <w:r w:rsidR="000B2BCE">
        <w:t>April 13, 2017,</w:t>
      </w:r>
      <w:r>
        <w:t xml:space="preserve"> SOAH issued Order No. </w:t>
      </w:r>
      <w:r w:rsidR="000B2BCE">
        <w:t>17,</w:t>
      </w:r>
      <w:r>
        <w:t xml:space="preserve"> admitting evidence, remanding the case to the Commission, and dismissing the SOAH docket.</w:t>
      </w:r>
    </w:p>
    <w:p w:rsidR="00D03613" w:rsidRPr="00D03613" w:rsidRDefault="00D03613" w:rsidP="006D2167">
      <w:pPr>
        <w:pStyle w:val="Heading7"/>
      </w:pPr>
      <w:r w:rsidRPr="00D03613">
        <w:t>Description of the Settlement</w:t>
      </w:r>
    </w:p>
    <w:p w:rsidR="00D03613" w:rsidRDefault="00D03613" w:rsidP="008B5BE7">
      <w:pPr>
        <w:pStyle w:val="FOFNumbered"/>
        <w:spacing w:after="120"/>
      </w:pPr>
      <w:r w:rsidRPr="00D03613">
        <w:t xml:space="preserve">The signatories agreed that </w:t>
      </w:r>
      <w:r w:rsidR="00776BB5">
        <w:t>Double Diamond</w:t>
      </w:r>
      <w:r w:rsidRPr="00D03613">
        <w:t xml:space="preserve"> should be allowed to implement the </w:t>
      </w:r>
      <w:r w:rsidR="00ED299D">
        <w:t xml:space="preserve">following </w:t>
      </w:r>
      <w:r w:rsidRPr="00D03613">
        <w:t>retail water and sewer utility rates</w:t>
      </w:r>
      <w:r w:rsidR="00D53D5A">
        <w:t>:</w:t>
      </w:r>
    </w:p>
    <w:tbl>
      <w:tblPr>
        <w:tblStyle w:val="LightList"/>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1310"/>
        <w:gridCol w:w="1183"/>
        <w:gridCol w:w="1310"/>
        <w:gridCol w:w="1590"/>
      </w:tblGrid>
      <w:tr w:rsidR="003E1E22" w:rsidRPr="003E1E22" w:rsidTr="003E1E22">
        <w:trPr>
          <w:cnfStyle w:val="100000000000" w:firstRow="1" w:lastRow="0" w:firstColumn="0" w:lastColumn="0" w:oddVBand="0" w:evenVBand="0" w:oddHBand="0" w:evenHBand="0" w:firstRowFirstColumn="0" w:firstRowLastColumn="0" w:lastRowFirstColumn="0" w:lastRowLastColumn="0"/>
          <w:jc w:val="center"/>
        </w:trPr>
        <w:tc>
          <w:tcPr>
            <w:tcW w:w="0" w:type="auto"/>
            <w:gridSpan w:val="2"/>
            <w:shd w:val="clear" w:color="auto" w:fill="auto"/>
          </w:tcPr>
          <w:p w:rsidR="003E1E22" w:rsidRPr="003E1E22" w:rsidRDefault="003E1E22" w:rsidP="008A4381">
            <w:pPr>
              <w:spacing w:before="100" w:beforeAutospacing="1" w:after="100" w:afterAutospacing="1"/>
              <w:jc w:val="center"/>
              <w:rPr>
                <w:rFonts w:ascii="Times New Roman" w:hAnsi="Times New Roman" w:cs="Times New Roman"/>
                <w:color w:val="auto"/>
                <w:sz w:val="24"/>
                <w:szCs w:val="24"/>
              </w:rPr>
            </w:pPr>
            <w:r w:rsidRPr="003E1E22">
              <w:rPr>
                <w:rFonts w:ascii="Times New Roman" w:hAnsi="Times New Roman" w:cs="Times New Roman"/>
                <w:color w:val="auto"/>
                <w:sz w:val="24"/>
                <w:szCs w:val="24"/>
              </w:rPr>
              <w:t>Water</w:t>
            </w:r>
          </w:p>
        </w:tc>
        <w:tc>
          <w:tcPr>
            <w:tcW w:w="0" w:type="auto"/>
            <w:gridSpan w:val="2"/>
            <w:shd w:val="clear" w:color="auto" w:fill="auto"/>
          </w:tcPr>
          <w:p w:rsidR="003E1E22" w:rsidRPr="003E1E22" w:rsidRDefault="003E1E22" w:rsidP="008A4381">
            <w:pPr>
              <w:jc w:val="center"/>
              <w:rPr>
                <w:rFonts w:ascii="Times New Roman" w:hAnsi="Times New Roman" w:cs="Times New Roman"/>
                <w:color w:val="auto"/>
                <w:sz w:val="24"/>
                <w:szCs w:val="24"/>
              </w:rPr>
            </w:pPr>
            <w:r w:rsidRPr="003E1E22">
              <w:rPr>
                <w:rFonts w:ascii="Times New Roman" w:hAnsi="Times New Roman" w:cs="Times New Roman"/>
                <w:color w:val="auto"/>
                <w:sz w:val="24"/>
                <w:szCs w:val="24"/>
              </w:rPr>
              <w:t>Sewer</w:t>
            </w:r>
          </w:p>
        </w:tc>
      </w:tr>
      <w:tr w:rsidR="003E1E22" w:rsidRPr="003E1E22" w:rsidTr="003E1E22">
        <w:trPr>
          <w:jc w:val="center"/>
        </w:trPr>
        <w:tc>
          <w:tcPr>
            <w:tcW w:w="0" w:type="auto"/>
            <w:shd w:val="clear" w:color="auto" w:fill="auto"/>
          </w:tcPr>
          <w:p w:rsidR="003E1E22" w:rsidRPr="003E1E22" w:rsidRDefault="003E1E22" w:rsidP="0024439C">
            <w:pPr>
              <w:jc w:val="center"/>
              <w:rPr>
                <w:rFonts w:ascii="Times New Roman" w:hAnsi="Times New Roman" w:cs="Times New Roman"/>
                <w:sz w:val="24"/>
                <w:szCs w:val="24"/>
              </w:rPr>
            </w:pPr>
            <w:r w:rsidRPr="003E1E22">
              <w:rPr>
                <w:rFonts w:ascii="Times New Roman" w:hAnsi="Times New Roman" w:cs="Times New Roman"/>
                <w:sz w:val="24"/>
                <w:szCs w:val="24"/>
              </w:rPr>
              <w:t>Meter</w:t>
            </w:r>
          </w:p>
        </w:tc>
        <w:tc>
          <w:tcPr>
            <w:tcW w:w="0" w:type="auto"/>
            <w:shd w:val="clear" w:color="auto" w:fill="auto"/>
          </w:tcPr>
          <w:p w:rsidR="003E1E22" w:rsidRPr="003E1E22" w:rsidRDefault="003E1E22" w:rsidP="00B034B0">
            <w:pPr>
              <w:jc w:val="both"/>
              <w:rPr>
                <w:rFonts w:ascii="Times New Roman" w:hAnsi="Times New Roman" w:cs="Times New Roman"/>
                <w:sz w:val="24"/>
                <w:szCs w:val="24"/>
              </w:rPr>
            </w:pPr>
            <w:r w:rsidRPr="003E1E22">
              <w:rPr>
                <w:rFonts w:ascii="Times New Roman" w:hAnsi="Times New Roman" w:cs="Times New Roman"/>
                <w:sz w:val="24"/>
                <w:szCs w:val="24"/>
              </w:rPr>
              <w:t>Base Rate</w:t>
            </w:r>
          </w:p>
        </w:tc>
        <w:tc>
          <w:tcPr>
            <w:tcW w:w="0" w:type="auto"/>
            <w:shd w:val="clear" w:color="auto" w:fill="auto"/>
          </w:tcPr>
          <w:p w:rsidR="003E1E22" w:rsidRPr="003E1E22" w:rsidRDefault="003E1E22" w:rsidP="0024439C">
            <w:pPr>
              <w:jc w:val="center"/>
              <w:rPr>
                <w:rFonts w:ascii="Times New Roman" w:hAnsi="Times New Roman" w:cs="Times New Roman"/>
                <w:sz w:val="24"/>
                <w:szCs w:val="24"/>
              </w:rPr>
            </w:pPr>
            <w:r w:rsidRPr="003E1E22">
              <w:rPr>
                <w:rFonts w:ascii="Times New Roman" w:hAnsi="Times New Roman" w:cs="Times New Roman"/>
                <w:sz w:val="24"/>
                <w:szCs w:val="24"/>
              </w:rPr>
              <w:t>Meter</w:t>
            </w:r>
          </w:p>
        </w:tc>
        <w:tc>
          <w:tcPr>
            <w:tcW w:w="0" w:type="auto"/>
            <w:shd w:val="clear" w:color="auto" w:fill="auto"/>
          </w:tcPr>
          <w:p w:rsidR="003E1E22" w:rsidRPr="003E1E22" w:rsidRDefault="003E1E22" w:rsidP="00B034B0">
            <w:pPr>
              <w:jc w:val="both"/>
              <w:rPr>
                <w:rFonts w:ascii="Times New Roman" w:hAnsi="Times New Roman" w:cs="Times New Roman"/>
                <w:sz w:val="24"/>
                <w:szCs w:val="24"/>
              </w:rPr>
            </w:pPr>
            <w:r w:rsidRPr="003E1E22">
              <w:rPr>
                <w:rFonts w:ascii="Times New Roman" w:hAnsi="Times New Roman" w:cs="Times New Roman"/>
                <w:sz w:val="24"/>
                <w:szCs w:val="24"/>
              </w:rPr>
              <w:t>Base Rate</w:t>
            </w:r>
          </w:p>
        </w:tc>
      </w:tr>
      <w:tr w:rsidR="003E1E22" w:rsidRPr="003E1E22" w:rsidTr="003E1E22">
        <w:trPr>
          <w:jc w:val="center"/>
        </w:trPr>
        <w:tc>
          <w:tcPr>
            <w:tcW w:w="0" w:type="auto"/>
            <w:shd w:val="clear" w:color="auto" w:fill="auto"/>
          </w:tcPr>
          <w:p w:rsidR="003E1E22" w:rsidRPr="003E1E22" w:rsidRDefault="003E1E22" w:rsidP="00B034B0">
            <w:pPr>
              <w:jc w:val="both"/>
              <w:rPr>
                <w:sz w:val="24"/>
                <w:szCs w:val="24"/>
              </w:rPr>
            </w:pPr>
          </w:p>
        </w:tc>
        <w:tc>
          <w:tcPr>
            <w:tcW w:w="0" w:type="auto"/>
            <w:shd w:val="clear" w:color="auto" w:fill="auto"/>
          </w:tcPr>
          <w:p w:rsidR="003E1E22" w:rsidRPr="003E1E22" w:rsidRDefault="003E1E22" w:rsidP="00B034B0">
            <w:pPr>
              <w:jc w:val="both"/>
              <w:rPr>
                <w:rFonts w:ascii="Times New Roman" w:hAnsi="Times New Roman" w:cs="Times New Roman"/>
                <w:sz w:val="24"/>
                <w:szCs w:val="24"/>
              </w:rPr>
            </w:pPr>
            <w:r w:rsidRPr="003E1E22">
              <w:rPr>
                <w:rFonts w:ascii="Times New Roman" w:hAnsi="Times New Roman" w:cs="Times New Roman"/>
                <w:sz w:val="24"/>
                <w:szCs w:val="24"/>
              </w:rPr>
              <w:t>0 gal incl.</w:t>
            </w:r>
          </w:p>
        </w:tc>
        <w:tc>
          <w:tcPr>
            <w:tcW w:w="0" w:type="auto"/>
            <w:shd w:val="clear" w:color="auto" w:fill="auto"/>
          </w:tcPr>
          <w:p w:rsidR="003E1E22" w:rsidRPr="003E1E22" w:rsidRDefault="003E1E22" w:rsidP="00B034B0">
            <w:pPr>
              <w:jc w:val="both"/>
              <w:rPr>
                <w:sz w:val="24"/>
                <w:szCs w:val="24"/>
              </w:rPr>
            </w:pPr>
          </w:p>
        </w:tc>
        <w:tc>
          <w:tcPr>
            <w:tcW w:w="0" w:type="auto"/>
            <w:shd w:val="clear" w:color="auto" w:fill="auto"/>
          </w:tcPr>
          <w:p w:rsidR="003E1E22" w:rsidRPr="003E1E22" w:rsidRDefault="003E1E22" w:rsidP="00B034B0">
            <w:pPr>
              <w:jc w:val="both"/>
              <w:rPr>
                <w:rFonts w:ascii="Times New Roman" w:hAnsi="Times New Roman" w:cs="Times New Roman"/>
                <w:sz w:val="24"/>
                <w:szCs w:val="24"/>
              </w:rPr>
            </w:pPr>
            <w:r w:rsidRPr="003E1E22">
              <w:rPr>
                <w:rFonts w:ascii="Times New Roman" w:hAnsi="Times New Roman" w:cs="Times New Roman"/>
                <w:sz w:val="24"/>
                <w:szCs w:val="24"/>
              </w:rPr>
              <w:t>3,000 gal incl.</w:t>
            </w:r>
          </w:p>
        </w:tc>
      </w:tr>
      <w:tr w:rsidR="003E1E22" w:rsidRPr="003E1E22" w:rsidTr="003E1E22">
        <w:trPr>
          <w:jc w:val="center"/>
        </w:trPr>
        <w:tc>
          <w:tcPr>
            <w:tcW w:w="0" w:type="auto"/>
          </w:tcPr>
          <w:p w:rsidR="003E1E22" w:rsidRPr="003E1E22" w:rsidRDefault="003E1E22" w:rsidP="00B034B0">
            <w:pPr>
              <w:jc w:val="both"/>
              <w:rPr>
                <w:rFonts w:ascii="Times New Roman" w:hAnsi="Times New Roman" w:cs="Times New Roman"/>
                <w:sz w:val="24"/>
                <w:szCs w:val="24"/>
              </w:rPr>
            </w:pPr>
            <w:r w:rsidRPr="003E1E22">
              <w:rPr>
                <w:rFonts w:ascii="Times New Roman" w:hAnsi="Times New Roman" w:cs="Times New Roman"/>
                <w:sz w:val="24"/>
                <w:szCs w:val="24"/>
              </w:rPr>
              <w:t>3/4” or less</w:t>
            </w:r>
          </w:p>
        </w:tc>
        <w:tc>
          <w:tcPr>
            <w:tcW w:w="0" w:type="auto"/>
          </w:tcPr>
          <w:p w:rsidR="003E1E22" w:rsidRPr="003E1E22" w:rsidRDefault="003E1E22" w:rsidP="003E1E22">
            <w:pPr>
              <w:rPr>
                <w:rFonts w:ascii="Times New Roman" w:hAnsi="Times New Roman" w:cs="Times New Roman"/>
                <w:sz w:val="24"/>
                <w:szCs w:val="24"/>
              </w:rPr>
            </w:pPr>
            <w:r>
              <w:rPr>
                <w:rFonts w:ascii="Times New Roman" w:hAnsi="Times New Roman" w:cs="Times New Roman"/>
                <w:sz w:val="24"/>
                <w:szCs w:val="24"/>
              </w:rPr>
              <w:t xml:space="preserve"> </w:t>
            </w:r>
            <w:r w:rsidRPr="003E1E22">
              <w:rPr>
                <w:rFonts w:ascii="Times New Roman" w:hAnsi="Times New Roman" w:cs="Times New Roman"/>
                <w:sz w:val="24"/>
                <w:szCs w:val="24"/>
              </w:rPr>
              <w:t>$</w:t>
            </w:r>
            <w:r>
              <w:rPr>
                <w:rFonts w:ascii="Times New Roman" w:hAnsi="Times New Roman" w:cs="Times New Roman"/>
                <w:sz w:val="24"/>
                <w:szCs w:val="24"/>
              </w:rPr>
              <w:t xml:space="preserve">  </w:t>
            </w:r>
            <w:r w:rsidRPr="003E1E22">
              <w:rPr>
                <w:rFonts w:ascii="Times New Roman" w:hAnsi="Times New Roman" w:cs="Times New Roman"/>
                <w:sz w:val="24"/>
                <w:szCs w:val="24"/>
              </w:rPr>
              <w:t>49.60</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3/4” or less</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w:t>
            </w:r>
            <w:r>
              <w:rPr>
                <w:rFonts w:ascii="Times New Roman" w:hAnsi="Times New Roman" w:cs="Times New Roman"/>
                <w:sz w:val="24"/>
                <w:szCs w:val="24"/>
              </w:rPr>
              <w:t xml:space="preserve">    </w:t>
            </w:r>
            <w:r w:rsidRPr="003E1E22">
              <w:rPr>
                <w:rFonts w:ascii="Times New Roman" w:hAnsi="Times New Roman" w:cs="Times New Roman"/>
                <w:sz w:val="24"/>
                <w:szCs w:val="24"/>
              </w:rPr>
              <w:t>67.12</w:t>
            </w:r>
          </w:p>
        </w:tc>
      </w:tr>
      <w:tr w:rsidR="003E1E22" w:rsidRPr="003E1E22" w:rsidTr="003E1E22">
        <w:trPr>
          <w:jc w:val="center"/>
        </w:trPr>
        <w:tc>
          <w:tcPr>
            <w:tcW w:w="0" w:type="auto"/>
          </w:tcPr>
          <w:p w:rsidR="003E1E22" w:rsidRPr="003E1E22" w:rsidRDefault="003E1E22" w:rsidP="00B034B0">
            <w:pPr>
              <w:jc w:val="both"/>
              <w:rPr>
                <w:rFonts w:ascii="Times New Roman" w:hAnsi="Times New Roman" w:cs="Times New Roman"/>
                <w:sz w:val="24"/>
                <w:szCs w:val="24"/>
              </w:rPr>
            </w:pPr>
            <w:r w:rsidRPr="003E1E22">
              <w:rPr>
                <w:rFonts w:ascii="Times New Roman" w:hAnsi="Times New Roman" w:cs="Times New Roman"/>
                <w:sz w:val="24"/>
                <w:szCs w:val="24"/>
              </w:rPr>
              <w:t>1”</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$124.01</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1”</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w:t>
            </w:r>
            <w:r>
              <w:rPr>
                <w:rFonts w:ascii="Times New Roman" w:hAnsi="Times New Roman" w:cs="Times New Roman"/>
                <w:sz w:val="24"/>
                <w:szCs w:val="24"/>
              </w:rPr>
              <w:t xml:space="preserve">  </w:t>
            </w:r>
            <w:r w:rsidRPr="003E1E22">
              <w:rPr>
                <w:rFonts w:ascii="Times New Roman" w:hAnsi="Times New Roman" w:cs="Times New Roman"/>
                <w:sz w:val="24"/>
                <w:szCs w:val="24"/>
              </w:rPr>
              <w:t>167.80</w:t>
            </w:r>
          </w:p>
        </w:tc>
      </w:tr>
      <w:tr w:rsidR="003E1E22" w:rsidRPr="003E1E22" w:rsidTr="003E1E22">
        <w:trPr>
          <w:jc w:val="center"/>
        </w:trPr>
        <w:tc>
          <w:tcPr>
            <w:tcW w:w="0" w:type="auto"/>
          </w:tcPr>
          <w:p w:rsidR="003E1E22" w:rsidRPr="003E1E22" w:rsidRDefault="003E1E22" w:rsidP="00B034B0">
            <w:pPr>
              <w:jc w:val="both"/>
              <w:rPr>
                <w:rFonts w:ascii="Times New Roman" w:hAnsi="Times New Roman" w:cs="Times New Roman"/>
                <w:sz w:val="24"/>
                <w:szCs w:val="24"/>
              </w:rPr>
            </w:pPr>
            <w:r w:rsidRPr="003E1E22">
              <w:rPr>
                <w:rFonts w:ascii="Times New Roman" w:hAnsi="Times New Roman" w:cs="Times New Roman"/>
                <w:sz w:val="24"/>
                <w:szCs w:val="24"/>
              </w:rPr>
              <w:t>1½”</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$248.02</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1½”</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w:t>
            </w:r>
            <w:r>
              <w:rPr>
                <w:rFonts w:ascii="Times New Roman" w:hAnsi="Times New Roman" w:cs="Times New Roman"/>
                <w:sz w:val="24"/>
                <w:szCs w:val="24"/>
              </w:rPr>
              <w:t xml:space="preserve">  </w:t>
            </w:r>
            <w:r w:rsidRPr="003E1E22">
              <w:rPr>
                <w:rFonts w:ascii="Times New Roman" w:hAnsi="Times New Roman" w:cs="Times New Roman"/>
                <w:sz w:val="24"/>
                <w:szCs w:val="24"/>
              </w:rPr>
              <w:t>335.59</w:t>
            </w:r>
          </w:p>
        </w:tc>
      </w:tr>
      <w:tr w:rsidR="003E1E22" w:rsidRPr="003E1E22" w:rsidTr="003E1E22">
        <w:trPr>
          <w:jc w:val="center"/>
        </w:trPr>
        <w:tc>
          <w:tcPr>
            <w:tcW w:w="0" w:type="auto"/>
          </w:tcPr>
          <w:p w:rsidR="003E1E22" w:rsidRPr="003E1E22" w:rsidRDefault="003E1E22" w:rsidP="00B034B0">
            <w:pPr>
              <w:jc w:val="both"/>
              <w:rPr>
                <w:rFonts w:ascii="Times New Roman" w:hAnsi="Times New Roman" w:cs="Times New Roman"/>
                <w:sz w:val="24"/>
                <w:szCs w:val="24"/>
              </w:rPr>
            </w:pPr>
            <w:r w:rsidRPr="003E1E22">
              <w:rPr>
                <w:rFonts w:ascii="Times New Roman" w:hAnsi="Times New Roman" w:cs="Times New Roman"/>
                <w:sz w:val="24"/>
                <w:szCs w:val="24"/>
              </w:rPr>
              <w:t>2”</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$396.84</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2”</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w:t>
            </w:r>
            <w:r>
              <w:rPr>
                <w:rFonts w:ascii="Times New Roman" w:hAnsi="Times New Roman" w:cs="Times New Roman"/>
                <w:sz w:val="24"/>
                <w:szCs w:val="24"/>
              </w:rPr>
              <w:t xml:space="preserve">  </w:t>
            </w:r>
            <w:r w:rsidRPr="003E1E22">
              <w:rPr>
                <w:rFonts w:ascii="Times New Roman" w:hAnsi="Times New Roman" w:cs="Times New Roman"/>
                <w:sz w:val="24"/>
                <w:szCs w:val="24"/>
              </w:rPr>
              <w:t>536.95</w:t>
            </w:r>
          </w:p>
        </w:tc>
      </w:tr>
      <w:tr w:rsidR="003E1E22" w:rsidRPr="003E1E22" w:rsidTr="003E1E22">
        <w:trPr>
          <w:jc w:val="center"/>
        </w:trPr>
        <w:tc>
          <w:tcPr>
            <w:tcW w:w="0" w:type="auto"/>
          </w:tcPr>
          <w:p w:rsidR="003E1E22" w:rsidRPr="003E1E22" w:rsidRDefault="003E1E22" w:rsidP="00B034B0">
            <w:pPr>
              <w:jc w:val="both"/>
              <w:rPr>
                <w:rFonts w:ascii="Times New Roman" w:hAnsi="Times New Roman" w:cs="Times New Roman"/>
                <w:sz w:val="24"/>
                <w:szCs w:val="24"/>
              </w:rPr>
            </w:pPr>
            <w:r w:rsidRPr="003E1E22">
              <w:rPr>
                <w:rFonts w:ascii="Times New Roman" w:hAnsi="Times New Roman" w:cs="Times New Roman"/>
                <w:sz w:val="24"/>
                <w:szCs w:val="24"/>
              </w:rPr>
              <w:t>3”</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$744.07</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3”</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$1,006.78</w:t>
            </w:r>
          </w:p>
        </w:tc>
      </w:tr>
    </w:tbl>
    <w:p w:rsidR="00D53D5A" w:rsidRDefault="00D53D5A" w:rsidP="00D53D5A">
      <w:pPr>
        <w:pStyle w:val="FOFNumbered"/>
        <w:numPr>
          <w:ilvl w:val="0"/>
          <w:numId w:val="0"/>
        </w:numPr>
        <w:ind w:left="720"/>
      </w:pPr>
    </w:p>
    <w:tbl>
      <w:tblPr>
        <w:tblStyle w:val="LightList"/>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620" w:firstRow="1" w:lastRow="0" w:firstColumn="0" w:lastColumn="0" w:noHBand="1" w:noVBand="1"/>
      </w:tblPr>
      <w:tblGrid>
        <w:gridCol w:w="1616"/>
        <w:gridCol w:w="1809"/>
        <w:gridCol w:w="1516"/>
        <w:gridCol w:w="1809"/>
      </w:tblGrid>
      <w:tr w:rsidR="003E1E22" w:rsidRPr="003E1E22" w:rsidTr="003E1E22">
        <w:trPr>
          <w:cnfStyle w:val="100000000000" w:firstRow="1" w:lastRow="0" w:firstColumn="0" w:lastColumn="0" w:oddVBand="0" w:evenVBand="0" w:oddHBand="0" w:evenHBand="0" w:firstRowFirstColumn="0" w:firstRowLastColumn="0" w:lastRowFirstColumn="0" w:lastRowLastColumn="0"/>
          <w:trHeight w:val="259"/>
          <w:jc w:val="center"/>
        </w:trPr>
        <w:tc>
          <w:tcPr>
            <w:tcW w:w="0" w:type="auto"/>
            <w:gridSpan w:val="2"/>
            <w:shd w:val="clear" w:color="auto" w:fill="auto"/>
          </w:tcPr>
          <w:p w:rsidR="003E1E22" w:rsidRPr="003E1E22" w:rsidRDefault="003E1E22" w:rsidP="008A4381">
            <w:pPr>
              <w:jc w:val="center"/>
              <w:rPr>
                <w:rFonts w:ascii="Times New Roman" w:hAnsi="Times New Roman" w:cs="Times New Roman"/>
                <w:color w:val="auto"/>
                <w:sz w:val="24"/>
                <w:szCs w:val="24"/>
              </w:rPr>
            </w:pPr>
            <w:r w:rsidRPr="003E1E22">
              <w:rPr>
                <w:rFonts w:ascii="Times New Roman" w:hAnsi="Times New Roman" w:cs="Times New Roman"/>
                <w:color w:val="auto"/>
                <w:sz w:val="24"/>
                <w:szCs w:val="24"/>
              </w:rPr>
              <w:t>Water</w:t>
            </w:r>
            <w:r w:rsidRPr="003E1E22">
              <w:rPr>
                <w:rFonts w:ascii="Times New Roman" w:hAnsi="Times New Roman" w:cs="Times New Roman"/>
                <w:sz w:val="24"/>
                <w:szCs w:val="24"/>
              </w:rPr>
              <w:t>er</w:t>
            </w:r>
          </w:p>
        </w:tc>
        <w:tc>
          <w:tcPr>
            <w:tcW w:w="0" w:type="auto"/>
            <w:gridSpan w:val="2"/>
            <w:shd w:val="clear" w:color="auto" w:fill="auto"/>
          </w:tcPr>
          <w:p w:rsidR="003E1E22" w:rsidRPr="003E1E22" w:rsidRDefault="003E1E22" w:rsidP="008A4381">
            <w:pPr>
              <w:jc w:val="center"/>
              <w:rPr>
                <w:rFonts w:ascii="Times New Roman" w:hAnsi="Times New Roman" w:cs="Times New Roman"/>
                <w:color w:val="auto"/>
                <w:sz w:val="24"/>
                <w:szCs w:val="24"/>
              </w:rPr>
            </w:pPr>
            <w:r w:rsidRPr="003E1E22">
              <w:rPr>
                <w:rFonts w:ascii="Times New Roman" w:hAnsi="Times New Roman" w:cs="Times New Roman"/>
                <w:color w:val="auto"/>
                <w:sz w:val="24"/>
                <w:szCs w:val="24"/>
              </w:rPr>
              <w:t>Sewer</w:t>
            </w:r>
          </w:p>
        </w:tc>
      </w:tr>
      <w:tr w:rsidR="003E1E22" w:rsidRPr="003E1E22" w:rsidTr="003E1E22">
        <w:trPr>
          <w:trHeight w:val="222"/>
          <w:jc w:val="center"/>
        </w:trPr>
        <w:tc>
          <w:tcPr>
            <w:tcW w:w="0" w:type="auto"/>
            <w:shd w:val="clear" w:color="auto" w:fill="auto"/>
          </w:tcPr>
          <w:p w:rsidR="003E1E22" w:rsidRPr="003E1E22" w:rsidRDefault="003E1E22" w:rsidP="00B034B0">
            <w:pPr>
              <w:jc w:val="both"/>
              <w:rPr>
                <w:rFonts w:ascii="Times New Roman" w:hAnsi="Times New Roman" w:cs="Times New Roman"/>
                <w:sz w:val="24"/>
                <w:szCs w:val="24"/>
              </w:rPr>
            </w:pPr>
            <w:r w:rsidRPr="003E1E22">
              <w:rPr>
                <w:rFonts w:ascii="Times New Roman" w:hAnsi="Times New Roman" w:cs="Times New Roman"/>
                <w:sz w:val="24"/>
                <w:szCs w:val="24"/>
              </w:rPr>
              <w:t>Gallons Used</w:t>
            </w:r>
          </w:p>
        </w:tc>
        <w:tc>
          <w:tcPr>
            <w:tcW w:w="0" w:type="auto"/>
            <w:shd w:val="clear" w:color="auto" w:fill="auto"/>
          </w:tcPr>
          <w:p w:rsidR="003E1E22" w:rsidRPr="003E1E22" w:rsidRDefault="003E1E22" w:rsidP="00B034B0">
            <w:pPr>
              <w:jc w:val="both"/>
              <w:rPr>
                <w:rFonts w:ascii="Times New Roman" w:hAnsi="Times New Roman" w:cs="Times New Roman"/>
                <w:sz w:val="24"/>
                <w:szCs w:val="24"/>
              </w:rPr>
            </w:pPr>
            <w:r w:rsidRPr="003E1E22">
              <w:rPr>
                <w:rFonts w:ascii="Times New Roman" w:hAnsi="Times New Roman" w:cs="Times New Roman"/>
                <w:sz w:val="24"/>
                <w:szCs w:val="24"/>
              </w:rPr>
              <w:t>Volumetric Rate</w:t>
            </w:r>
          </w:p>
        </w:tc>
        <w:tc>
          <w:tcPr>
            <w:tcW w:w="0" w:type="auto"/>
            <w:shd w:val="clear" w:color="auto" w:fill="auto"/>
          </w:tcPr>
          <w:p w:rsidR="003E1E22" w:rsidRPr="003E1E22" w:rsidRDefault="003E1E22" w:rsidP="00B034B0">
            <w:pPr>
              <w:jc w:val="both"/>
              <w:rPr>
                <w:rFonts w:ascii="Times New Roman" w:hAnsi="Times New Roman" w:cs="Times New Roman"/>
                <w:sz w:val="24"/>
                <w:szCs w:val="24"/>
              </w:rPr>
            </w:pPr>
            <w:r w:rsidRPr="003E1E22">
              <w:rPr>
                <w:rFonts w:ascii="Times New Roman" w:hAnsi="Times New Roman" w:cs="Times New Roman"/>
                <w:sz w:val="24"/>
                <w:szCs w:val="24"/>
              </w:rPr>
              <w:t>Gallons Used</w:t>
            </w:r>
          </w:p>
        </w:tc>
        <w:tc>
          <w:tcPr>
            <w:tcW w:w="0" w:type="auto"/>
            <w:shd w:val="clear" w:color="auto" w:fill="auto"/>
          </w:tcPr>
          <w:p w:rsidR="003E1E22" w:rsidRPr="003E1E22" w:rsidRDefault="003E1E22" w:rsidP="00B034B0">
            <w:pPr>
              <w:jc w:val="both"/>
              <w:rPr>
                <w:rFonts w:ascii="Times New Roman" w:hAnsi="Times New Roman" w:cs="Times New Roman"/>
                <w:sz w:val="24"/>
                <w:szCs w:val="24"/>
              </w:rPr>
            </w:pPr>
            <w:r w:rsidRPr="003E1E22">
              <w:rPr>
                <w:rFonts w:ascii="Times New Roman" w:hAnsi="Times New Roman" w:cs="Times New Roman"/>
                <w:sz w:val="24"/>
                <w:szCs w:val="24"/>
              </w:rPr>
              <w:t>Volumetric Rate</w:t>
            </w:r>
          </w:p>
        </w:tc>
      </w:tr>
      <w:tr w:rsidR="003E1E22" w:rsidRPr="003E1E22" w:rsidTr="003E1E22">
        <w:trPr>
          <w:trHeight w:val="259"/>
          <w:jc w:val="center"/>
        </w:trPr>
        <w:tc>
          <w:tcPr>
            <w:tcW w:w="0" w:type="auto"/>
          </w:tcPr>
          <w:p w:rsidR="003E1E22" w:rsidRPr="003E1E22" w:rsidRDefault="003E1E22" w:rsidP="00B034B0">
            <w:pPr>
              <w:jc w:val="both"/>
              <w:rPr>
                <w:rFonts w:ascii="Times New Roman" w:hAnsi="Times New Roman" w:cs="Times New Roman"/>
                <w:sz w:val="24"/>
                <w:szCs w:val="24"/>
              </w:rPr>
            </w:pPr>
            <w:r w:rsidRPr="003E1E22">
              <w:rPr>
                <w:rFonts w:ascii="Times New Roman" w:hAnsi="Times New Roman" w:cs="Times New Roman"/>
                <w:sz w:val="24"/>
                <w:szCs w:val="24"/>
              </w:rPr>
              <w:t>0-3,000</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$2.54</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0-3,000</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w:t>
            </w:r>
            <w:r>
              <w:rPr>
                <w:rFonts w:ascii="Times New Roman" w:hAnsi="Times New Roman" w:cs="Times New Roman"/>
                <w:sz w:val="24"/>
                <w:szCs w:val="24"/>
              </w:rPr>
              <w:t xml:space="preserve"> </w:t>
            </w:r>
            <w:r w:rsidRPr="003E1E22">
              <w:rPr>
                <w:rFonts w:ascii="Times New Roman" w:hAnsi="Times New Roman" w:cs="Times New Roman"/>
                <w:sz w:val="24"/>
                <w:szCs w:val="24"/>
              </w:rPr>
              <w:t>0.00</w:t>
            </w:r>
          </w:p>
        </w:tc>
      </w:tr>
      <w:tr w:rsidR="003E1E22" w:rsidRPr="003E1E22" w:rsidTr="003E1E22">
        <w:trPr>
          <w:trHeight w:val="259"/>
          <w:jc w:val="center"/>
        </w:trPr>
        <w:tc>
          <w:tcPr>
            <w:tcW w:w="0" w:type="auto"/>
          </w:tcPr>
          <w:p w:rsidR="003E1E22" w:rsidRPr="003E1E22" w:rsidRDefault="003E1E22" w:rsidP="00B034B0">
            <w:pPr>
              <w:jc w:val="both"/>
              <w:rPr>
                <w:rFonts w:ascii="Times New Roman" w:hAnsi="Times New Roman" w:cs="Times New Roman"/>
                <w:sz w:val="24"/>
                <w:szCs w:val="24"/>
              </w:rPr>
            </w:pPr>
            <w:r w:rsidRPr="003E1E22">
              <w:rPr>
                <w:rFonts w:ascii="Times New Roman" w:hAnsi="Times New Roman" w:cs="Times New Roman"/>
                <w:sz w:val="24"/>
                <w:szCs w:val="24"/>
              </w:rPr>
              <w:t>3,001-10,000</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$3.50</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3,001-12,000</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$11.19</w:t>
            </w:r>
          </w:p>
        </w:tc>
      </w:tr>
      <w:tr w:rsidR="003E1E22" w:rsidRPr="003E1E22" w:rsidTr="003E1E22">
        <w:trPr>
          <w:trHeight w:val="259"/>
          <w:jc w:val="center"/>
        </w:trPr>
        <w:tc>
          <w:tcPr>
            <w:tcW w:w="0" w:type="auto"/>
          </w:tcPr>
          <w:p w:rsidR="003E1E22" w:rsidRPr="003E1E22" w:rsidRDefault="003E1E22" w:rsidP="00B034B0">
            <w:pPr>
              <w:jc w:val="both"/>
              <w:rPr>
                <w:rFonts w:ascii="Times New Roman" w:hAnsi="Times New Roman" w:cs="Times New Roman"/>
                <w:sz w:val="24"/>
                <w:szCs w:val="24"/>
              </w:rPr>
            </w:pPr>
            <w:r w:rsidRPr="003E1E22">
              <w:rPr>
                <w:rFonts w:ascii="Times New Roman" w:hAnsi="Times New Roman" w:cs="Times New Roman"/>
                <w:sz w:val="24"/>
                <w:szCs w:val="24"/>
              </w:rPr>
              <w:t>10,001-15,000</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$4.83</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12,001+</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w:t>
            </w:r>
            <w:r>
              <w:rPr>
                <w:rFonts w:ascii="Times New Roman" w:hAnsi="Times New Roman" w:cs="Times New Roman"/>
                <w:sz w:val="24"/>
                <w:szCs w:val="24"/>
              </w:rPr>
              <w:t xml:space="preserve"> </w:t>
            </w:r>
            <w:r w:rsidRPr="003E1E22">
              <w:rPr>
                <w:rFonts w:ascii="Times New Roman" w:hAnsi="Times New Roman" w:cs="Times New Roman"/>
                <w:sz w:val="24"/>
                <w:szCs w:val="24"/>
              </w:rPr>
              <w:t>0.00</w:t>
            </w:r>
          </w:p>
        </w:tc>
      </w:tr>
      <w:tr w:rsidR="003E1E22" w:rsidRPr="003E1E22" w:rsidTr="003E1E22">
        <w:trPr>
          <w:trHeight w:val="259"/>
          <w:jc w:val="center"/>
        </w:trPr>
        <w:tc>
          <w:tcPr>
            <w:tcW w:w="0" w:type="auto"/>
          </w:tcPr>
          <w:p w:rsidR="003E1E22" w:rsidRPr="003E1E22" w:rsidRDefault="003E1E22" w:rsidP="00B034B0">
            <w:pPr>
              <w:jc w:val="both"/>
              <w:rPr>
                <w:rFonts w:ascii="Times New Roman" w:hAnsi="Times New Roman" w:cs="Times New Roman"/>
                <w:sz w:val="24"/>
                <w:szCs w:val="24"/>
              </w:rPr>
            </w:pPr>
            <w:r w:rsidRPr="003E1E22">
              <w:rPr>
                <w:rFonts w:ascii="Times New Roman" w:hAnsi="Times New Roman" w:cs="Times New Roman"/>
                <w:sz w:val="24"/>
                <w:szCs w:val="24"/>
              </w:rPr>
              <w:t>15,001-20,000</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$6.68</w:t>
            </w:r>
          </w:p>
        </w:tc>
        <w:tc>
          <w:tcPr>
            <w:tcW w:w="0" w:type="auto"/>
          </w:tcPr>
          <w:p w:rsidR="003E1E22" w:rsidRPr="003E1E22" w:rsidRDefault="003E1E22" w:rsidP="00B034B0">
            <w:pPr>
              <w:jc w:val="both"/>
              <w:rPr>
                <w:rFonts w:ascii="Times New Roman" w:hAnsi="Times New Roman" w:cs="Times New Roman"/>
                <w:sz w:val="24"/>
                <w:szCs w:val="24"/>
              </w:rPr>
            </w:pPr>
          </w:p>
        </w:tc>
        <w:tc>
          <w:tcPr>
            <w:tcW w:w="0" w:type="auto"/>
          </w:tcPr>
          <w:p w:rsidR="003E1E22" w:rsidRPr="003E1E22" w:rsidRDefault="003E1E22" w:rsidP="00B034B0">
            <w:pPr>
              <w:jc w:val="both"/>
              <w:rPr>
                <w:rFonts w:ascii="Times New Roman" w:hAnsi="Times New Roman" w:cs="Times New Roman"/>
                <w:sz w:val="24"/>
                <w:szCs w:val="24"/>
              </w:rPr>
            </w:pPr>
          </w:p>
        </w:tc>
      </w:tr>
      <w:tr w:rsidR="003E1E22" w:rsidRPr="003E1E22" w:rsidTr="003E1E22">
        <w:trPr>
          <w:trHeight w:val="259"/>
          <w:jc w:val="center"/>
        </w:trPr>
        <w:tc>
          <w:tcPr>
            <w:tcW w:w="0" w:type="auto"/>
          </w:tcPr>
          <w:p w:rsidR="003E1E22" w:rsidRPr="003E1E22" w:rsidRDefault="003E1E22" w:rsidP="00B034B0">
            <w:pPr>
              <w:jc w:val="both"/>
              <w:rPr>
                <w:rFonts w:ascii="Times New Roman" w:hAnsi="Times New Roman" w:cs="Times New Roman"/>
                <w:sz w:val="24"/>
                <w:szCs w:val="24"/>
              </w:rPr>
            </w:pPr>
            <w:r w:rsidRPr="003E1E22">
              <w:rPr>
                <w:rFonts w:ascii="Times New Roman" w:hAnsi="Times New Roman" w:cs="Times New Roman"/>
                <w:sz w:val="24"/>
                <w:szCs w:val="24"/>
              </w:rPr>
              <w:t>20,001+</w:t>
            </w:r>
          </w:p>
        </w:tc>
        <w:tc>
          <w:tcPr>
            <w:tcW w:w="0" w:type="auto"/>
          </w:tcPr>
          <w:p w:rsidR="003E1E22" w:rsidRPr="003E1E22" w:rsidRDefault="003E1E22" w:rsidP="003E1E22">
            <w:pPr>
              <w:jc w:val="center"/>
              <w:rPr>
                <w:rFonts w:ascii="Times New Roman" w:hAnsi="Times New Roman" w:cs="Times New Roman"/>
                <w:sz w:val="24"/>
                <w:szCs w:val="24"/>
              </w:rPr>
            </w:pPr>
            <w:r w:rsidRPr="003E1E22">
              <w:rPr>
                <w:rFonts w:ascii="Times New Roman" w:hAnsi="Times New Roman" w:cs="Times New Roman"/>
                <w:sz w:val="24"/>
                <w:szCs w:val="24"/>
              </w:rPr>
              <w:t>$9.22</w:t>
            </w:r>
          </w:p>
        </w:tc>
        <w:tc>
          <w:tcPr>
            <w:tcW w:w="0" w:type="auto"/>
          </w:tcPr>
          <w:p w:rsidR="003E1E22" w:rsidRPr="003E1E22" w:rsidRDefault="003E1E22" w:rsidP="00B034B0">
            <w:pPr>
              <w:jc w:val="both"/>
              <w:rPr>
                <w:rFonts w:ascii="Times New Roman" w:hAnsi="Times New Roman" w:cs="Times New Roman"/>
                <w:sz w:val="24"/>
                <w:szCs w:val="24"/>
              </w:rPr>
            </w:pPr>
          </w:p>
        </w:tc>
        <w:tc>
          <w:tcPr>
            <w:tcW w:w="0" w:type="auto"/>
          </w:tcPr>
          <w:p w:rsidR="003E1E22" w:rsidRPr="003E1E22" w:rsidRDefault="003E1E22" w:rsidP="00B034B0">
            <w:pPr>
              <w:jc w:val="both"/>
              <w:rPr>
                <w:rFonts w:ascii="Times New Roman" w:hAnsi="Times New Roman" w:cs="Times New Roman"/>
                <w:sz w:val="24"/>
                <w:szCs w:val="24"/>
              </w:rPr>
            </w:pPr>
          </w:p>
        </w:tc>
      </w:tr>
    </w:tbl>
    <w:p w:rsidR="00D03613" w:rsidRPr="00D03613" w:rsidRDefault="00D03613" w:rsidP="00E93753">
      <w:pPr>
        <w:pStyle w:val="FOFNumbered"/>
        <w:spacing w:before="360"/>
      </w:pPr>
      <w:r w:rsidRPr="00D03613">
        <w:lastRenderedPageBreak/>
        <w:t xml:space="preserve">The signatories </w:t>
      </w:r>
      <w:r w:rsidR="008D6883">
        <w:t>agreed</w:t>
      </w:r>
      <w:r w:rsidRPr="00D03613">
        <w:t xml:space="preserve"> that </w:t>
      </w:r>
      <w:r w:rsidR="00776BB5">
        <w:t>Double Diamond</w:t>
      </w:r>
      <w:r w:rsidRPr="00D03613">
        <w:t xml:space="preserve"> should be allowed to implement the other tariff provisions included in the agreed tariff </w:t>
      </w:r>
      <w:r w:rsidR="00D53D5A">
        <w:t>provided as</w:t>
      </w:r>
      <w:r w:rsidRPr="00D03613">
        <w:t xml:space="preserve"> Attachment A </w:t>
      </w:r>
      <w:r w:rsidR="00776BB5" w:rsidRPr="00D03613">
        <w:t xml:space="preserve">to </w:t>
      </w:r>
      <w:r w:rsidR="00D53D5A">
        <w:t>this Order</w:t>
      </w:r>
      <w:r w:rsidRPr="00D03613">
        <w:t>.</w:t>
      </w:r>
    </w:p>
    <w:p w:rsidR="00D03613" w:rsidRPr="00D03613" w:rsidRDefault="00D03613" w:rsidP="00D03613">
      <w:pPr>
        <w:pStyle w:val="FOFNumbered"/>
      </w:pPr>
      <w:r w:rsidRPr="00D03613">
        <w:t xml:space="preserve">The signatories </w:t>
      </w:r>
      <w:r w:rsidR="008D6883">
        <w:t>agreed</w:t>
      </w:r>
      <w:r w:rsidRPr="00D03613">
        <w:t xml:space="preserve"> that the </w:t>
      </w:r>
      <w:r w:rsidR="00D53D5A">
        <w:t>agreed</w:t>
      </w:r>
      <w:r w:rsidRPr="00D03613">
        <w:t xml:space="preserve"> tariff</w:t>
      </w:r>
      <w:r w:rsidR="00D53D5A">
        <w:t>s</w:t>
      </w:r>
      <w:r w:rsidRPr="00D03613">
        <w:t xml:space="preserve"> should be the governing water and sewer utility rates, terms, treatments, and conditions </w:t>
      </w:r>
      <w:r w:rsidR="0098767D">
        <w:t>for Double Diamond’s</w:t>
      </w:r>
      <w:r w:rsidRPr="00D03613">
        <w:t xml:space="preserve"> ratepayers.</w:t>
      </w:r>
    </w:p>
    <w:p w:rsidR="00D03613" w:rsidRPr="00D03613" w:rsidRDefault="00D03613" w:rsidP="00D03613">
      <w:pPr>
        <w:pStyle w:val="FOFNumbered"/>
      </w:pPr>
      <w:r w:rsidRPr="00D03613">
        <w:t xml:space="preserve">The signatories </w:t>
      </w:r>
      <w:r w:rsidR="008D6883">
        <w:t>agreed</w:t>
      </w:r>
      <w:r w:rsidRPr="00D03613">
        <w:t xml:space="preserve"> that </w:t>
      </w:r>
      <w:r w:rsidR="0098767D">
        <w:t>Double Diamond</w:t>
      </w:r>
      <w:r w:rsidRPr="00D03613">
        <w:t xml:space="preserve"> shall not recover or collect any rate case expenses incurred in connection with </w:t>
      </w:r>
      <w:r w:rsidR="008D6883">
        <w:t>the</w:t>
      </w:r>
      <w:r w:rsidRPr="00D03613">
        <w:t xml:space="preserve"> application or this proceeding.</w:t>
      </w:r>
    </w:p>
    <w:p w:rsidR="00D03613" w:rsidRPr="00D03613" w:rsidRDefault="00E30913" w:rsidP="00D03613">
      <w:pPr>
        <w:pStyle w:val="FOFNumbered"/>
      </w:pPr>
      <w:r>
        <w:t>Double Diamond</w:t>
      </w:r>
      <w:r w:rsidR="00D03613" w:rsidRPr="00D03613">
        <w:t xml:space="preserve"> </w:t>
      </w:r>
      <w:r w:rsidR="0044158F">
        <w:t>agreed</w:t>
      </w:r>
      <w:r w:rsidR="00D03613" w:rsidRPr="00D03613">
        <w:t xml:space="preserve"> not </w:t>
      </w:r>
      <w:r w:rsidR="0044158F">
        <w:t>to file</w:t>
      </w:r>
      <w:r w:rsidR="00D03613" w:rsidRPr="00D03613">
        <w:t xml:space="preserve"> a </w:t>
      </w:r>
      <w:r w:rsidR="0044158F">
        <w:t xml:space="preserve">new </w:t>
      </w:r>
      <w:r w:rsidR="00D03613" w:rsidRPr="00D03613">
        <w:t xml:space="preserve">rate change application to increase water and sewer rates </w:t>
      </w:r>
      <w:r w:rsidR="0044158F">
        <w:t xml:space="preserve">with a requested </w:t>
      </w:r>
      <w:r w:rsidR="00D03613" w:rsidRPr="00D03613">
        <w:t xml:space="preserve">effective </w:t>
      </w:r>
      <w:r w:rsidR="007D4569">
        <w:t xml:space="preserve">date prior to </w:t>
      </w:r>
      <w:r w:rsidR="00D03613" w:rsidRPr="00D03613">
        <w:t xml:space="preserve">January 1, 2017, for customers of </w:t>
      </w:r>
      <w:r w:rsidR="007D4569">
        <w:t>The</w:t>
      </w:r>
      <w:r w:rsidR="00D03613" w:rsidRPr="00D03613">
        <w:t xml:space="preserve"> Retreat’s public water and sewer systems and service areas specified in the tariff.  </w:t>
      </w:r>
    </w:p>
    <w:p w:rsidR="00D03613" w:rsidRPr="00D03613" w:rsidRDefault="00D03613" w:rsidP="00D03613">
      <w:pPr>
        <w:pStyle w:val="FOFNumbered"/>
      </w:pPr>
      <w:r w:rsidRPr="00D03613">
        <w:t xml:space="preserve">The signatories </w:t>
      </w:r>
      <w:r w:rsidR="008D6883">
        <w:t>agreed</w:t>
      </w:r>
      <w:r w:rsidRPr="00D03613">
        <w:t xml:space="preserve"> that </w:t>
      </w:r>
      <w:r w:rsidR="00E30913">
        <w:t>Double Diamond</w:t>
      </w:r>
      <w:r w:rsidR="00E30913" w:rsidRPr="00D03613">
        <w:t xml:space="preserve"> </w:t>
      </w:r>
      <w:r w:rsidRPr="00D03613">
        <w:t xml:space="preserve">shall not be required to issue any refunds or credits </w:t>
      </w:r>
      <w:r w:rsidR="00E30913">
        <w:t xml:space="preserve">and shall not </w:t>
      </w:r>
      <w:r w:rsidRPr="00D03613">
        <w:t>collect any surcharges.</w:t>
      </w:r>
    </w:p>
    <w:p w:rsidR="00D03613" w:rsidRPr="00D03613" w:rsidRDefault="00D03613" w:rsidP="00E30913">
      <w:pPr>
        <w:pStyle w:val="Heading7"/>
      </w:pPr>
      <w:r w:rsidRPr="00D03613">
        <w:t xml:space="preserve">Consistency of the </w:t>
      </w:r>
      <w:r w:rsidR="00E30913">
        <w:t>Agreement</w:t>
      </w:r>
      <w:r w:rsidRPr="00D03613">
        <w:t xml:space="preserve"> with the Texas Water Code and Commission Requirements</w:t>
      </w:r>
    </w:p>
    <w:p w:rsidR="00D03613" w:rsidRPr="00D03613" w:rsidRDefault="00D03613" w:rsidP="00D03613">
      <w:pPr>
        <w:pStyle w:val="FOFNumbered"/>
      </w:pPr>
      <w:r w:rsidRPr="00D03613">
        <w:t xml:space="preserve">Considered in light of </w:t>
      </w:r>
      <w:r w:rsidR="00E30913">
        <w:t>Double Diamond’s</w:t>
      </w:r>
      <w:r w:rsidRPr="00D03613">
        <w:t xml:space="preserve"> application and information exchanged through confidential privileged settlement negotiations, the </w:t>
      </w:r>
      <w:r w:rsidR="00E30913">
        <w:t>agreement</w:t>
      </w:r>
      <w:r w:rsidRPr="00D03613">
        <w:t xml:space="preserve"> is the result of compromise from each party, and these efforts, as well as the overall result of the </w:t>
      </w:r>
      <w:r w:rsidR="00E30913">
        <w:t>agreement</w:t>
      </w:r>
      <w:r w:rsidRPr="00D03613">
        <w:t xml:space="preserve">, support the reasonableness and benefits of the terms of the </w:t>
      </w:r>
      <w:r w:rsidR="00E30913">
        <w:t>agreement</w:t>
      </w:r>
      <w:r w:rsidRPr="00D03613">
        <w:t>.</w:t>
      </w:r>
    </w:p>
    <w:p w:rsidR="00D03613" w:rsidRPr="00D03613" w:rsidRDefault="00D03613" w:rsidP="00D03613">
      <w:pPr>
        <w:pStyle w:val="FOFNumbered"/>
      </w:pPr>
      <w:r w:rsidRPr="00D03613">
        <w:t xml:space="preserve">The rates, terms, and conditions of the tariff resulting from the </w:t>
      </w:r>
      <w:r w:rsidR="00E30913">
        <w:t>agreement</w:t>
      </w:r>
      <w:r w:rsidRPr="00D03613">
        <w:t xml:space="preserve"> are just and reasonable when the benefits of avoiding an expensive contested case hearing are considered.</w:t>
      </w:r>
    </w:p>
    <w:p w:rsidR="00EE5DDA" w:rsidRDefault="00EE5DDA" w:rsidP="00EE5DDA">
      <w:pPr>
        <w:pStyle w:val="Heading1"/>
      </w:pPr>
      <w:r>
        <w:t>Conclusions of Law</w:t>
      </w:r>
    </w:p>
    <w:p w:rsidR="001D0C28" w:rsidRPr="00A529D7" w:rsidRDefault="001D0C28" w:rsidP="00A529D7">
      <w:pPr>
        <w:pStyle w:val="COLNumbered"/>
      </w:pPr>
      <w:r w:rsidRPr="00A529D7">
        <w:t xml:space="preserve">Double Diamond is a public utility as defined in </w:t>
      </w:r>
      <w:r w:rsidR="00245E33" w:rsidRPr="00A529D7">
        <w:t xml:space="preserve">Texas Water Code </w:t>
      </w:r>
      <w:r w:rsidRPr="00A529D7">
        <w:t>§ 13.002(23).</w:t>
      </w:r>
      <w:r w:rsidRPr="001303C2">
        <w:rPr>
          <w:rStyle w:val="FootnoteReference"/>
        </w:rPr>
        <w:footnoteReference w:id="1"/>
      </w:r>
    </w:p>
    <w:p w:rsidR="001D0C28" w:rsidRPr="00A529D7" w:rsidRDefault="001D0C28" w:rsidP="00A529D7">
      <w:pPr>
        <w:pStyle w:val="COLNumbered"/>
      </w:pPr>
      <w:r w:rsidRPr="00A529D7">
        <w:t>Prior to September, 1, 2014, the TCEQ had jurisdiction to consider Double Diamond’s application under TWC §§ 13.181 and 13.187.</w:t>
      </w:r>
    </w:p>
    <w:p w:rsidR="001D0C28" w:rsidRPr="00A529D7" w:rsidRDefault="00A529D7" w:rsidP="00A529D7">
      <w:pPr>
        <w:pStyle w:val="COLNumbered"/>
      </w:pPr>
      <w:r>
        <w:t xml:space="preserve">Effective September 1, 2014, </w:t>
      </w:r>
      <w:r w:rsidR="001D0C28" w:rsidRPr="00A529D7">
        <w:t xml:space="preserve">jurisdiction over water and sewer utility ratemaking </w:t>
      </w:r>
      <w:r w:rsidR="008B145C">
        <w:t>vests</w:t>
      </w:r>
      <w:r w:rsidR="001D0C28" w:rsidRPr="00A529D7">
        <w:t xml:space="preserve"> in the Commission</w:t>
      </w:r>
      <w:r>
        <w:t xml:space="preserve"> under </w:t>
      </w:r>
      <w:r w:rsidRPr="00A529D7">
        <w:t xml:space="preserve">revised </w:t>
      </w:r>
      <w:r>
        <w:t>TWC, chapter 13.</w:t>
      </w:r>
    </w:p>
    <w:p w:rsidR="001D0C28" w:rsidRPr="00A529D7" w:rsidRDefault="001D0C28" w:rsidP="00A529D7">
      <w:pPr>
        <w:pStyle w:val="COLNumbered"/>
      </w:pPr>
      <w:r w:rsidRPr="00A529D7">
        <w:lastRenderedPageBreak/>
        <w:t xml:space="preserve">The Commission has jurisdiction to consider Double Diamond’s application for a rate increase and conduct both formal and informal ratemaking hearings </w:t>
      </w:r>
      <w:r w:rsidR="00D01B00">
        <w:t>under</w:t>
      </w:r>
      <w:r w:rsidRPr="00A529D7">
        <w:t xml:space="preserve"> TWC §§ 13.041, 13.181, and 13.187 using the procedures set forth in 30 TAC, chapter 291 before September 1, 2014, now adopted by the Commission as 16 TAC, chapter 24.</w:t>
      </w:r>
    </w:p>
    <w:p w:rsidR="001D0C28" w:rsidRPr="00A529D7" w:rsidRDefault="001D0C28" w:rsidP="00A529D7">
      <w:pPr>
        <w:pStyle w:val="COLNumbered"/>
      </w:pPr>
      <w:r w:rsidRPr="00A529D7">
        <w:t>This docket was processed in accordance with the requirements of the TWC, Texas Administrative Procedure Act,</w:t>
      </w:r>
      <w:r w:rsidRPr="001303C2">
        <w:rPr>
          <w:rStyle w:val="FootnoteReference"/>
        </w:rPr>
        <w:footnoteReference w:id="2"/>
      </w:r>
      <w:r w:rsidRPr="001303C2">
        <w:rPr>
          <w:vertAlign w:val="superscript"/>
        </w:rPr>
        <w:t xml:space="preserve"> </w:t>
      </w:r>
      <w:r w:rsidRPr="00A529D7">
        <w:t>and Commission rules.</w:t>
      </w:r>
    </w:p>
    <w:p w:rsidR="001D0C28" w:rsidRPr="00053647" w:rsidRDefault="001D0C28" w:rsidP="001D0C28">
      <w:pPr>
        <w:pStyle w:val="COLNumbered"/>
      </w:pPr>
      <w:r w:rsidRPr="00053647">
        <w:t xml:space="preserve">Proper notice of the application was given by </w:t>
      </w:r>
      <w:r>
        <w:t>Double Diamond</w:t>
      </w:r>
      <w:r w:rsidRPr="00053647">
        <w:t xml:space="preserve"> as required by </w:t>
      </w:r>
      <w:r>
        <w:t>TWC</w:t>
      </w:r>
      <w:r w:rsidRPr="00053647">
        <w:t xml:space="preserve"> §</w:t>
      </w:r>
      <w:r>
        <w:t> </w:t>
      </w:r>
      <w:r w:rsidRPr="00053647">
        <w:t>13.187</w:t>
      </w:r>
      <w:r>
        <w:t xml:space="preserve">, </w:t>
      </w:r>
      <w:r w:rsidRPr="00053647">
        <w:t xml:space="preserve">30 </w:t>
      </w:r>
      <w:r>
        <w:t>TAC</w:t>
      </w:r>
      <w:r w:rsidRPr="00053647">
        <w:t xml:space="preserve"> §§ 291.22 and 291.28; and </w:t>
      </w:r>
      <w:r>
        <w:t>Texas Government Code</w:t>
      </w:r>
      <w:r w:rsidRPr="00053647">
        <w:t xml:space="preserve"> §§ 2001.051</w:t>
      </w:r>
      <w:r w:rsidR="00EE7540">
        <w:t>-.052</w:t>
      </w:r>
      <w:r w:rsidRPr="00053647">
        <w:t>.</w:t>
      </w:r>
      <w:r>
        <w:rPr>
          <w:rStyle w:val="FootnoteReference"/>
        </w:rPr>
        <w:footnoteReference w:id="3"/>
      </w:r>
    </w:p>
    <w:p w:rsidR="001D0C28" w:rsidRPr="00053647" w:rsidRDefault="001D0C28" w:rsidP="001D0C28">
      <w:pPr>
        <w:pStyle w:val="COLNumbered"/>
      </w:pPr>
      <w:r w:rsidRPr="00053647">
        <w:t>This docket contains no remaining contested issues of fact or law.</w:t>
      </w:r>
    </w:p>
    <w:p w:rsidR="001D0C28" w:rsidRPr="00053647" w:rsidRDefault="001D0C28" w:rsidP="001D0C28">
      <w:pPr>
        <w:pStyle w:val="COLNumbered"/>
      </w:pPr>
      <w:r w:rsidRPr="00053647">
        <w:t xml:space="preserve">The agreement, taken as a whole, is a just and reasonable resolution of all </w:t>
      </w:r>
      <w:r>
        <w:t xml:space="preserve">of the </w:t>
      </w:r>
      <w:r w:rsidRPr="00053647">
        <w:t>issues it addresses, results in just and reasonable rates, terms</w:t>
      </w:r>
      <w:r>
        <w:t>,</w:t>
      </w:r>
      <w:r w:rsidRPr="00053647">
        <w:t xml:space="preserve"> and conditions, is consistent with the relevant provisions of </w:t>
      </w:r>
      <w:r>
        <w:t xml:space="preserve">TWC, chapter 13, </w:t>
      </w:r>
      <w:r w:rsidRPr="00053647">
        <w:t>and should be approved.</w:t>
      </w:r>
    </w:p>
    <w:p w:rsidR="001D0C28" w:rsidRPr="00053647" w:rsidRDefault="001D0C28" w:rsidP="001D0C28">
      <w:pPr>
        <w:pStyle w:val="COLNumbered"/>
      </w:pPr>
      <w:r w:rsidRPr="00053647">
        <w:t xml:space="preserve">The rates agreed to in the </w:t>
      </w:r>
      <w:r>
        <w:t xml:space="preserve">agreement </w:t>
      </w:r>
      <w:r w:rsidRPr="00053647">
        <w:t xml:space="preserve">are just and reasonable, comply with the ratemaking provisions </w:t>
      </w:r>
      <w:r>
        <w:t xml:space="preserve">of TWC, chapter 13, and </w:t>
      </w:r>
      <w:r w:rsidRPr="00053647">
        <w:t>are not unreasonably discriminatory, preferential, or prejudicial.</w:t>
      </w:r>
    </w:p>
    <w:p w:rsidR="001D0C28" w:rsidRPr="00053647" w:rsidRDefault="001D0C28" w:rsidP="001D0C28">
      <w:pPr>
        <w:pStyle w:val="COLNumbered"/>
      </w:pPr>
      <w:r w:rsidRPr="00053647">
        <w:t xml:space="preserve">The rates resulting from the </w:t>
      </w:r>
      <w:r w:rsidR="00A20F5E">
        <w:t>agreement</w:t>
      </w:r>
      <w:r w:rsidRPr="00053647">
        <w:t xml:space="preserve"> are just and reasonable, and consistent with </w:t>
      </w:r>
      <w:r w:rsidR="00EE7540">
        <w:t>TWC, c</w:t>
      </w:r>
      <w:r w:rsidRPr="00053647">
        <w:t>hapter 13.</w:t>
      </w:r>
    </w:p>
    <w:p w:rsidR="001D0C28" w:rsidRPr="00053647" w:rsidRDefault="001D0C28" w:rsidP="001D0C28">
      <w:pPr>
        <w:pStyle w:val="COLNumbered"/>
      </w:pPr>
      <w:r w:rsidRPr="00053647">
        <w:t xml:space="preserve">The requirements for informal disposition under </w:t>
      </w:r>
      <w:r w:rsidR="00EE7540">
        <w:t xml:space="preserve">16 TAC § </w:t>
      </w:r>
      <w:r w:rsidRPr="00053647">
        <w:t>22.35 have been met in this proceeding.</w:t>
      </w:r>
    </w:p>
    <w:p w:rsidR="00EE5DDA" w:rsidRDefault="00EE5DDA" w:rsidP="00EE5DDA">
      <w:pPr>
        <w:pStyle w:val="Heading1"/>
      </w:pPr>
      <w:r>
        <w:t>Ordering Paragraphs</w:t>
      </w:r>
    </w:p>
    <w:p w:rsidR="008D1724" w:rsidRPr="008D1724" w:rsidRDefault="008D1724" w:rsidP="008D1724">
      <w:pPr>
        <w:pStyle w:val="BodyText"/>
      </w:pPr>
      <w:r>
        <w:t>In accordance with these findings of fact and conclusions of law, the Commission issues the following orders:</w:t>
      </w:r>
    </w:p>
    <w:p w:rsidR="00D5110C" w:rsidRDefault="00D5110C" w:rsidP="00D5110C">
      <w:pPr>
        <w:pStyle w:val="OrderingParagraph"/>
      </w:pPr>
      <w:r>
        <w:t>Consistent with the agreement and the preceding findings of fact and conclusions of law, Double Diamond’s application is approved.</w:t>
      </w:r>
    </w:p>
    <w:p w:rsidR="00F75D05" w:rsidRPr="00D5110C" w:rsidRDefault="00F75D05" w:rsidP="00AD6F7C">
      <w:pPr>
        <w:pStyle w:val="OrderingParagraph"/>
      </w:pPr>
      <w:r>
        <w:lastRenderedPageBreak/>
        <w:t>Consistent with the agreement, Double Diamond’s tariffed rates, terms, and conditions, are approved.</w:t>
      </w:r>
    </w:p>
    <w:p w:rsidR="00D5110C" w:rsidRPr="00D5110C" w:rsidRDefault="00D5110C" w:rsidP="00D5110C">
      <w:pPr>
        <w:pStyle w:val="OrderingParagraph"/>
      </w:pPr>
      <w:r>
        <w:t>The water and sewer tariff</w:t>
      </w:r>
      <w:r w:rsidR="000517ED">
        <w:t>s</w:t>
      </w:r>
      <w:r>
        <w:t xml:space="preserve"> included with this Order as Attachment </w:t>
      </w:r>
      <w:proofErr w:type="gramStart"/>
      <w:r>
        <w:t>A</w:t>
      </w:r>
      <w:proofErr w:type="gramEnd"/>
      <w:r w:rsidR="0073269B">
        <w:t xml:space="preserve"> </w:t>
      </w:r>
      <w:r>
        <w:t>are approved.</w:t>
      </w:r>
    </w:p>
    <w:p w:rsidR="00D5110C" w:rsidRPr="00D5110C" w:rsidRDefault="00D5110C" w:rsidP="00D5110C">
      <w:pPr>
        <w:pStyle w:val="OrderingParagraph"/>
      </w:pPr>
      <w:r>
        <w:t>Double Diamond</w:t>
      </w:r>
      <w:r w:rsidRPr="00D5110C">
        <w:t xml:space="preserve"> shall not seek to recover rate case expenses that it has incurred or will incur in relation to </w:t>
      </w:r>
      <w:r w:rsidR="008D6883">
        <w:t>the</w:t>
      </w:r>
      <w:r w:rsidRPr="00D5110C">
        <w:t xml:space="preserve"> application or this docket.</w:t>
      </w:r>
    </w:p>
    <w:p w:rsidR="00D5110C" w:rsidRPr="00D5110C" w:rsidRDefault="00D5110C" w:rsidP="00D5110C">
      <w:pPr>
        <w:pStyle w:val="OrderingParagraph"/>
      </w:pPr>
      <w:r>
        <w:t xml:space="preserve">Double Diamond </w:t>
      </w:r>
      <w:r w:rsidRPr="00D5110C">
        <w:t xml:space="preserve">is not required to issue any refunds or credits </w:t>
      </w:r>
      <w:r>
        <w:t xml:space="preserve">and shall not </w:t>
      </w:r>
      <w:r w:rsidRPr="00D5110C">
        <w:t xml:space="preserve">collect any surcharges for the difference between the rates it has collected and any of the rate schedules </w:t>
      </w:r>
      <w:r>
        <w:t xml:space="preserve">contained </w:t>
      </w:r>
      <w:r w:rsidRPr="00D5110C">
        <w:t>in Attachment A</w:t>
      </w:r>
      <w:r>
        <w:t xml:space="preserve"> to this Order</w:t>
      </w:r>
      <w:r w:rsidRPr="00D5110C">
        <w:t>.</w:t>
      </w:r>
    </w:p>
    <w:p w:rsidR="00D5110C" w:rsidRPr="00D5110C" w:rsidRDefault="00D5110C" w:rsidP="00D5110C">
      <w:pPr>
        <w:pStyle w:val="OrderingParagraph"/>
      </w:pPr>
      <w:r w:rsidRPr="00D5110C">
        <w:t>Entry of this Order d</w:t>
      </w:r>
      <w:r w:rsidR="007F7A23">
        <w:t>oes not indicate the Commission’</w:t>
      </w:r>
      <w:r w:rsidRPr="00D5110C">
        <w:t xml:space="preserve">s endorsement or approval of any principle or methodology that may underlie the </w:t>
      </w:r>
      <w:r w:rsidR="00146116">
        <w:t>agreement</w:t>
      </w:r>
      <w:r w:rsidRPr="00D5110C">
        <w:t xml:space="preserve">.  Entry of this Order shall not be regarded as binding holding or precedent as to the appropriateness of any principle or methodology underlying the </w:t>
      </w:r>
      <w:r w:rsidR="00146116">
        <w:t>agreement</w:t>
      </w:r>
      <w:r w:rsidRPr="00D5110C">
        <w:t>.</w:t>
      </w:r>
    </w:p>
    <w:p w:rsidR="00D5110C" w:rsidRPr="00D5110C" w:rsidRDefault="00D5110C" w:rsidP="00D5110C">
      <w:pPr>
        <w:pStyle w:val="OrderingParagraph"/>
      </w:pPr>
      <w:r w:rsidRPr="00D5110C">
        <w:t xml:space="preserve">All other motions, requests </w:t>
      </w:r>
      <w:r w:rsidR="00600F7F">
        <w:t>f</w:t>
      </w:r>
      <w:r w:rsidRPr="00D5110C">
        <w:t>or entry of specific findings of fact, conclusions of law, and ordering paragraphs, and any other requests for general or specific relief, if not expressly granted are denied.</w:t>
      </w:r>
    </w:p>
    <w:p w:rsidR="00160DCD" w:rsidRDefault="00160DCD" w:rsidP="008B5BE7">
      <w:pPr>
        <w:pStyle w:val="Dateline"/>
        <w:spacing w:before="240"/>
      </w:pPr>
      <w:r>
        <w:t xml:space="preserve">Signed at Austin, Texas the ______ day of </w:t>
      </w:r>
      <w:r w:rsidR="00D5110C">
        <w:t>May 2017</w:t>
      </w:r>
      <w:r w:rsidR="008D1724">
        <w:t>.</w:t>
      </w:r>
    </w:p>
    <w:p w:rsidR="008D1724" w:rsidRDefault="008D1724" w:rsidP="008D1724">
      <w:pPr>
        <w:pStyle w:val="Dateline"/>
      </w:pPr>
    </w:p>
    <w:p w:rsidR="00160DCD" w:rsidRDefault="00160DCD" w:rsidP="00160DCD">
      <w:pPr>
        <w:pStyle w:val="Signatures"/>
      </w:pPr>
      <w:r>
        <w:t>PUBLIC UTILITY COMMISSION OF TEXAS</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160DCD" w:rsidP="00160DCD">
      <w:pPr>
        <w:pStyle w:val="Signatures"/>
      </w:pPr>
      <w:r w:rsidRPr="00160DCD">
        <w:t>______________________________________________</w:t>
      </w:r>
    </w:p>
    <w:p w:rsidR="00160DCD" w:rsidRDefault="00160DCD" w:rsidP="00160DCD">
      <w:pPr>
        <w:pStyle w:val="Signatures"/>
      </w:pPr>
      <w:r>
        <w:t>KENNETH W. ANDERSON, JR., COMMISSIONER</w:t>
      </w:r>
    </w:p>
    <w:p w:rsidR="00160DCD" w:rsidRDefault="00160DCD" w:rsidP="00160DCD">
      <w:pPr>
        <w:pStyle w:val="Signatures"/>
      </w:pPr>
    </w:p>
    <w:p w:rsidR="00160DCD" w:rsidRDefault="00160DCD" w:rsidP="00160DCD">
      <w:pPr>
        <w:pStyle w:val="Signatures"/>
      </w:pPr>
    </w:p>
    <w:p w:rsidR="00160DCD" w:rsidRDefault="00160DCD" w:rsidP="00160DCD">
      <w:pPr>
        <w:pStyle w:val="Signatures"/>
      </w:pPr>
    </w:p>
    <w:p w:rsidR="00160DCD" w:rsidRDefault="00FF1816" w:rsidP="00160DCD">
      <w:pPr>
        <w:pStyle w:val="Signatures"/>
      </w:pPr>
      <w:r w:rsidRPr="00160DCD">
        <w:t>______________________________________________</w:t>
      </w:r>
    </w:p>
    <w:p w:rsidR="00160DCD" w:rsidRDefault="00FF1816" w:rsidP="00160DCD">
      <w:pPr>
        <w:pStyle w:val="Signatures"/>
      </w:pPr>
      <w:r>
        <w:t>BRANDY MARTY MARQUEZ</w:t>
      </w:r>
      <w:r w:rsidR="00160DCD">
        <w:t>, COMMISSIONER</w:t>
      </w:r>
    </w:p>
    <w:p w:rsidR="00160DCD" w:rsidRDefault="00160DCD" w:rsidP="00160DCD"/>
    <w:p w:rsidR="00FE4318" w:rsidRPr="00D5110C" w:rsidRDefault="00FE4318" w:rsidP="0062202F">
      <w:pPr>
        <w:pStyle w:val="EndMatter"/>
        <w:rPr>
          <w:sz w:val="16"/>
          <w:szCs w:val="16"/>
        </w:rPr>
      </w:pPr>
      <w:r w:rsidRPr="00D5110C">
        <w:rPr>
          <w:sz w:val="16"/>
          <w:szCs w:val="16"/>
        </w:rPr>
        <w:t>W2013</w:t>
      </w:r>
    </w:p>
    <w:p w:rsidR="00160DCD" w:rsidRPr="00D5110C" w:rsidRDefault="00FF4366" w:rsidP="0062202F">
      <w:pPr>
        <w:pStyle w:val="EndMatter"/>
        <w:rPr>
          <w:sz w:val="16"/>
          <w:szCs w:val="16"/>
        </w:rPr>
      </w:pPr>
      <w:r w:rsidRPr="00D5110C">
        <w:rPr>
          <w:sz w:val="16"/>
          <w:szCs w:val="16"/>
        </w:rPr>
        <w:fldChar w:fldCharType="begin"/>
      </w:r>
      <w:r w:rsidRPr="00D5110C">
        <w:rPr>
          <w:sz w:val="16"/>
          <w:szCs w:val="16"/>
        </w:rPr>
        <w:instrText xml:space="preserve"> FILENAME  \* Lower \p  \* MERGEFORMAT </w:instrText>
      </w:r>
      <w:r w:rsidRPr="00D5110C">
        <w:rPr>
          <w:sz w:val="16"/>
          <w:szCs w:val="16"/>
        </w:rPr>
        <w:fldChar w:fldCharType="separate"/>
      </w:r>
      <w:r w:rsidR="00E654B9">
        <w:rPr>
          <w:noProof/>
          <w:sz w:val="16"/>
          <w:szCs w:val="16"/>
        </w:rPr>
        <w:t>q:\cadm\orders\final\42000\42919fo.docx</w:t>
      </w:r>
      <w:r w:rsidRPr="00D5110C">
        <w:rPr>
          <w:noProof/>
          <w:sz w:val="16"/>
          <w:szCs w:val="16"/>
        </w:rPr>
        <w:fldChar w:fldCharType="end"/>
      </w:r>
    </w:p>
    <w:sectPr w:rsidR="00160DCD" w:rsidRPr="00D5110C" w:rsidSect="00ED04FC">
      <w:headerReference w:type="default" r:id="rId8"/>
      <w:pgSz w:w="12240" w:h="15840"/>
      <w:pgMar w:top="1440" w:right="1440" w:bottom="1440" w:left="1440" w:header="720" w:footer="720" w:gutter="0"/>
      <w:cols w:space="720"/>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4121C" w:rsidRDefault="0054121C" w:rsidP="00D03394">
      <w:r>
        <w:separator/>
      </w:r>
    </w:p>
  </w:endnote>
  <w:endnote w:type="continuationSeparator" w:id="0">
    <w:p w:rsidR="0054121C" w:rsidRDefault="0054121C" w:rsidP="00D033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4121C" w:rsidRDefault="0054121C" w:rsidP="00D03394">
      <w:r>
        <w:separator/>
      </w:r>
    </w:p>
  </w:footnote>
  <w:footnote w:type="continuationSeparator" w:id="0">
    <w:p w:rsidR="0054121C" w:rsidRDefault="0054121C" w:rsidP="00D03394">
      <w:r>
        <w:continuationSeparator/>
      </w:r>
    </w:p>
  </w:footnote>
  <w:footnote w:id="1">
    <w:p w:rsidR="001D0C28" w:rsidRDefault="001D0C28" w:rsidP="009C4A2A">
      <w:pPr>
        <w:pStyle w:val="FootnoteText"/>
        <w:spacing w:after="120"/>
      </w:pPr>
      <w:r>
        <w:rPr>
          <w:rStyle w:val="FootnoteReference"/>
        </w:rPr>
        <w:footnoteRef/>
      </w:r>
      <w:r>
        <w:t xml:space="preserve"> </w:t>
      </w:r>
      <w:r w:rsidR="00245E33">
        <w:t>Tex. Water Code Ann. § 13.002(23) (West 2008 and Supp. 2016) (TWC).</w:t>
      </w:r>
    </w:p>
  </w:footnote>
  <w:footnote w:id="2">
    <w:p w:rsidR="001D0C28" w:rsidRDefault="001D0C28" w:rsidP="009C4A2A">
      <w:pPr>
        <w:pStyle w:val="FootnoteText"/>
        <w:spacing w:after="120"/>
      </w:pPr>
      <w:r>
        <w:rPr>
          <w:rStyle w:val="FootnoteReference"/>
        </w:rPr>
        <w:footnoteRef/>
      </w:r>
      <w:r>
        <w:t xml:space="preserve"> </w:t>
      </w:r>
      <w:r w:rsidR="009C4A2A">
        <w:t>Tex. Gov’</w:t>
      </w:r>
      <w:r w:rsidR="009C4A2A" w:rsidRPr="000841BA">
        <w:t xml:space="preserve">t Code </w:t>
      </w:r>
      <w:r w:rsidR="009C4A2A">
        <w:t xml:space="preserve">Ann. </w:t>
      </w:r>
      <w:r w:rsidR="009C4A2A" w:rsidRPr="000841BA">
        <w:t>§§ 2001.001</w:t>
      </w:r>
      <w:r w:rsidR="009C4A2A">
        <w:t xml:space="preserve"> - .092 (West 2016).</w:t>
      </w:r>
    </w:p>
  </w:footnote>
  <w:footnote w:id="3">
    <w:p w:rsidR="001D0C28" w:rsidRDefault="001D0C28">
      <w:pPr>
        <w:pStyle w:val="FootnoteText"/>
      </w:pPr>
      <w:r>
        <w:rPr>
          <w:rStyle w:val="FootnoteReference"/>
        </w:rPr>
        <w:footnoteRef/>
      </w:r>
      <w:r>
        <w:t xml:space="preserve"> </w:t>
      </w:r>
      <w:r w:rsidR="00EE7540">
        <w:t>Tex. Gov’t Code Ann. §§ 2001.05</w:t>
      </w:r>
      <w:r w:rsidR="00EE7540" w:rsidRPr="006F0D23">
        <w:t>1-.</w:t>
      </w:r>
      <w:r w:rsidR="00EE7540">
        <w:t>052</w:t>
      </w:r>
      <w:r w:rsidR="00EE7540" w:rsidRPr="006F0D23">
        <w:t xml:space="preserve"> (West </w:t>
      </w:r>
      <w:r w:rsidR="00EE7540">
        <w:t>2016).</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ED04FC" w:rsidRPr="00D03613" w:rsidRDefault="00ED04FC" w:rsidP="00D03613">
    <w:pPr>
      <w:pStyle w:val="Header"/>
      <w:tabs>
        <w:tab w:val="clear" w:pos="4680"/>
        <w:tab w:val="center" w:pos="4950"/>
      </w:tabs>
      <w:rPr>
        <w:sz w:val="20"/>
        <w:szCs w:val="20"/>
      </w:rPr>
    </w:pPr>
    <w:r w:rsidRPr="00D03613">
      <w:rPr>
        <w:sz w:val="20"/>
        <w:szCs w:val="20"/>
      </w:rPr>
      <w:t>PUC Docket No. </w:t>
    </w:r>
    <w:r w:rsidR="00D03613" w:rsidRPr="00D03613">
      <w:rPr>
        <w:sz w:val="20"/>
        <w:szCs w:val="20"/>
      </w:rPr>
      <w:t>42919</w:t>
    </w:r>
    <w:r w:rsidRPr="00D03613">
      <w:rPr>
        <w:sz w:val="20"/>
        <w:szCs w:val="20"/>
      </w:rPr>
      <w:tab/>
    </w:r>
    <w:r w:rsidR="00D03613" w:rsidRPr="00D03613">
      <w:rPr>
        <w:sz w:val="20"/>
        <w:szCs w:val="20"/>
      </w:rPr>
      <w:t xml:space="preserve"> </w:t>
    </w:r>
    <w:r w:rsidRPr="00D03613">
      <w:rPr>
        <w:sz w:val="20"/>
        <w:szCs w:val="20"/>
      </w:rPr>
      <w:t>Order</w:t>
    </w:r>
    <w:r w:rsidRPr="00D03613">
      <w:rPr>
        <w:sz w:val="20"/>
        <w:szCs w:val="20"/>
      </w:rPr>
      <w:tab/>
      <w:t xml:space="preserve">Page </w:t>
    </w:r>
    <w:r w:rsidRPr="00D03613">
      <w:rPr>
        <w:sz w:val="20"/>
        <w:szCs w:val="20"/>
      </w:rPr>
      <w:fldChar w:fldCharType="begin"/>
    </w:r>
    <w:r w:rsidRPr="00D03613">
      <w:rPr>
        <w:sz w:val="20"/>
        <w:szCs w:val="20"/>
      </w:rPr>
      <w:instrText xml:space="preserve"> PAGE   \* MERGEFORMAT </w:instrText>
    </w:r>
    <w:r w:rsidRPr="00D03613">
      <w:rPr>
        <w:sz w:val="20"/>
        <w:szCs w:val="20"/>
      </w:rPr>
      <w:fldChar w:fldCharType="separate"/>
    </w:r>
    <w:r w:rsidR="00283AA6">
      <w:rPr>
        <w:noProof/>
        <w:sz w:val="20"/>
        <w:szCs w:val="20"/>
      </w:rPr>
      <w:t>6</w:t>
    </w:r>
    <w:r w:rsidRPr="00D03613">
      <w:rPr>
        <w:sz w:val="20"/>
        <w:szCs w:val="20"/>
      </w:rPr>
      <w:fldChar w:fldCharType="end"/>
    </w:r>
    <w:r w:rsidRPr="00D03613">
      <w:rPr>
        <w:sz w:val="20"/>
        <w:szCs w:val="20"/>
      </w:rPr>
      <w:t xml:space="preserve"> of </w:t>
    </w:r>
    <w:r w:rsidR="00FF4366" w:rsidRPr="00D03613">
      <w:rPr>
        <w:sz w:val="20"/>
        <w:szCs w:val="20"/>
      </w:rPr>
      <w:fldChar w:fldCharType="begin"/>
    </w:r>
    <w:r w:rsidR="00FF4366" w:rsidRPr="00D03613">
      <w:rPr>
        <w:sz w:val="20"/>
        <w:szCs w:val="20"/>
      </w:rPr>
      <w:instrText xml:space="preserve"> NUMPAGES   \* MERGEFORMAT </w:instrText>
    </w:r>
    <w:r w:rsidR="00FF4366" w:rsidRPr="00D03613">
      <w:rPr>
        <w:sz w:val="20"/>
        <w:szCs w:val="20"/>
      </w:rPr>
      <w:fldChar w:fldCharType="separate"/>
    </w:r>
    <w:r w:rsidR="00283AA6">
      <w:rPr>
        <w:noProof/>
        <w:sz w:val="20"/>
        <w:szCs w:val="20"/>
      </w:rPr>
      <w:t>7</w:t>
    </w:r>
    <w:r w:rsidR="00FF4366" w:rsidRPr="00D03613">
      <w:rPr>
        <w:noProof/>
        <w:sz w:val="20"/>
        <w:szCs w:val="20"/>
      </w:rPr>
      <w:fldChar w:fldCharType="end"/>
    </w:r>
  </w:p>
  <w:p w:rsidR="00ED04FC" w:rsidRPr="00D03613" w:rsidRDefault="00ED04FC">
    <w:pPr>
      <w:pStyle w:val="Header"/>
      <w:rPr>
        <w:sz w:val="20"/>
        <w:szCs w:val="20"/>
      </w:rPr>
    </w:pPr>
    <w:r w:rsidRPr="00D03613">
      <w:rPr>
        <w:sz w:val="20"/>
        <w:szCs w:val="20"/>
      </w:rPr>
      <w:t>SOAH Docket No. </w:t>
    </w:r>
    <w:r w:rsidR="00D03613" w:rsidRPr="00D03613">
      <w:rPr>
        <w:rFonts w:eastAsia="Times New Roman"/>
        <w:sz w:val="20"/>
        <w:szCs w:val="20"/>
      </w:rPr>
      <w:t>473-15-0372.WS</w:t>
    </w:r>
  </w:p>
  <w:p w:rsidR="00ED04FC" w:rsidRDefault="00ED04FC">
    <w:pPr>
      <w:pStyle w:val="Header"/>
    </w:pPr>
  </w:p>
  <w:p w:rsidR="00ED04FC" w:rsidRDefault="00ED04FC">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8"/>
    <w:multiLevelType w:val="singleLevel"/>
    <w:tmpl w:val="95706E62"/>
    <w:lvl w:ilvl="0">
      <w:start w:val="1"/>
      <w:numFmt w:val="decimal"/>
      <w:pStyle w:val="ListNumber"/>
      <w:lvlText w:val="%1."/>
      <w:lvlJc w:val="left"/>
      <w:pPr>
        <w:ind w:left="360" w:hanging="360"/>
      </w:pPr>
      <w:rPr>
        <w:rFonts w:hint="default"/>
        <w:b w:val="0"/>
        <w:i w:val="0"/>
        <w:sz w:val="24"/>
      </w:rPr>
    </w:lvl>
  </w:abstractNum>
  <w:abstractNum w:abstractNumId="1" w15:restartNumberingAfterBreak="0">
    <w:nsid w:val="0A8F3D5E"/>
    <w:multiLevelType w:val="singleLevel"/>
    <w:tmpl w:val="9470F582"/>
    <w:lvl w:ilvl="0">
      <w:start w:val="1"/>
      <w:numFmt w:val="decimal"/>
      <w:pStyle w:val="FOFNumbered"/>
      <w:lvlText w:val="%1."/>
      <w:lvlJc w:val="left"/>
      <w:pPr>
        <w:tabs>
          <w:tab w:val="num" w:pos="720"/>
        </w:tabs>
        <w:ind w:left="720" w:hanging="720"/>
      </w:pPr>
    </w:lvl>
  </w:abstractNum>
  <w:abstractNum w:abstractNumId="2" w15:restartNumberingAfterBreak="0">
    <w:nsid w:val="191315B5"/>
    <w:multiLevelType w:val="hybridMultilevel"/>
    <w:tmpl w:val="1EC4C7B8"/>
    <w:lvl w:ilvl="0" w:tplc="14A0B020">
      <w:start w:val="1"/>
      <w:numFmt w:val="upp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4AE347E"/>
    <w:multiLevelType w:val="multilevel"/>
    <w:tmpl w:val="ADFAF022"/>
    <w:lvl w:ilvl="0">
      <w:start w:val="1"/>
      <w:numFmt w:val="upperRoman"/>
      <w:pStyle w:val="Heading1"/>
      <w:lvlText w:val="%1."/>
      <w:lvlJc w:val="center"/>
      <w:pPr>
        <w:tabs>
          <w:tab w:val="num" w:pos="360"/>
        </w:tabs>
        <w:ind w:left="0" w:firstLine="0"/>
      </w:pPr>
      <w:rPr>
        <w:rFonts w:ascii="Times New Roman" w:hAnsi="Times New Roman" w:hint="default"/>
        <w:b/>
        <w:i w:val="0"/>
        <w:sz w:val="24"/>
      </w:rPr>
    </w:lvl>
    <w:lvl w:ilvl="1">
      <w:start w:val="1"/>
      <w:numFmt w:val="upperLetter"/>
      <w:pStyle w:val="Heading2"/>
      <w:lvlText w:val="%2."/>
      <w:lvlJc w:val="center"/>
      <w:pPr>
        <w:tabs>
          <w:tab w:val="num" w:pos="360"/>
        </w:tabs>
        <w:ind w:left="0" w:firstLine="0"/>
      </w:pPr>
      <w:rPr>
        <w:rFonts w:hint="default"/>
      </w:rPr>
    </w:lvl>
    <w:lvl w:ilvl="2">
      <w:start w:val="1"/>
      <w:numFmt w:val="decimal"/>
      <w:pStyle w:val="Heading3"/>
      <w:lvlText w:val="%3."/>
      <w:lvlJc w:val="left"/>
      <w:pPr>
        <w:tabs>
          <w:tab w:val="num" w:pos="360"/>
        </w:tabs>
        <w:ind w:left="360" w:hanging="360"/>
      </w:pPr>
      <w:rPr>
        <w:rFonts w:hint="default"/>
      </w:rPr>
    </w:lvl>
    <w:lvl w:ilvl="3">
      <w:start w:val="1"/>
      <w:numFmt w:val="lowerLetter"/>
      <w:pStyle w:val="Heading4"/>
      <w:lvlText w:val="%4."/>
      <w:lvlJc w:val="left"/>
      <w:pPr>
        <w:tabs>
          <w:tab w:val="num" w:pos="360"/>
        </w:tabs>
        <w:ind w:left="360" w:hanging="360"/>
      </w:pPr>
      <w:rPr>
        <w:rFonts w:hint="default"/>
      </w:rPr>
    </w:lvl>
    <w:lvl w:ilvl="4">
      <w:start w:val="1"/>
      <w:numFmt w:val="lowerRoman"/>
      <w:pStyle w:val="Heading5"/>
      <w:lvlText w:val="(%5)"/>
      <w:lvlJc w:val="left"/>
      <w:pPr>
        <w:tabs>
          <w:tab w:val="num" w:pos="720"/>
        </w:tabs>
        <w:ind w:left="720" w:hanging="360"/>
      </w:pPr>
      <w:rPr>
        <w:rFonts w:hint="default"/>
      </w:rPr>
    </w:lvl>
    <w:lvl w:ilvl="5">
      <w:start w:val="1"/>
      <w:numFmt w:val="decimal"/>
      <w:pStyle w:val="Heading6"/>
      <w:lvlText w:val="(%6)"/>
      <w:lvlJc w:val="left"/>
      <w:pPr>
        <w:tabs>
          <w:tab w:val="num" w:pos="720"/>
        </w:tabs>
        <w:ind w:left="720" w:hanging="360"/>
      </w:pPr>
      <w:rPr>
        <w:rFonts w:hint="default"/>
      </w:rPr>
    </w:lvl>
    <w:lvl w:ilvl="6">
      <w:start w:val="1"/>
      <w:numFmt w:val="none"/>
      <w:pStyle w:val="Heading7"/>
      <w:suff w:val="nothing"/>
      <w:lvlText w:val="%7"/>
      <w:lvlJc w:val="left"/>
      <w:pPr>
        <w:ind w:left="0" w:firstLine="0"/>
      </w:pPr>
      <w:rPr>
        <w:rFonts w:hint="default"/>
      </w:rPr>
    </w:lvl>
    <w:lvl w:ilvl="7">
      <w:start w:val="1"/>
      <w:numFmt w:val="decimal"/>
      <w:lvlRestart w:val="3"/>
      <w:pStyle w:val="Heading8"/>
      <w:lvlText w:val="%8."/>
      <w:lvlJc w:val="left"/>
      <w:pPr>
        <w:tabs>
          <w:tab w:val="num" w:pos="360"/>
        </w:tabs>
        <w:ind w:left="0" w:firstLine="0"/>
      </w:pPr>
      <w:rPr>
        <w:rFonts w:hint="default"/>
      </w:rPr>
    </w:lvl>
    <w:lvl w:ilvl="8">
      <w:start w:val="1"/>
      <w:numFmt w:val="lowerLetter"/>
      <w:pStyle w:val="Heading9"/>
      <w:lvlText w:val="%9."/>
      <w:lvlJc w:val="left"/>
      <w:pPr>
        <w:tabs>
          <w:tab w:val="num" w:pos="360"/>
        </w:tabs>
        <w:ind w:left="0" w:firstLine="0"/>
      </w:pPr>
      <w:rPr>
        <w:rFonts w:hint="default"/>
      </w:rPr>
    </w:lvl>
  </w:abstractNum>
  <w:abstractNum w:abstractNumId="4" w15:restartNumberingAfterBreak="0">
    <w:nsid w:val="666B6E08"/>
    <w:multiLevelType w:val="hybridMultilevel"/>
    <w:tmpl w:val="0C4E73D2"/>
    <w:lvl w:ilvl="0" w:tplc="F1C242D8">
      <w:start w:val="1"/>
      <w:numFmt w:val="decimal"/>
      <w:pStyle w:val="COLNumbered"/>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6F502CE1"/>
    <w:multiLevelType w:val="singleLevel"/>
    <w:tmpl w:val="24648554"/>
    <w:lvl w:ilvl="0">
      <w:start w:val="1"/>
      <w:numFmt w:val="decimal"/>
      <w:pStyle w:val="OrderingParagraph"/>
      <w:lvlText w:val="%1."/>
      <w:lvlJc w:val="left"/>
      <w:pPr>
        <w:tabs>
          <w:tab w:val="num" w:pos="720"/>
        </w:tabs>
        <w:ind w:left="720" w:hanging="720"/>
      </w:pPr>
    </w:lvl>
  </w:abstractNum>
  <w:abstractNum w:abstractNumId="6" w15:restartNumberingAfterBreak="0">
    <w:nsid w:val="6F6B1C74"/>
    <w:multiLevelType w:val="multilevel"/>
    <w:tmpl w:val="CA0491EE"/>
    <w:lvl w:ilvl="0">
      <w:start w:val="1"/>
      <w:numFmt w:val="upperRoman"/>
      <w:suff w:val="space"/>
      <w:lvlText w:val="%1."/>
      <w:lvlJc w:val="center"/>
      <w:pPr>
        <w:ind w:left="0" w:firstLine="288"/>
      </w:pPr>
    </w:lvl>
    <w:lvl w:ilvl="1">
      <w:start w:val="1"/>
      <w:numFmt w:val="upperLetter"/>
      <w:suff w:val="space"/>
      <w:lvlText w:val="%2."/>
      <w:lvlJc w:val="center"/>
      <w:pPr>
        <w:ind w:left="0" w:firstLine="0"/>
      </w:pPr>
    </w:lvl>
    <w:lvl w:ilvl="2">
      <w:start w:val="1"/>
      <w:numFmt w:val="decimal"/>
      <w:lvlText w:val="%3."/>
      <w:lvlJc w:val="left"/>
      <w:pPr>
        <w:tabs>
          <w:tab w:val="num" w:pos="360"/>
        </w:tabs>
        <w:ind w:left="0" w:firstLine="0"/>
      </w:pPr>
    </w:lvl>
    <w:lvl w:ilvl="3">
      <w:start w:val="1"/>
      <w:numFmt w:val="lowerLetter"/>
      <w:lvlText w:val="%4."/>
      <w:lvlJc w:val="left"/>
      <w:pPr>
        <w:tabs>
          <w:tab w:val="num" w:pos="360"/>
        </w:tabs>
        <w:ind w:left="0" w:firstLine="0"/>
      </w:pPr>
    </w:lvl>
    <w:lvl w:ilvl="4">
      <w:start w:val="1"/>
      <w:numFmt w:val="lowerRoman"/>
      <w:lvlText w:val="%5."/>
      <w:lvlJc w:val="left"/>
      <w:pPr>
        <w:tabs>
          <w:tab w:val="num" w:pos="720"/>
        </w:tabs>
        <w:ind w:left="0" w:firstLine="0"/>
      </w:pPr>
    </w:lvl>
    <w:lvl w:ilvl="5">
      <w:start w:val="1"/>
      <w:numFmt w:val="upperLetter"/>
      <w:lvlText w:val="(%6) "/>
      <w:lvlJc w:val="left"/>
      <w:pPr>
        <w:tabs>
          <w:tab w:val="num" w:pos="3960"/>
        </w:tabs>
        <w:ind w:left="3600" w:firstLine="0"/>
      </w:pPr>
    </w:lvl>
    <w:lvl w:ilvl="6">
      <w:start w:val="1"/>
      <w:numFmt w:val="upperLetter"/>
      <w:lvlText w:val="(%7)"/>
      <w:lvlJc w:val="left"/>
      <w:pPr>
        <w:tabs>
          <w:tab w:val="num" w:pos="4680"/>
        </w:tabs>
        <w:ind w:left="4320" w:firstLine="0"/>
      </w:pPr>
    </w:lvl>
    <w:lvl w:ilvl="7">
      <w:start w:val="1"/>
      <w:numFmt w:val="lowerLetter"/>
      <w:lvlText w:val="(%8)"/>
      <w:lvlJc w:val="left"/>
      <w:pPr>
        <w:tabs>
          <w:tab w:val="num" w:pos="5400"/>
        </w:tabs>
        <w:ind w:left="5040" w:firstLine="0"/>
      </w:pPr>
    </w:lvl>
    <w:lvl w:ilvl="8">
      <w:start w:val="1"/>
      <w:numFmt w:val="lowerRoman"/>
      <w:lvlText w:val="(%9)"/>
      <w:lvlJc w:val="left"/>
      <w:pPr>
        <w:tabs>
          <w:tab w:val="num" w:pos="6120"/>
        </w:tabs>
        <w:ind w:left="5760" w:firstLine="0"/>
      </w:pPr>
    </w:lvl>
  </w:abstractNum>
  <w:num w:numId="1">
    <w:abstractNumId w:val="2"/>
  </w:num>
  <w:num w:numId="2">
    <w:abstractNumId w:val="3"/>
  </w:num>
  <w:num w:numId="3">
    <w:abstractNumId w:val="1"/>
  </w:num>
  <w:num w:numId="4">
    <w:abstractNumId w:val="6"/>
  </w:num>
  <w:num w:numId="5">
    <w:abstractNumId w:val="3"/>
  </w:num>
  <w:num w:numId="6">
    <w:abstractNumId w:val="4"/>
  </w:num>
  <w:num w:numId="7">
    <w:abstractNumId w:val="5"/>
  </w:num>
  <w:num w:numId="8">
    <w:abstractNumId w:val="0"/>
  </w:num>
  <w:num w:numId="9">
    <w:abstractNumId w:val="0"/>
    <w:lvlOverride w:ilvl="0">
      <w:startOverride w:val="1"/>
    </w:lvlOverride>
  </w:num>
  <w:num w:numId="10">
    <w:abstractNumId w:val="5"/>
    <w:lvlOverride w:ilvl="0">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oofState w:spelling="clean" w:grammar="clean"/>
  <w:attachedTemplate r:id="rId1"/>
  <w:defaultTabStop w:val="720"/>
  <w:characterSpacingControl w:val="doNotCompress"/>
  <w:hdrShapeDefaults>
    <o:shapedefaults v:ext="edit" spidmax="2252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4121C"/>
    <w:rsid w:val="00014947"/>
    <w:rsid w:val="00015C05"/>
    <w:rsid w:val="00030906"/>
    <w:rsid w:val="000517ED"/>
    <w:rsid w:val="00060A2C"/>
    <w:rsid w:val="000A7264"/>
    <w:rsid w:val="000B2BCE"/>
    <w:rsid w:val="000E5DBE"/>
    <w:rsid w:val="001169CA"/>
    <w:rsid w:val="001303C2"/>
    <w:rsid w:val="0013116C"/>
    <w:rsid w:val="00146116"/>
    <w:rsid w:val="00160DCD"/>
    <w:rsid w:val="0018208A"/>
    <w:rsid w:val="001D0C28"/>
    <w:rsid w:val="001D4F4B"/>
    <w:rsid w:val="001E360C"/>
    <w:rsid w:val="001F42F7"/>
    <w:rsid w:val="0024439C"/>
    <w:rsid w:val="00245E33"/>
    <w:rsid w:val="002534C9"/>
    <w:rsid w:val="0025502B"/>
    <w:rsid w:val="00266F9F"/>
    <w:rsid w:val="00283AA6"/>
    <w:rsid w:val="002C4B4B"/>
    <w:rsid w:val="002D5F4E"/>
    <w:rsid w:val="00312838"/>
    <w:rsid w:val="00332016"/>
    <w:rsid w:val="0036452B"/>
    <w:rsid w:val="003854D6"/>
    <w:rsid w:val="003B5180"/>
    <w:rsid w:val="003C39F0"/>
    <w:rsid w:val="003E1E22"/>
    <w:rsid w:val="00414D2D"/>
    <w:rsid w:val="00433B5E"/>
    <w:rsid w:val="0044158F"/>
    <w:rsid w:val="004502DD"/>
    <w:rsid w:val="004638D3"/>
    <w:rsid w:val="00480F9C"/>
    <w:rsid w:val="0048211D"/>
    <w:rsid w:val="004B0CFC"/>
    <w:rsid w:val="004D3A6B"/>
    <w:rsid w:val="004D4E91"/>
    <w:rsid w:val="004E082A"/>
    <w:rsid w:val="004E7301"/>
    <w:rsid w:val="00513BAA"/>
    <w:rsid w:val="0052509B"/>
    <w:rsid w:val="0054121C"/>
    <w:rsid w:val="00552697"/>
    <w:rsid w:val="00594CBE"/>
    <w:rsid w:val="00595D3D"/>
    <w:rsid w:val="005A1DB2"/>
    <w:rsid w:val="005A636C"/>
    <w:rsid w:val="005B328F"/>
    <w:rsid w:val="005C2DFB"/>
    <w:rsid w:val="005C3512"/>
    <w:rsid w:val="005C3711"/>
    <w:rsid w:val="005D1319"/>
    <w:rsid w:val="005D1948"/>
    <w:rsid w:val="005D1D73"/>
    <w:rsid w:val="005D6112"/>
    <w:rsid w:val="00600F7F"/>
    <w:rsid w:val="00606632"/>
    <w:rsid w:val="00617E2F"/>
    <w:rsid w:val="0062202F"/>
    <w:rsid w:val="00651287"/>
    <w:rsid w:val="00677B5E"/>
    <w:rsid w:val="00683254"/>
    <w:rsid w:val="006A3999"/>
    <w:rsid w:val="006C6A0F"/>
    <w:rsid w:val="006D20C3"/>
    <w:rsid w:val="006D2167"/>
    <w:rsid w:val="00716861"/>
    <w:rsid w:val="0073269B"/>
    <w:rsid w:val="007346DE"/>
    <w:rsid w:val="007572FC"/>
    <w:rsid w:val="00771D00"/>
    <w:rsid w:val="00775CCA"/>
    <w:rsid w:val="00776BB5"/>
    <w:rsid w:val="00786D33"/>
    <w:rsid w:val="007C29F9"/>
    <w:rsid w:val="007D4569"/>
    <w:rsid w:val="007F1383"/>
    <w:rsid w:val="007F5A1F"/>
    <w:rsid w:val="007F7A23"/>
    <w:rsid w:val="0080046C"/>
    <w:rsid w:val="008024C5"/>
    <w:rsid w:val="00827F64"/>
    <w:rsid w:val="00870C7F"/>
    <w:rsid w:val="00873599"/>
    <w:rsid w:val="008738BF"/>
    <w:rsid w:val="00877DFC"/>
    <w:rsid w:val="0089448A"/>
    <w:rsid w:val="00896A05"/>
    <w:rsid w:val="008A4381"/>
    <w:rsid w:val="008B145C"/>
    <w:rsid w:val="008B5BE7"/>
    <w:rsid w:val="008C4A33"/>
    <w:rsid w:val="008D1724"/>
    <w:rsid w:val="008D6883"/>
    <w:rsid w:val="00943761"/>
    <w:rsid w:val="00960CF7"/>
    <w:rsid w:val="009727E0"/>
    <w:rsid w:val="00975AFF"/>
    <w:rsid w:val="009809BF"/>
    <w:rsid w:val="0098767D"/>
    <w:rsid w:val="009908D3"/>
    <w:rsid w:val="009C1919"/>
    <w:rsid w:val="009C4A2A"/>
    <w:rsid w:val="009C4DCA"/>
    <w:rsid w:val="00A035EA"/>
    <w:rsid w:val="00A13050"/>
    <w:rsid w:val="00A20F5E"/>
    <w:rsid w:val="00A277B5"/>
    <w:rsid w:val="00A40798"/>
    <w:rsid w:val="00A459C4"/>
    <w:rsid w:val="00A529D7"/>
    <w:rsid w:val="00AC0431"/>
    <w:rsid w:val="00B22348"/>
    <w:rsid w:val="00B51E8C"/>
    <w:rsid w:val="00B71CA8"/>
    <w:rsid w:val="00B97DC9"/>
    <w:rsid w:val="00BA6A24"/>
    <w:rsid w:val="00C045A8"/>
    <w:rsid w:val="00C13D6E"/>
    <w:rsid w:val="00C1628D"/>
    <w:rsid w:val="00C21619"/>
    <w:rsid w:val="00C52448"/>
    <w:rsid w:val="00C54659"/>
    <w:rsid w:val="00C62ABA"/>
    <w:rsid w:val="00C71E52"/>
    <w:rsid w:val="00C91666"/>
    <w:rsid w:val="00CA1CBB"/>
    <w:rsid w:val="00CB18EB"/>
    <w:rsid w:val="00CB29A0"/>
    <w:rsid w:val="00CC7EAF"/>
    <w:rsid w:val="00D01B00"/>
    <w:rsid w:val="00D03394"/>
    <w:rsid w:val="00D03613"/>
    <w:rsid w:val="00D042CD"/>
    <w:rsid w:val="00D05270"/>
    <w:rsid w:val="00D0689A"/>
    <w:rsid w:val="00D1503F"/>
    <w:rsid w:val="00D25459"/>
    <w:rsid w:val="00D3264F"/>
    <w:rsid w:val="00D41D7B"/>
    <w:rsid w:val="00D451DC"/>
    <w:rsid w:val="00D5110C"/>
    <w:rsid w:val="00D53D5A"/>
    <w:rsid w:val="00D706B4"/>
    <w:rsid w:val="00D72748"/>
    <w:rsid w:val="00D93BBC"/>
    <w:rsid w:val="00DB686B"/>
    <w:rsid w:val="00DC4F9E"/>
    <w:rsid w:val="00DD3341"/>
    <w:rsid w:val="00E12366"/>
    <w:rsid w:val="00E30913"/>
    <w:rsid w:val="00E3671E"/>
    <w:rsid w:val="00E37D84"/>
    <w:rsid w:val="00E654B9"/>
    <w:rsid w:val="00E922F2"/>
    <w:rsid w:val="00E93753"/>
    <w:rsid w:val="00E95E1A"/>
    <w:rsid w:val="00EA5639"/>
    <w:rsid w:val="00EB3FB6"/>
    <w:rsid w:val="00ED04FC"/>
    <w:rsid w:val="00ED299D"/>
    <w:rsid w:val="00EE5DDA"/>
    <w:rsid w:val="00EE7540"/>
    <w:rsid w:val="00F04021"/>
    <w:rsid w:val="00F17EFD"/>
    <w:rsid w:val="00F2370E"/>
    <w:rsid w:val="00F505D4"/>
    <w:rsid w:val="00F605D2"/>
    <w:rsid w:val="00F60E6C"/>
    <w:rsid w:val="00F75D05"/>
    <w:rsid w:val="00F9415F"/>
    <w:rsid w:val="00FA1E83"/>
    <w:rsid w:val="00FA4600"/>
    <w:rsid w:val="00FE4318"/>
    <w:rsid w:val="00FE6610"/>
    <w:rsid w:val="00FF0E16"/>
    <w:rsid w:val="00FF1816"/>
    <w:rsid w:val="00FF4271"/>
    <w:rsid w:val="00FF4366"/>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2529"/>
    <o:shapelayout v:ext="edit">
      <o:idmap v:ext="edit" data="1"/>
    </o:shapelayout>
  </w:shapeDefaults>
  <w:decimalSymbol w:val="."/>
  <w:listSeparator w:val=","/>
  <w15:chartTrackingRefBased/>
  <w15:docId w15:val="{DBA53385-9BE4-4D25-BCE0-D7A1B9C9FB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HAnsi" w:hAnsi="Times New Roman" w:cs="Times New Roman"/>
        <w:sz w:val="24"/>
        <w:szCs w:val="24"/>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lsdException w:name="heading 5" w:semiHidden="1" w:uiPriority="9" w:unhideWhenUsed="1"/>
    <w:lsdException w:name="heading 6" w:semiHidden="1" w:uiPriority="9" w:unhideWhenUsed="1"/>
    <w:lsdException w:name="heading 7" w:semiHidden="1" w:uiPriority="9" w:unhideWhenUsed="1" w:qFormat="1"/>
    <w:lsdException w:name="heading 8" w:semiHidden="1" w:uiPriority="9" w:unhideWhenUsed="1"/>
    <w:lsdException w:name="heading 9" w:uiPriority="9"/>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semiHidden="1" w:uiPriority="11" w:unhideWhenUsed="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uiPriority="0"/>
    <w:lsdException w:name="Body Text 3" w:semiHidden="1" w:unhideWhenUsed="1"/>
    <w:lsdException w:name="Body Text Indent 2" w:semiHidden="1" w:unhideWhenUsed="1"/>
    <w:lsdException w:name="Body Text Indent 3" w:semiHidden="1" w:unhideWhenUsed="1"/>
    <w:lsdException w:name="Block Text" w:uiPriority="0"/>
    <w:lsdException w:name="Hyperlink" w:semiHidden="1" w:unhideWhenUsed="1"/>
    <w:lsdException w:name="FollowedHyperlink" w:semiHidden="1" w:unhideWhenUsed="1"/>
    <w:lsdException w:name="Strong" w:semiHidden="1" w:uiPriority="22" w:unhideWhenUsed="1" w:qFormat="1"/>
    <w:lsdException w:name="Emphasis" w:semiHidden="1" w:uiPriority="20" w:unhideWhenUsed="1"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semiHidden="1" w:uiPriority="4" w:unhideWhenUsed="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semiHidden="1" w:uiPriority="34" w:unhideWhenUsed="1" w:qFormat="1"/>
    <w:lsdException w:name="Quote" w:semiHidden="1" w:uiPriority="29" w:unhideWhenUsed="1" w:qFormat="1"/>
    <w:lsdException w:name="Intense Quote" w:semiHidden="1" w:uiPriority="30" w:unhideWhenUsed="1"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semiHidden="1" w:uiPriority="19" w:unhideWhenUsed="1" w:qFormat="1"/>
    <w:lsdException w:name="Intense Emphasis" w:semiHidden="1" w:uiPriority="21" w:unhideWhenUsed="1" w:qFormat="1"/>
    <w:lsdException w:name="Subtle Reference" w:semiHidden="1" w:uiPriority="31" w:unhideWhenUsed="1" w:qFormat="1"/>
    <w:lsdException w:name="Intense Reference" w:semiHidden="1" w:uiPriority="32" w:unhideWhenUsed="1" w:qFormat="1"/>
    <w:lsdException w:name="Book Title" w:semiHidden="1" w:uiPriority="33" w:unhideWhenUsed="1"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8D1724"/>
    <w:pPr>
      <w:spacing w:after="0" w:line="240" w:lineRule="auto"/>
    </w:pPr>
  </w:style>
  <w:style w:type="paragraph" w:styleId="Heading1">
    <w:name w:val="heading 1"/>
    <w:basedOn w:val="Normal"/>
    <w:next w:val="BodyText"/>
    <w:link w:val="Heading1Char"/>
    <w:qFormat/>
    <w:rsid w:val="00EE5DDA"/>
    <w:pPr>
      <w:keepNext/>
      <w:keepLines/>
      <w:numPr>
        <w:numId w:val="5"/>
      </w:numPr>
      <w:spacing w:before="240" w:after="120"/>
      <w:jc w:val="center"/>
      <w:outlineLvl w:val="0"/>
    </w:pPr>
    <w:rPr>
      <w:rFonts w:eastAsiaTheme="majorEastAsia" w:cstheme="majorBidi"/>
      <w:b/>
      <w:szCs w:val="32"/>
    </w:rPr>
  </w:style>
  <w:style w:type="paragraph" w:styleId="Heading2">
    <w:name w:val="heading 2"/>
    <w:basedOn w:val="Normal"/>
    <w:next w:val="Normal"/>
    <w:link w:val="Heading2Char"/>
    <w:qFormat/>
    <w:rsid w:val="00EE5DDA"/>
    <w:pPr>
      <w:keepNext/>
      <w:keepLines/>
      <w:numPr>
        <w:ilvl w:val="1"/>
        <w:numId w:val="5"/>
      </w:numPr>
      <w:spacing w:before="120" w:after="120"/>
      <w:jc w:val="center"/>
      <w:outlineLvl w:val="1"/>
    </w:pPr>
    <w:rPr>
      <w:rFonts w:eastAsiaTheme="majorEastAsia" w:cstheme="majorBidi"/>
      <w:b/>
      <w:szCs w:val="26"/>
    </w:rPr>
  </w:style>
  <w:style w:type="paragraph" w:styleId="Heading3">
    <w:name w:val="heading 3"/>
    <w:basedOn w:val="Normal"/>
    <w:next w:val="BodyText"/>
    <w:link w:val="Heading3Char"/>
    <w:qFormat/>
    <w:rsid w:val="00EE5DDA"/>
    <w:pPr>
      <w:keepNext/>
      <w:keepLines/>
      <w:numPr>
        <w:ilvl w:val="2"/>
        <w:numId w:val="5"/>
      </w:numPr>
      <w:spacing w:before="120"/>
      <w:outlineLvl w:val="2"/>
    </w:pPr>
    <w:rPr>
      <w:rFonts w:eastAsiaTheme="majorEastAsia" w:cstheme="majorBidi"/>
      <w:b/>
    </w:rPr>
  </w:style>
  <w:style w:type="paragraph" w:styleId="Heading4">
    <w:name w:val="heading 4"/>
    <w:basedOn w:val="Normal"/>
    <w:next w:val="BodyText"/>
    <w:link w:val="Heading4Char"/>
    <w:rsid w:val="00EE5DDA"/>
    <w:pPr>
      <w:keepNext/>
      <w:keepLines/>
      <w:numPr>
        <w:ilvl w:val="3"/>
        <w:numId w:val="5"/>
      </w:numPr>
      <w:spacing w:before="120"/>
      <w:outlineLvl w:val="3"/>
    </w:pPr>
    <w:rPr>
      <w:rFonts w:eastAsiaTheme="majorEastAsia" w:cstheme="majorBidi"/>
      <w:b/>
      <w:iCs/>
    </w:rPr>
  </w:style>
  <w:style w:type="paragraph" w:styleId="Heading5">
    <w:name w:val="heading 5"/>
    <w:basedOn w:val="Normal"/>
    <w:next w:val="BodyText"/>
    <w:link w:val="Heading5Char"/>
    <w:rsid w:val="00EE5DDA"/>
    <w:pPr>
      <w:keepNext/>
      <w:keepLines/>
      <w:numPr>
        <w:ilvl w:val="4"/>
        <w:numId w:val="5"/>
      </w:numPr>
      <w:spacing w:before="120"/>
      <w:outlineLvl w:val="4"/>
    </w:pPr>
    <w:rPr>
      <w:rFonts w:eastAsiaTheme="majorEastAsia" w:cstheme="majorBidi"/>
      <w:b/>
    </w:rPr>
  </w:style>
  <w:style w:type="paragraph" w:styleId="Heading6">
    <w:name w:val="heading 6"/>
    <w:basedOn w:val="Normal"/>
    <w:next w:val="BodyText"/>
    <w:link w:val="Heading6Char"/>
    <w:rsid w:val="00EE5DDA"/>
    <w:pPr>
      <w:keepNext/>
      <w:keepLines/>
      <w:numPr>
        <w:ilvl w:val="5"/>
        <w:numId w:val="5"/>
      </w:numPr>
      <w:spacing w:before="120"/>
      <w:outlineLvl w:val="5"/>
    </w:pPr>
    <w:rPr>
      <w:rFonts w:eastAsiaTheme="majorEastAsia" w:cstheme="majorBidi"/>
      <w:b/>
    </w:rPr>
  </w:style>
  <w:style w:type="paragraph" w:styleId="Heading7">
    <w:name w:val="heading 7"/>
    <w:basedOn w:val="Normal"/>
    <w:next w:val="FOFNumbered"/>
    <w:link w:val="Heading7Char"/>
    <w:qFormat/>
    <w:rsid w:val="008D1724"/>
    <w:pPr>
      <w:keepNext/>
      <w:keepLines/>
      <w:numPr>
        <w:ilvl w:val="6"/>
        <w:numId w:val="5"/>
      </w:numPr>
      <w:spacing w:before="120"/>
      <w:outlineLvl w:val="6"/>
    </w:pPr>
    <w:rPr>
      <w:rFonts w:eastAsiaTheme="majorEastAsia" w:cstheme="majorBidi"/>
      <w:b/>
      <w:i/>
      <w:iCs/>
      <w:u w:val="single"/>
    </w:rPr>
  </w:style>
  <w:style w:type="paragraph" w:styleId="Heading8">
    <w:name w:val="heading 8"/>
    <w:basedOn w:val="Normal"/>
    <w:next w:val="Heading9"/>
    <w:link w:val="Heading8Char"/>
    <w:rsid w:val="008D1724"/>
    <w:pPr>
      <w:keepNext/>
      <w:keepLines/>
      <w:numPr>
        <w:ilvl w:val="7"/>
        <w:numId w:val="5"/>
      </w:numPr>
      <w:spacing w:before="120"/>
      <w:outlineLvl w:val="7"/>
    </w:pPr>
    <w:rPr>
      <w:rFonts w:eastAsiaTheme="majorEastAsia" w:cstheme="majorBidi"/>
      <w:b/>
      <w:i/>
      <w:szCs w:val="21"/>
      <w:u w:val="single"/>
    </w:rPr>
  </w:style>
  <w:style w:type="paragraph" w:styleId="Heading9">
    <w:name w:val="heading 9"/>
    <w:basedOn w:val="Normal"/>
    <w:next w:val="FOFNumbered"/>
    <w:link w:val="Heading9Char"/>
    <w:rsid w:val="008D1724"/>
    <w:pPr>
      <w:keepNext/>
      <w:keepLines/>
      <w:numPr>
        <w:ilvl w:val="8"/>
        <w:numId w:val="5"/>
      </w:numPr>
      <w:spacing w:before="120"/>
      <w:outlineLvl w:val="8"/>
    </w:pPr>
    <w:rPr>
      <w:rFonts w:eastAsiaTheme="majorEastAsia" w:cstheme="majorBidi"/>
      <w:b/>
      <w:i/>
      <w:iCs/>
      <w:szCs w:val="21"/>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Docketnumber">
    <w:name w:val="Docketnumber"/>
    <w:basedOn w:val="Normal"/>
    <w:link w:val="DocketnumberChar"/>
    <w:uiPriority w:val="3"/>
    <w:rsid w:val="007572FC"/>
    <w:pPr>
      <w:spacing w:after="480"/>
      <w:jc w:val="center"/>
    </w:pPr>
    <w:rPr>
      <w:b/>
    </w:rPr>
  </w:style>
  <w:style w:type="table" w:styleId="TableGrid">
    <w:name w:val="Table Grid"/>
    <w:basedOn w:val="TableNormal"/>
    <w:uiPriority w:val="39"/>
    <w:rsid w:val="007572F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DocketnumberChar">
    <w:name w:val="Docketnumber Char"/>
    <w:basedOn w:val="DefaultParagraphFont"/>
    <w:link w:val="Docketnumber"/>
    <w:uiPriority w:val="3"/>
    <w:rsid w:val="0080046C"/>
    <w:rPr>
      <w:b/>
    </w:rPr>
  </w:style>
  <w:style w:type="paragraph" w:customStyle="1" w:styleId="Docketstyle">
    <w:name w:val="Docketstyle"/>
    <w:basedOn w:val="Normal"/>
    <w:uiPriority w:val="3"/>
    <w:rsid w:val="001E360C"/>
    <w:rPr>
      <w:b/>
    </w:rPr>
  </w:style>
  <w:style w:type="paragraph" w:customStyle="1" w:styleId="DocketstylePUC">
    <w:name w:val="DocketstylePUC"/>
    <w:basedOn w:val="Docketstyle"/>
    <w:uiPriority w:val="3"/>
    <w:rsid w:val="001E360C"/>
    <w:pPr>
      <w:jc w:val="center"/>
    </w:pPr>
  </w:style>
  <w:style w:type="paragraph" w:customStyle="1" w:styleId="Titleoforder">
    <w:name w:val="Titleoforder"/>
    <w:basedOn w:val="Docketnumber"/>
    <w:link w:val="TitleoforderChar"/>
    <w:uiPriority w:val="3"/>
    <w:rsid w:val="00677B5E"/>
    <w:pPr>
      <w:spacing w:before="480" w:after="360"/>
    </w:pPr>
  </w:style>
  <w:style w:type="paragraph" w:styleId="BodyText">
    <w:name w:val="Body Text"/>
    <w:basedOn w:val="Normal"/>
    <w:link w:val="BodyTextChar"/>
    <w:qFormat/>
    <w:rsid w:val="00677B5E"/>
    <w:pPr>
      <w:spacing w:before="120" w:line="360" w:lineRule="auto"/>
      <w:ind w:firstLine="720"/>
      <w:jc w:val="both"/>
    </w:pPr>
  </w:style>
  <w:style w:type="character" w:customStyle="1" w:styleId="TitleoforderChar">
    <w:name w:val="Titleoforder Char"/>
    <w:basedOn w:val="DocketnumberChar"/>
    <w:link w:val="Titleoforder"/>
    <w:uiPriority w:val="3"/>
    <w:rsid w:val="0080046C"/>
    <w:rPr>
      <w:b/>
    </w:rPr>
  </w:style>
  <w:style w:type="character" w:customStyle="1" w:styleId="BodyTextChar">
    <w:name w:val="Body Text Char"/>
    <w:basedOn w:val="DefaultParagraphFont"/>
    <w:link w:val="BodyText"/>
    <w:rsid w:val="00677B5E"/>
  </w:style>
  <w:style w:type="character" w:customStyle="1" w:styleId="Heading1Char">
    <w:name w:val="Heading 1 Char"/>
    <w:basedOn w:val="DefaultParagraphFont"/>
    <w:link w:val="Heading1"/>
    <w:rsid w:val="00EE5DDA"/>
    <w:rPr>
      <w:rFonts w:eastAsiaTheme="majorEastAsia" w:cstheme="majorBidi"/>
      <w:b/>
      <w:szCs w:val="32"/>
    </w:rPr>
  </w:style>
  <w:style w:type="character" w:customStyle="1" w:styleId="Heading2Char">
    <w:name w:val="Heading 2 Char"/>
    <w:basedOn w:val="DefaultParagraphFont"/>
    <w:link w:val="Heading2"/>
    <w:rsid w:val="0080046C"/>
    <w:rPr>
      <w:rFonts w:eastAsiaTheme="majorEastAsia" w:cstheme="majorBidi"/>
      <w:b/>
      <w:szCs w:val="26"/>
    </w:rPr>
  </w:style>
  <w:style w:type="character" w:customStyle="1" w:styleId="Heading3Char">
    <w:name w:val="Heading 3 Char"/>
    <w:basedOn w:val="DefaultParagraphFont"/>
    <w:link w:val="Heading3"/>
    <w:rsid w:val="0080046C"/>
    <w:rPr>
      <w:rFonts w:eastAsiaTheme="majorEastAsia" w:cstheme="majorBidi"/>
      <w:b/>
    </w:rPr>
  </w:style>
  <w:style w:type="character" w:customStyle="1" w:styleId="Heading4Char">
    <w:name w:val="Heading 4 Char"/>
    <w:basedOn w:val="DefaultParagraphFont"/>
    <w:link w:val="Heading4"/>
    <w:rsid w:val="0080046C"/>
    <w:rPr>
      <w:rFonts w:eastAsiaTheme="majorEastAsia" w:cstheme="majorBidi"/>
      <w:b/>
      <w:iCs/>
    </w:rPr>
  </w:style>
  <w:style w:type="character" w:customStyle="1" w:styleId="Heading5Char">
    <w:name w:val="Heading 5 Char"/>
    <w:basedOn w:val="DefaultParagraphFont"/>
    <w:link w:val="Heading5"/>
    <w:rsid w:val="0080046C"/>
    <w:rPr>
      <w:rFonts w:eastAsiaTheme="majorEastAsia" w:cstheme="majorBidi"/>
      <w:b/>
    </w:rPr>
  </w:style>
  <w:style w:type="character" w:customStyle="1" w:styleId="Heading6Char">
    <w:name w:val="Heading 6 Char"/>
    <w:basedOn w:val="DefaultParagraphFont"/>
    <w:link w:val="Heading6"/>
    <w:rsid w:val="0080046C"/>
    <w:rPr>
      <w:rFonts w:eastAsiaTheme="majorEastAsia" w:cstheme="majorBidi"/>
      <w:b/>
    </w:rPr>
  </w:style>
  <w:style w:type="character" w:customStyle="1" w:styleId="Heading7Char">
    <w:name w:val="Heading 7 Char"/>
    <w:basedOn w:val="DefaultParagraphFont"/>
    <w:link w:val="Heading7"/>
    <w:rsid w:val="008D1724"/>
    <w:rPr>
      <w:rFonts w:eastAsiaTheme="majorEastAsia" w:cstheme="majorBidi"/>
      <w:b/>
      <w:i/>
      <w:iCs/>
      <w:u w:val="single"/>
    </w:rPr>
  </w:style>
  <w:style w:type="character" w:customStyle="1" w:styleId="Heading8Char">
    <w:name w:val="Heading 8 Char"/>
    <w:basedOn w:val="DefaultParagraphFont"/>
    <w:link w:val="Heading8"/>
    <w:rsid w:val="008D1724"/>
    <w:rPr>
      <w:rFonts w:eastAsiaTheme="majorEastAsia" w:cstheme="majorBidi"/>
      <w:b/>
      <w:i/>
      <w:szCs w:val="21"/>
      <w:u w:val="single"/>
    </w:rPr>
  </w:style>
  <w:style w:type="paragraph" w:customStyle="1" w:styleId="FOFCOL">
    <w:name w:val="FOF/COL"/>
    <w:basedOn w:val="BodyText"/>
    <w:link w:val="FOFCOLChar"/>
    <w:uiPriority w:val="2"/>
    <w:qFormat/>
    <w:rsid w:val="001169CA"/>
    <w:pPr>
      <w:ind w:left="720" w:hanging="720"/>
    </w:pPr>
    <w:rPr>
      <w:rFonts w:eastAsia="Times New Roman"/>
      <w:snapToGrid w:val="0"/>
      <w:szCs w:val="20"/>
    </w:rPr>
  </w:style>
  <w:style w:type="paragraph" w:customStyle="1" w:styleId="FOFNumbered">
    <w:name w:val="FOF Numbered"/>
    <w:basedOn w:val="FOFCOL"/>
    <w:link w:val="FOFNumberedChar"/>
    <w:uiPriority w:val="2"/>
    <w:qFormat/>
    <w:rsid w:val="001169CA"/>
    <w:pPr>
      <w:numPr>
        <w:numId w:val="3"/>
      </w:numPr>
    </w:pPr>
  </w:style>
  <w:style w:type="paragraph" w:customStyle="1" w:styleId="COLNumbered">
    <w:name w:val="COL Numbered"/>
    <w:basedOn w:val="FOFNumbered"/>
    <w:uiPriority w:val="2"/>
    <w:qFormat/>
    <w:rsid w:val="001169CA"/>
    <w:pPr>
      <w:numPr>
        <w:numId w:val="6"/>
      </w:numPr>
      <w:ind w:hanging="720"/>
    </w:pPr>
  </w:style>
  <w:style w:type="paragraph" w:customStyle="1" w:styleId="OrderingNumbered">
    <w:name w:val="Ordering Numbered"/>
    <w:basedOn w:val="FOFNumbered"/>
    <w:link w:val="OrderingNumberedChar"/>
    <w:uiPriority w:val="4"/>
    <w:semiHidden/>
    <w:unhideWhenUsed/>
    <w:rsid w:val="001169CA"/>
    <w:pPr>
      <w:numPr>
        <w:numId w:val="0"/>
      </w:numPr>
      <w:tabs>
        <w:tab w:val="num" w:pos="360"/>
      </w:tabs>
    </w:pPr>
  </w:style>
  <w:style w:type="character" w:customStyle="1" w:styleId="Heading9Char">
    <w:name w:val="Heading 9 Char"/>
    <w:basedOn w:val="DefaultParagraphFont"/>
    <w:link w:val="Heading9"/>
    <w:rsid w:val="008D1724"/>
    <w:rPr>
      <w:rFonts w:eastAsiaTheme="majorEastAsia" w:cstheme="majorBidi"/>
      <w:b/>
      <w:i/>
      <w:iCs/>
      <w:szCs w:val="21"/>
      <w:u w:val="single"/>
    </w:rPr>
  </w:style>
  <w:style w:type="paragraph" w:styleId="BlockText">
    <w:name w:val="Block Text"/>
    <w:basedOn w:val="Normal"/>
    <w:rsid w:val="00EE5DDA"/>
    <w:pPr>
      <w:spacing w:after="120"/>
      <w:ind w:left="720" w:right="720"/>
      <w:jc w:val="both"/>
    </w:pPr>
    <w:rPr>
      <w:rFonts w:eastAsiaTheme="minorEastAsia" w:cstheme="minorBidi"/>
      <w:iCs/>
    </w:rPr>
  </w:style>
  <w:style w:type="paragraph" w:styleId="BodyText2">
    <w:name w:val="Body Text 2"/>
    <w:basedOn w:val="BodyText"/>
    <w:next w:val="BodyText"/>
    <w:link w:val="BodyText2Char"/>
    <w:rsid w:val="001169CA"/>
    <w:pPr>
      <w:ind w:firstLine="0"/>
    </w:pPr>
  </w:style>
  <w:style w:type="character" w:customStyle="1" w:styleId="BodyText2Char">
    <w:name w:val="Body Text 2 Char"/>
    <w:basedOn w:val="DefaultParagraphFont"/>
    <w:link w:val="BodyText2"/>
    <w:rsid w:val="0080046C"/>
  </w:style>
  <w:style w:type="paragraph" w:customStyle="1" w:styleId="Signatures">
    <w:name w:val="Signatures"/>
    <w:basedOn w:val="Normal"/>
    <w:link w:val="SignaturesChar"/>
    <w:uiPriority w:val="4"/>
    <w:rsid w:val="00160DCD"/>
    <w:pPr>
      <w:keepLines/>
      <w:ind w:left="3744"/>
    </w:pPr>
    <w:rPr>
      <w:b/>
    </w:rPr>
  </w:style>
  <w:style w:type="paragraph" w:customStyle="1" w:styleId="Dateline">
    <w:name w:val="Dateline"/>
    <w:basedOn w:val="Normal"/>
    <w:link w:val="DatelineChar"/>
    <w:uiPriority w:val="3"/>
    <w:rsid w:val="00FA1E83"/>
    <w:pPr>
      <w:keepNext/>
      <w:ind w:left="720"/>
    </w:pPr>
    <w:rPr>
      <w:b/>
    </w:rPr>
  </w:style>
  <w:style w:type="character" w:customStyle="1" w:styleId="SignaturesChar">
    <w:name w:val="Signatures Char"/>
    <w:basedOn w:val="DefaultParagraphFont"/>
    <w:link w:val="Signatures"/>
    <w:uiPriority w:val="4"/>
    <w:rsid w:val="0080046C"/>
    <w:rPr>
      <w:b/>
    </w:rPr>
  </w:style>
  <w:style w:type="paragraph" w:customStyle="1" w:styleId="EndMatter">
    <w:name w:val="End Matter"/>
    <w:basedOn w:val="Normal"/>
    <w:link w:val="EndMatterChar"/>
    <w:uiPriority w:val="3"/>
    <w:rsid w:val="0062202F"/>
    <w:rPr>
      <w:sz w:val="20"/>
      <w:szCs w:val="20"/>
    </w:rPr>
  </w:style>
  <w:style w:type="character" w:customStyle="1" w:styleId="DatelineChar">
    <w:name w:val="Dateline Char"/>
    <w:basedOn w:val="DefaultParagraphFont"/>
    <w:link w:val="Dateline"/>
    <w:uiPriority w:val="3"/>
    <w:rsid w:val="00FA1E83"/>
    <w:rPr>
      <w:b/>
    </w:rPr>
  </w:style>
  <w:style w:type="character" w:customStyle="1" w:styleId="EndMatterChar">
    <w:name w:val="End Matter Char"/>
    <w:basedOn w:val="DefaultParagraphFont"/>
    <w:link w:val="EndMatter"/>
    <w:uiPriority w:val="3"/>
    <w:rsid w:val="0080046C"/>
    <w:rPr>
      <w:sz w:val="20"/>
      <w:szCs w:val="20"/>
    </w:rPr>
  </w:style>
  <w:style w:type="paragraph" w:styleId="FootnoteText">
    <w:name w:val="footnote text"/>
    <w:basedOn w:val="Normal"/>
    <w:link w:val="FootnoteTextChar"/>
    <w:uiPriority w:val="99"/>
    <w:rsid w:val="008D1724"/>
    <w:pPr>
      <w:ind w:firstLine="720"/>
    </w:pPr>
    <w:rPr>
      <w:sz w:val="20"/>
      <w:szCs w:val="20"/>
    </w:rPr>
  </w:style>
  <w:style w:type="character" w:customStyle="1" w:styleId="FootnoteTextChar">
    <w:name w:val="Footnote Text Char"/>
    <w:basedOn w:val="DefaultParagraphFont"/>
    <w:link w:val="FootnoteText"/>
    <w:uiPriority w:val="99"/>
    <w:rsid w:val="008D1724"/>
    <w:rPr>
      <w:sz w:val="20"/>
      <w:szCs w:val="20"/>
    </w:rPr>
  </w:style>
  <w:style w:type="character" w:styleId="FootnoteReference">
    <w:name w:val="footnote reference"/>
    <w:basedOn w:val="DefaultParagraphFont"/>
    <w:uiPriority w:val="99"/>
    <w:rsid w:val="00D03394"/>
    <w:rPr>
      <w:vertAlign w:val="superscript"/>
    </w:rPr>
  </w:style>
  <w:style w:type="paragraph" w:customStyle="1" w:styleId="BlockTextEnd">
    <w:name w:val="Block Text End"/>
    <w:basedOn w:val="BlockText"/>
    <w:link w:val="BlockTextEndChar"/>
    <w:rsid w:val="00EE5DDA"/>
    <w:pPr>
      <w:spacing w:after="240"/>
    </w:pPr>
  </w:style>
  <w:style w:type="paragraph" w:customStyle="1" w:styleId="OrderingParagraph">
    <w:name w:val="Ordering Paragraph"/>
    <w:basedOn w:val="FOFNumbered"/>
    <w:link w:val="OrderingParagraphChar"/>
    <w:uiPriority w:val="2"/>
    <w:qFormat/>
    <w:rsid w:val="00A035EA"/>
    <w:pPr>
      <w:numPr>
        <w:numId w:val="7"/>
      </w:numPr>
    </w:pPr>
  </w:style>
  <w:style w:type="character" w:customStyle="1" w:styleId="BlockTextEndChar">
    <w:name w:val="Block Text End Char"/>
    <w:basedOn w:val="BodyTextChar"/>
    <w:link w:val="BlockTextEnd"/>
    <w:rsid w:val="00EE5DDA"/>
    <w:rPr>
      <w:rFonts w:eastAsiaTheme="minorEastAsia" w:cstheme="minorBidi"/>
      <w:iCs/>
    </w:rPr>
  </w:style>
  <w:style w:type="paragraph" w:styleId="BalloonText">
    <w:name w:val="Balloon Text"/>
    <w:basedOn w:val="Normal"/>
    <w:link w:val="BalloonTextChar"/>
    <w:uiPriority w:val="99"/>
    <w:semiHidden/>
    <w:unhideWhenUsed/>
    <w:rsid w:val="009C1919"/>
    <w:rPr>
      <w:rFonts w:ascii="Segoe UI" w:hAnsi="Segoe UI" w:cs="Segoe UI"/>
      <w:sz w:val="18"/>
      <w:szCs w:val="18"/>
    </w:rPr>
  </w:style>
  <w:style w:type="character" w:customStyle="1" w:styleId="FOFCOLChar">
    <w:name w:val="FOF/COL Char"/>
    <w:basedOn w:val="BodyTextChar"/>
    <w:link w:val="FOFCOL"/>
    <w:uiPriority w:val="2"/>
    <w:rsid w:val="0080046C"/>
    <w:rPr>
      <w:rFonts w:eastAsia="Times New Roman"/>
      <w:snapToGrid w:val="0"/>
      <w:szCs w:val="20"/>
    </w:rPr>
  </w:style>
  <w:style w:type="character" w:customStyle="1" w:styleId="FOFNumberedChar">
    <w:name w:val="FOF Numbered Char"/>
    <w:basedOn w:val="FOFCOLChar"/>
    <w:link w:val="FOFNumbered"/>
    <w:uiPriority w:val="2"/>
    <w:rsid w:val="0080046C"/>
    <w:rPr>
      <w:rFonts w:eastAsia="Times New Roman"/>
      <w:snapToGrid w:val="0"/>
      <w:szCs w:val="20"/>
    </w:rPr>
  </w:style>
  <w:style w:type="character" w:customStyle="1" w:styleId="OrderingNumberedChar">
    <w:name w:val="Ordering Numbered Char"/>
    <w:basedOn w:val="FOFNumberedChar"/>
    <w:link w:val="OrderingNumbered"/>
    <w:uiPriority w:val="4"/>
    <w:semiHidden/>
    <w:rsid w:val="0080046C"/>
    <w:rPr>
      <w:rFonts w:eastAsia="Times New Roman"/>
      <w:snapToGrid w:val="0"/>
      <w:szCs w:val="20"/>
    </w:rPr>
  </w:style>
  <w:style w:type="character" w:customStyle="1" w:styleId="OrderingParagraphChar">
    <w:name w:val="Ordering Paragraph Char"/>
    <w:basedOn w:val="OrderingNumberedChar"/>
    <w:link w:val="OrderingParagraph"/>
    <w:uiPriority w:val="2"/>
    <w:rsid w:val="0080046C"/>
    <w:rPr>
      <w:rFonts w:eastAsia="Times New Roman"/>
      <w:snapToGrid w:val="0"/>
      <w:szCs w:val="20"/>
    </w:rPr>
  </w:style>
  <w:style w:type="character" w:customStyle="1" w:styleId="BalloonTextChar">
    <w:name w:val="Balloon Text Char"/>
    <w:basedOn w:val="DefaultParagraphFont"/>
    <w:link w:val="BalloonText"/>
    <w:uiPriority w:val="99"/>
    <w:semiHidden/>
    <w:rsid w:val="009C1919"/>
    <w:rPr>
      <w:rFonts w:ascii="Segoe UI" w:hAnsi="Segoe UI" w:cs="Segoe UI"/>
      <w:sz w:val="18"/>
      <w:szCs w:val="18"/>
    </w:rPr>
  </w:style>
  <w:style w:type="paragraph" w:styleId="Header">
    <w:name w:val="header"/>
    <w:basedOn w:val="Normal"/>
    <w:link w:val="HeaderChar"/>
    <w:uiPriority w:val="99"/>
    <w:unhideWhenUsed/>
    <w:rsid w:val="00ED04FC"/>
    <w:pPr>
      <w:tabs>
        <w:tab w:val="center" w:pos="4680"/>
        <w:tab w:val="right" w:pos="9360"/>
      </w:tabs>
    </w:pPr>
    <w:rPr>
      <w:b/>
      <w:sz w:val="22"/>
    </w:rPr>
  </w:style>
  <w:style w:type="character" w:customStyle="1" w:styleId="HeaderChar">
    <w:name w:val="Header Char"/>
    <w:basedOn w:val="DefaultParagraphFont"/>
    <w:link w:val="Header"/>
    <w:uiPriority w:val="99"/>
    <w:rsid w:val="00ED04FC"/>
    <w:rPr>
      <w:b/>
      <w:sz w:val="22"/>
    </w:rPr>
  </w:style>
  <w:style w:type="paragraph" w:styleId="Footer">
    <w:name w:val="footer"/>
    <w:basedOn w:val="Normal"/>
    <w:link w:val="FooterChar"/>
    <w:uiPriority w:val="99"/>
    <w:unhideWhenUsed/>
    <w:rsid w:val="00ED04FC"/>
    <w:pPr>
      <w:tabs>
        <w:tab w:val="center" w:pos="4680"/>
        <w:tab w:val="right" w:pos="9360"/>
      </w:tabs>
    </w:pPr>
  </w:style>
  <w:style w:type="character" w:customStyle="1" w:styleId="FooterChar">
    <w:name w:val="Footer Char"/>
    <w:basedOn w:val="DefaultParagraphFont"/>
    <w:link w:val="Footer"/>
    <w:uiPriority w:val="99"/>
    <w:rsid w:val="00ED04FC"/>
  </w:style>
  <w:style w:type="paragraph" w:styleId="ListNumber">
    <w:name w:val="List Number"/>
    <w:basedOn w:val="Normal"/>
    <w:uiPriority w:val="99"/>
    <w:unhideWhenUsed/>
    <w:rsid w:val="00D03613"/>
    <w:pPr>
      <w:numPr>
        <w:numId w:val="8"/>
      </w:numPr>
      <w:spacing w:line="360" w:lineRule="auto"/>
      <w:ind w:left="720" w:hanging="720"/>
      <w:jc w:val="both"/>
    </w:pPr>
    <w:rPr>
      <w:rFonts w:cstheme="minorBidi"/>
      <w:szCs w:val="22"/>
    </w:rPr>
  </w:style>
  <w:style w:type="table" w:styleId="LightList">
    <w:name w:val="Light List"/>
    <w:basedOn w:val="TableNormal"/>
    <w:uiPriority w:val="61"/>
    <w:rsid w:val="003E1E22"/>
    <w:pPr>
      <w:spacing w:after="0" w:line="240" w:lineRule="auto"/>
    </w:pPr>
    <w:rPr>
      <w:rFonts w:asciiTheme="minorHAnsi" w:eastAsiaTheme="minorEastAsia" w:hAnsiTheme="minorHAnsi" w:cstheme="minorBidi"/>
      <w:sz w:val="22"/>
      <w:szCs w:val="22"/>
      <w:lang w:eastAsia="ja-JP"/>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Q:\CADM\Word%20Templates\order2013.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A381E2-D324-451C-801B-8F76E5257A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order2013</Template>
  <TotalTime>10</TotalTime>
  <Pages>7</Pages>
  <Words>1864</Words>
  <Characters>10628</Characters>
  <Application>Microsoft Office Word</Application>
  <DocSecurity>0</DocSecurity>
  <Lines>88</Lines>
  <Paragraphs>24</Paragraphs>
  <ScaleCrop>false</ScaleCrop>
  <HeadingPairs>
    <vt:vector size="2" baseType="variant">
      <vt:variant>
        <vt:lpstr>Title</vt:lpstr>
      </vt:variant>
      <vt:variant>
        <vt:i4>1</vt:i4>
      </vt:variant>
    </vt:vector>
  </HeadingPairs>
  <TitlesOfParts>
    <vt:vector size="1" baseType="lpstr">
      <vt:lpstr/>
    </vt:vector>
  </TitlesOfParts>
  <Company>Public Utility Commission of Texas</Company>
  <LinksUpToDate>false</LinksUpToDate>
  <CharactersWithSpaces>12468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Wharton, Laurie</dc:creator>
  <cp:keywords/>
  <dc:description/>
  <cp:lastModifiedBy>Hicks, Ruby</cp:lastModifiedBy>
  <cp:revision>5</cp:revision>
  <cp:lastPrinted>2017-05-18T15:46:00Z</cp:lastPrinted>
  <dcterms:created xsi:type="dcterms:W3CDTF">2017-05-18T12:37:00Z</dcterms:created>
  <dcterms:modified xsi:type="dcterms:W3CDTF">2017-05-18T15:53:00Z</dcterms:modified>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arkAsFinal">
    <vt:bool>true</vt:bool>
  </property>
</Properties>
</file>