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869" w:rsidRPr="003221AE" w:rsidRDefault="003221AE" w:rsidP="001F7869">
      <w:pPr>
        <w:pStyle w:val="Title"/>
        <w:rPr>
          <w:szCs w:val="24"/>
        </w:rPr>
      </w:pPr>
      <w:r>
        <w:t>PUC DOCKET NO. 42866</w:t>
      </w:r>
      <w:r w:rsidR="00967322">
        <w:br/>
      </w:r>
      <w:r w:rsidR="00967322" w:rsidRPr="003221AE">
        <w:rPr>
          <w:szCs w:val="24"/>
        </w:rPr>
        <w:t xml:space="preserve">SOAH DOCKET NO. </w:t>
      </w:r>
      <w:r w:rsidRPr="003221AE">
        <w:rPr>
          <w:szCs w:val="24"/>
        </w:rPr>
        <w:t>473-14-5144.WS</w:t>
      </w:r>
    </w:p>
    <w:tbl>
      <w:tblPr>
        <w:tblW w:w="9450" w:type="dxa"/>
        <w:jc w:val="center"/>
        <w:tblLayout w:type="fixed"/>
        <w:tblLook w:val="0000" w:firstRow="0" w:lastRow="0" w:firstColumn="0" w:lastColumn="0" w:noHBand="0" w:noVBand="0"/>
      </w:tblPr>
      <w:tblGrid>
        <w:gridCol w:w="4608"/>
        <w:gridCol w:w="360"/>
        <w:gridCol w:w="4482"/>
      </w:tblGrid>
      <w:tr w:rsidR="00967322" w:rsidTr="003221AE">
        <w:trPr>
          <w:jc w:val="center"/>
        </w:trPr>
        <w:tc>
          <w:tcPr>
            <w:tcW w:w="4608" w:type="dxa"/>
          </w:tcPr>
          <w:p w:rsidR="00967322" w:rsidRPr="00170A41" w:rsidRDefault="003221AE" w:rsidP="00170A41">
            <w:pPr>
              <w:widowControl w:val="0"/>
              <w:autoSpaceDE w:val="0"/>
              <w:autoSpaceDN w:val="0"/>
              <w:adjustRightInd w:val="0"/>
              <w:rPr>
                <w:b/>
                <w:snapToGrid/>
              </w:rPr>
            </w:pPr>
            <w:r>
              <w:rPr>
                <w:b/>
              </w:rPr>
              <w:t>PETITION OF TRAVIS COUNTY MUNICIPAL UTILITY DISTRICT NO. 12 APPEALING CHANGE OF WHOLESALE WATER RATES IMPLEMENTED BY WEST TRAVIS COUNTY PUBLIC UTILITY AGENCY; CITY OF BEE CAVE, TEXAS; HAYS COUNTY, TEXAS; AND WEST TRAVIS COUNTY MUNICIPAL UTILITY DISTRICT NO. 5</w:t>
            </w:r>
            <w:bookmarkStart w:id="0" w:name="_GoBack"/>
            <w:bookmarkEnd w:id="0"/>
          </w:p>
        </w:tc>
        <w:tc>
          <w:tcPr>
            <w:tcW w:w="360" w:type="dxa"/>
          </w:tcPr>
          <w:p w:rsidR="00967322" w:rsidRDefault="00967322">
            <w:pPr>
              <w:rPr>
                <w:b/>
              </w:rPr>
            </w:pPr>
            <w:r>
              <w:rPr>
                <w:b/>
              </w:rPr>
              <w:t>§</w:t>
            </w:r>
          </w:p>
          <w:p w:rsidR="00967322" w:rsidRDefault="00967322">
            <w:pPr>
              <w:rPr>
                <w:b/>
              </w:rPr>
            </w:pPr>
            <w:r>
              <w:rPr>
                <w:b/>
              </w:rPr>
              <w:t>§</w:t>
            </w:r>
          </w:p>
          <w:p w:rsidR="003221AE" w:rsidRDefault="00967322" w:rsidP="003221AE">
            <w:pPr>
              <w:rPr>
                <w:b/>
              </w:rPr>
            </w:pPr>
            <w:r>
              <w:rPr>
                <w:b/>
              </w:rPr>
              <w:t>§</w:t>
            </w:r>
            <w:r w:rsidR="003221AE">
              <w:rPr>
                <w:b/>
              </w:rPr>
              <w:t>§</w:t>
            </w:r>
          </w:p>
          <w:p w:rsidR="003221AE" w:rsidRDefault="003221AE" w:rsidP="003221AE">
            <w:pPr>
              <w:rPr>
                <w:b/>
              </w:rPr>
            </w:pPr>
            <w:r>
              <w:rPr>
                <w:b/>
              </w:rPr>
              <w:t>§</w:t>
            </w:r>
          </w:p>
          <w:p w:rsidR="003221AE" w:rsidRDefault="003221AE" w:rsidP="003221AE">
            <w:pPr>
              <w:rPr>
                <w:b/>
              </w:rPr>
            </w:pPr>
            <w:r>
              <w:rPr>
                <w:b/>
              </w:rPr>
              <w:t>§§</w:t>
            </w:r>
          </w:p>
          <w:p w:rsidR="003221AE" w:rsidRDefault="003221AE" w:rsidP="003221AE">
            <w:pPr>
              <w:rPr>
                <w:b/>
              </w:rPr>
            </w:pPr>
            <w:r>
              <w:rPr>
                <w:b/>
              </w:rPr>
              <w:t>§</w:t>
            </w:r>
          </w:p>
          <w:p w:rsidR="00967322" w:rsidRDefault="003221AE" w:rsidP="003221AE">
            <w:pPr>
              <w:rPr>
                <w:b/>
              </w:rPr>
            </w:pPr>
            <w:r>
              <w:rPr>
                <w:b/>
              </w:rPr>
              <w:t>§§</w:t>
            </w:r>
          </w:p>
        </w:tc>
        <w:tc>
          <w:tcPr>
            <w:tcW w:w="4482" w:type="dxa"/>
          </w:tcPr>
          <w:p w:rsidR="00967322" w:rsidRDefault="00967322">
            <w:pPr>
              <w:jc w:val="center"/>
              <w:rPr>
                <w:b/>
              </w:rPr>
            </w:pPr>
            <w:r>
              <w:rPr>
                <w:b/>
              </w:rPr>
              <w:t>PUBLIC UTILITY COMMISSION</w:t>
            </w:r>
          </w:p>
          <w:p w:rsidR="00967322" w:rsidRDefault="00967322">
            <w:pPr>
              <w:jc w:val="center"/>
              <w:rPr>
                <w:b/>
              </w:rPr>
            </w:pPr>
          </w:p>
          <w:p w:rsidR="00967322" w:rsidRDefault="00967322">
            <w:pPr>
              <w:jc w:val="center"/>
              <w:rPr>
                <w:b/>
              </w:rPr>
            </w:pPr>
            <w:r>
              <w:rPr>
                <w:b/>
              </w:rPr>
              <w:t xml:space="preserve">OF </w:t>
            </w:r>
            <w:smartTag w:uri="urn:schemas-microsoft-com:office:smarttags" w:element="place">
              <w:smartTag w:uri="urn:schemas-microsoft-com:office:smarttags" w:element="State">
                <w:r>
                  <w:rPr>
                    <w:b/>
                  </w:rPr>
                  <w:t>TEXAS</w:t>
                </w:r>
              </w:smartTag>
            </w:smartTag>
          </w:p>
        </w:tc>
      </w:tr>
    </w:tbl>
    <w:p w:rsidR="00967322" w:rsidRDefault="00967322" w:rsidP="003221AE">
      <w:pPr>
        <w:pStyle w:val="Title"/>
        <w:spacing w:before="360" w:after="360"/>
      </w:pPr>
      <w:r>
        <w:t>ORDER</w:t>
      </w:r>
    </w:p>
    <w:p w:rsidR="00360AB9" w:rsidRDefault="002F45D0" w:rsidP="00BD4D97">
      <w:pPr>
        <w:pStyle w:val="BodyText"/>
      </w:pPr>
      <w:r>
        <w:t xml:space="preserve">This Order addresses the petition by </w:t>
      </w:r>
      <w:r w:rsidR="00360AB9">
        <w:t>Travis County Municipal District 12 (District 12), on behalf of itself and Travis County Municipal Districts 11 and 13, seeking review of wholesale water-treatment-service rates set by the West Travis County Public Utility Agency (the Agency) that became effective on  January 1, 2014.</w:t>
      </w:r>
    </w:p>
    <w:p w:rsidR="00667A94" w:rsidRDefault="00360AB9" w:rsidP="00BD4D97">
      <w:pPr>
        <w:pStyle w:val="BodyText"/>
      </w:pPr>
      <w:r>
        <w:t xml:space="preserve">On September 30, 2015, the </w:t>
      </w:r>
      <w:r w:rsidRPr="006F0FA5">
        <w:t>State Office of Administrative Hearings</w:t>
      </w:r>
      <w:r>
        <w:t xml:space="preserve"> (SOAH) administrative law judge (ALJ) issued a proposal for decision recommending that the Commission </w:t>
      </w:r>
      <w:r w:rsidR="00726F9A">
        <w:t xml:space="preserve">deny and </w:t>
      </w:r>
      <w:r w:rsidRPr="00583BDD">
        <w:t>dismiss</w:t>
      </w:r>
      <w:r>
        <w:t xml:space="preserve"> with prejudice to refiling</w:t>
      </w:r>
      <w:r w:rsidRPr="00583BDD">
        <w:t xml:space="preserve"> District</w:t>
      </w:r>
      <w:r>
        <w:t xml:space="preserve"> 12</w:t>
      </w:r>
      <w:r w:rsidRPr="00583BDD">
        <w:t xml:space="preserve">’s </w:t>
      </w:r>
      <w:r w:rsidR="008840ED">
        <w:t xml:space="preserve">petition regarding </w:t>
      </w:r>
      <w:r w:rsidRPr="00583BDD">
        <w:t xml:space="preserve">the Agency’s </w:t>
      </w:r>
      <w:r>
        <w:t>changed rates</w:t>
      </w:r>
      <w:r w:rsidRPr="00583BDD">
        <w:t>.</w:t>
      </w:r>
      <w:r w:rsidR="00726F9A">
        <w:rPr>
          <w:rStyle w:val="FootnoteReference"/>
        </w:rPr>
        <w:footnoteReference w:id="1"/>
      </w:r>
      <w:r>
        <w:t xml:space="preserve">  The </w:t>
      </w:r>
      <w:r w:rsidR="00667A94">
        <w:t xml:space="preserve">SOAH </w:t>
      </w:r>
      <w:r>
        <w:t>ALJ re</w:t>
      </w:r>
      <w:r w:rsidR="008840ED">
        <w:t>commends dismissal</w:t>
      </w:r>
      <w:r>
        <w:t xml:space="preserve"> based on findings of fact and conclusions of law that District 12 failed to show the </w:t>
      </w:r>
      <w:r w:rsidR="008840ED">
        <w:t>protested</w:t>
      </w:r>
      <w:r>
        <w:t xml:space="preserve"> rates adversely affect the public interest.  In particular, District 12 failed to show the protested rates evidence the Agency’s abuse of monopoly power.</w:t>
      </w:r>
      <w:r w:rsidR="008840ED">
        <w:rPr>
          <w:rStyle w:val="FootnoteReference"/>
        </w:rPr>
        <w:footnoteReference w:id="2"/>
      </w:r>
      <w:r w:rsidR="00667A94">
        <w:t xml:space="preserve">  </w:t>
      </w:r>
    </w:p>
    <w:p w:rsidR="002F45D0" w:rsidRDefault="00667A94" w:rsidP="00BD4D97">
      <w:pPr>
        <w:pStyle w:val="BodyText"/>
      </w:pPr>
      <w:r>
        <w:t>The Commission adopts the SOAH ALJ’s recommended findings of fact and conclusions of law with minor modifications.  First, the Commission accepts the SOAH ALJ’s recommendation to correct finding of fact 68 to remove reference to declining-block rate struct</w:t>
      </w:r>
      <w:r w:rsidR="004356EC">
        <w:t xml:space="preserve">ures.  Second, the Commission adopts new finding of fact </w:t>
      </w:r>
      <w:r w:rsidR="006304E9">
        <w:t xml:space="preserve">70A. </w:t>
      </w:r>
      <w:proofErr w:type="gramStart"/>
      <w:r w:rsidR="006304E9">
        <w:t>to</w:t>
      </w:r>
      <w:proofErr w:type="gramEnd"/>
      <w:r w:rsidR="006304E9">
        <w:t xml:space="preserve"> find, consistent with the </w:t>
      </w:r>
      <w:proofErr w:type="spellStart"/>
      <w:r w:rsidR="006304E9">
        <w:t>the</w:t>
      </w:r>
      <w:proofErr w:type="spellEnd"/>
      <w:r w:rsidR="006304E9">
        <w:t xml:space="preserve"> SOAH ALJ’s recommendations, that the Agency used the same method to compute its revenue </w:t>
      </w:r>
      <w:r w:rsidR="006304E9">
        <w:lastRenderedPageBreak/>
        <w:t>requirement for its prior rates and the protested rates.</w:t>
      </w:r>
      <w:r w:rsidR="00F85F90">
        <w:t xml:space="preserve">  </w:t>
      </w:r>
      <w:r w:rsidR="000E1C22">
        <w:t>Additionally</w:t>
      </w:r>
      <w:r w:rsidR="00F85F90">
        <w:t>, the Commission declines to address in this proceeding whether the Agency is a retail public utility.  Addressing such is not necessary because this case involves rates for the provision of wholesale service by a</w:t>
      </w:r>
      <w:r w:rsidR="008C16B4">
        <w:t xml:space="preserve"> political subdivision of the state.</w:t>
      </w:r>
      <w:r w:rsidR="008C16B4">
        <w:rPr>
          <w:rStyle w:val="FootnoteReference"/>
        </w:rPr>
        <w:footnoteReference w:id="3"/>
      </w:r>
      <w:r w:rsidR="000E1C22">
        <w:t xml:space="preserve">  Finally, the Commission makes other, non-substantive changes for flow and stylistic consistency.  </w:t>
      </w:r>
      <w:r w:rsidR="00F85F90">
        <w:t xml:space="preserve"> </w:t>
      </w:r>
      <w:r w:rsidR="006304E9">
        <w:t xml:space="preserve">   </w:t>
      </w:r>
      <w:r>
        <w:t xml:space="preserve">    </w:t>
      </w:r>
      <w:r w:rsidR="00360AB9">
        <w:t xml:space="preserve">   </w:t>
      </w:r>
      <w:r w:rsidR="002F45D0">
        <w:t xml:space="preserve"> </w:t>
      </w:r>
    </w:p>
    <w:p w:rsidR="00D35333" w:rsidRPr="000E1C22" w:rsidRDefault="00D35333" w:rsidP="000E1C22">
      <w:pPr>
        <w:pStyle w:val="BodyText"/>
      </w:pPr>
      <w:r w:rsidRPr="000E1C22">
        <w:t>The Public Utility Commission of Texas (Commission) adopts the following findings of fact and conclusions of law:</w:t>
      </w:r>
    </w:p>
    <w:p w:rsidR="003221AE" w:rsidRPr="003221AE" w:rsidRDefault="003221AE" w:rsidP="000E1C22">
      <w:pPr>
        <w:pStyle w:val="Heading1"/>
        <w:numPr>
          <w:ilvl w:val="0"/>
          <w:numId w:val="25"/>
        </w:numPr>
        <w:spacing w:before="360"/>
      </w:pPr>
      <w:bookmarkStart w:id="1" w:name="_Toc431366952"/>
      <w:r w:rsidRPr="003221AE">
        <w:t xml:space="preserve">Findings of </w:t>
      </w:r>
      <w:r>
        <w:t>f</w:t>
      </w:r>
      <w:r w:rsidRPr="003221AE">
        <w:t>act</w:t>
      </w:r>
      <w:bookmarkEnd w:id="1"/>
    </w:p>
    <w:p w:rsidR="003221AE" w:rsidRDefault="003221AE" w:rsidP="003221AE"/>
    <w:p w:rsidR="003221AE" w:rsidRDefault="003221AE" w:rsidP="003221AE">
      <w:pPr>
        <w:pStyle w:val="FOFNumbered"/>
      </w:pPr>
      <w:r>
        <w:t>Travis County Municipal Utility District No. 12 (</w:t>
      </w:r>
      <w:r w:rsidR="00BC1D4B">
        <w:t>District 12</w:t>
      </w:r>
      <w:r>
        <w:t>) is a conservation and reclamation district created and functioning under article 16, section 59 of the Texas Constitution and chapters 49 and 54 of the Texas Water Code.</w:t>
      </w:r>
    </w:p>
    <w:p w:rsidR="003221AE" w:rsidRDefault="003221AE" w:rsidP="003221AE">
      <w:pPr>
        <w:pStyle w:val="FOFNumbered"/>
      </w:pPr>
      <w:r>
        <w:t>Travis County Municipal Utility Districts Nos. 11 and 13 (</w:t>
      </w:r>
      <w:r w:rsidR="00D44A79">
        <w:t>District</w:t>
      </w:r>
      <w:r>
        <w:t>s 11 and 13) are also conservation and reclamation districts.</w:t>
      </w:r>
    </w:p>
    <w:p w:rsidR="003221AE" w:rsidRDefault="00D44A79" w:rsidP="003221AE">
      <w:pPr>
        <w:pStyle w:val="FOFNumbered"/>
      </w:pPr>
      <w:r>
        <w:t>District</w:t>
      </w:r>
      <w:r w:rsidR="003221AE">
        <w:t>s 11, 12, and 13 are also “retail public utilities” because they are “operating, maintaining, or controlling in this state facilities for providing potable water service or sewer service, or both, for compensation.”  Tex. Water Code § 13.002(19).</w:t>
      </w:r>
    </w:p>
    <w:p w:rsidR="003221AE" w:rsidRDefault="0080436C" w:rsidP="003221AE">
      <w:pPr>
        <w:pStyle w:val="FOFNumbered"/>
      </w:pPr>
      <w:r>
        <w:t>Districts</w:t>
      </w:r>
      <w:r w:rsidR="003221AE">
        <w:t xml:space="preserve"> 11, 12, and 13 provide retail water service to geographically distinct areas within a larger area in Travis County, Texas, known as “The Highlands.”  </w:t>
      </w:r>
      <w:r>
        <w:t>District</w:t>
      </w:r>
      <w:r w:rsidR="003221AE">
        <w:t xml:space="preserve"> 11 also serves an adjacent area, known as “Rough Hollow.”</w:t>
      </w:r>
    </w:p>
    <w:p w:rsidR="003221AE" w:rsidRDefault="003221AE" w:rsidP="003221AE">
      <w:pPr>
        <w:pStyle w:val="FOFNumbered"/>
      </w:pPr>
      <w:r>
        <w:t xml:space="preserve">On September 25, 2008, </w:t>
      </w:r>
      <w:r w:rsidR="0080436C">
        <w:t>District</w:t>
      </w:r>
      <w:r>
        <w:t xml:space="preserve"> 12 and the Lower Colorado River Authority (LCRA) entered into a contract (</w:t>
      </w:r>
      <w:r w:rsidR="00422C51">
        <w:t>raw water c</w:t>
      </w:r>
      <w:r>
        <w:t xml:space="preserve">ontract) under which LCRA agreed to provide up to 1,680 acre-feet of raw water per year to </w:t>
      </w:r>
      <w:r w:rsidR="00422C51">
        <w:t>District</w:t>
      </w:r>
      <w:r>
        <w:t xml:space="preserve"> 12 for municipal use by </w:t>
      </w:r>
      <w:r w:rsidR="00422C51">
        <w:t>Districts</w:t>
      </w:r>
      <w:r>
        <w:t xml:space="preserve"> 11, 12, and 13 within their service areas.</w:t>
      </w:r>
    </w:p>
    <w:p w:rsidR="003221AE" w:rsidRDefault="003221AE" w:rsidP="003221AE">
      <w:pPr>
        <w:pStyle w:val="FOFNumbered"/>
      </w:pPr>
      <w:r>
        <w:t xml:space="preserve">In October 2009, </w:t>
      </w:r>
      <w:r w:rsidR="00422C51">
        <w:t>District</w:t>
      </w:r>
      <w:r>
        <w:t xml:space="preserve"> 12 and LCRA entered into a separate whole</w:t>
      </w:r>
      <w:r w:rsidR="00422C51">
        <w:t>sale water services agreement (water services a</w:t>
      </w:r>
      <w:r>
        <w:t xml:space="preserve">greement).  In that agreement, LCRA agreed to divert, </w:t>
      </w:r>
      <w:r>
        <w:lastRenderedPageBreak/>
        <w:t>transport, and treat,</w:t>
      </w:r>
      <w:r w:rsidR="00422C51">
        <w:t xml:space="preserve"> as needed, the raw water that District</w:t>
      </w:r>
      <w:r>
        <w:t xml:space="preserve"> 12 had</w:t>
      </w:r>
      <w:r w:rsidR="00422C51">
        <w:t xml:space="preserve"> purchased from LCRA under the raw water c</w:t>
      </w:r>
      <w:r>
        <w:t xml:space="preserve">ontract and to deliver that treated water to </w:t>
      </w:r>
      <w:r w:rsidR="00422C51">
        <w:t>District</w:t>
      </w:r>
      <w:r>
        <w:t xml:space="preserve"> 12 at a specified delivery point.</w:t>
      </w:r>
    </w:p>
    <w:p w:rsidR="003221AE" w:rsidRDefault="00422C51" w:rsidP="003221AE">
      <w:pPr>
        <w:pStyle w:val="FOFNumbered"/>
      </w:pPr>
      <w:r>
        <w:t>In the water services a</w:t>
      </w:r>
      <w:r w:rsidR="003221AE">
        <w:t xml:space="preserve">greement, </w:t>
      </w:r>
      <w:r>
        <w:t>District</w:t>
      </w:r>
      <w:r w:rsidR="003221AE">
        <w:t xml:space="preserve"> 12 agreed to pay LCRA:</w:t>
      </w:r>
    </w:p>
    <w:p w:rsidR="003221AE" w:rsidRDefault="003221AE" w:rsidP="003221AE"/>
    <w:p w:rsidR="003221AE" w:rsidRDefault="003221AE" w:rsidP="003221AE">
      <w:pPr>
        <w:pStyle w:val="ListParagraph"/>
        <w:numPr>
          <w:ilvl w:val="1"/>
          <w:numId w:val="26"/>
        </w:numPr>
        <w:ind w:hanging="720"/>
        <w:contextualSpacing/>
        <w:jc w:val="both"/>
      </w:pPr>
      <w:r>
        <w:t xml:space="preserve">a one-time connection fee per each living unit equivalent (LUE) for each new retail customer that connected to </w:t>
      </w:r>
      <w:r w:rsidR="00422C51">
        <w:t>the Districts</w:t>
      </w:r>
      <w:r>
        <w:t xml:space="preserve"> 11, 12, or 13 systems;</w:t>
      </w:r>
    </w:p>
    <w:p w:rsidR="003221AE" w:rsidRDefault="003221AE" w:rsidP="003221AE">
      <w:pPr>
        <w:pStyle w:val="ListParagraph"/>
        <w:ind w:left="1440"/>
      </w:pPr>
    </w:p>
    <w:p w:rsidR="003221AE" w:rsidRDefault="003221AE" w:rsidP="003221AE">
      <w:pPr>
        <w:pStyle w:val="ListParagraph"/>
        <w:numPr>
          <w:ilvl w:val="1"/>
          <w:numId w:val="26"/>
        </w:numPr>
        <w:ind w:hanging="720"/>
        <w:contextualSpacing/>
        <w:jc w:val="both"/>
      </w:pPr>
      <w:r>
        <w:t>a monthly charge for each calendar month; and</w:t>
      </w:r>
    </w:p>
    <w:p w:rsidR="003221AE" w:rsidRDefault="003221AE" w:rsidP="003221AE">
      <w:pPr>
        <w:pStyle w:val="ListParagraph"/>
        <w:ind w:left="1440"/>
      </w:pPr>
    </w:p>
    <w:p w:rsidR="003221AE" w:rsidRDefault="003221AE" w:rsidP="003221AE">
      <w:pPr>
        <w:pStyle w:val="ListParagraph"/>
        <w:numPr>
          <w:ilvl w:val="1"/>
          <w:numId w:val="26"/>
        </w:numPr>
        <w:ind w:hanging="720"/>
        <w:contextualSpacing/>
        <w:jc w:val="both"/>
      </w:pPr>
      <w:proofErr w:type="gramStart"/>
      <w:r>
        <w:t>a</w:t>
      </w:r>
      <w:proofErr w:type="gramEnd"/>
      <w:r>
        <w:t xml:space="preserve"> monthly volumetric rate for diversion, transportation, treatment, and delivery of the actual amount of water delivered to </w:t>
      </w:r>
      <w:r w:rsidR="00422C51">
        <w:t>District</w:t>
      </w:r>
      <w:r>
        <w:t xml:space="preserve"> 12 during the month.</w:t>
      </w:r>
    </w:p>
    <w:p w:rsidR="003221AE" w:rsidRDefault="003221AE" w:rsidP="003221AE"/>
    <w:p w:rsidR="003221AE" w:rsidRDefault="003221AE" w:rsidP="003221AE">
      <w:pPr>
        <w:pStyle w:val="FOFNumbered"/>
      </w:pPr>
      <w:r>
        <w:t>The connection fee was designed to recover all or part of LCRA’s costs for capital improvements or facility expansions intended to serve new development in LCRA’s service area.</w:t>
      </w:r>
    </w:p>
    <w:p w:rsidR="003221AE" w:rsidRDefault="003221AE" w:rsidP="003221AE">
      <w:pPr>
        <w:pStyle w:val="FOFNumbered"/>
      </w:pPr>
      <w:r>
        <w:t xml:space="preserve">The monthly charge was designed primarily to recover </w:t>
      </w:r>
      <w:r w:rsidR="00422C51">
        <w:t>District</w:t>
      </w:r>
      <w:r>
        <w:t xml:space="preserve"> 12’s allocable share of LCRA’s capital-related costs of the system used to provide service (West Travis County System) that were not recovered through the connection fee.</w:t>
      </w:r>
    </w:p>
    <w:p w:rsidR="003221AE" w:rsidRDefault="003221AE" w:rsidP="003221AE">
      <w:pPr>
        <w:pStyle w:val="FOFNumbered"/>
      </w:pPr>
      <w:r>
        <w:t>The volumetric rate was designed primarily to recover LCRA’s operation and maintenance costs, together with LCRA’s other costs not recovered through the connection fee or the monthly charge.</w:t>
      </w:r>
    </w:p>
    <w:p w:rsidR="003221AE" w:rsidRDefault="003221AE" w:rsidP="003221AE">
      <w:pPr>
        <w:pStyle w:val="FOFNumbered"/>
      </w:pPr>
      <w:r>
        <w:t>The connection fee was initially set at $4,120 per LUE, the monthly charge was initially set at $9,430 per month, and the volumetric rate was initially set at $2.40 per 1,000 gallons.</w:t>
      </w:r>
    </w:p>
    <w:p w:rsidR="003221AE" w:rsidRDefault="00422C51" w:rsidP="003221AE">
      <w:pPr>
        <w:pStyle w:val="FOFNumbered"/>
      </w:pPr>
      <w:r>
        <w:t>The water services a</w:t>
      </w:r>
      <w:r w:rsidR="003221AE">
        <w:t xml:space="preserve">greement provided that LCRA could modify the connection fee, monthly charge, and volumetric rate to recover </w:t>
      </w:r>
      <w:r>
        <w:t>District</w:t>
      </w:r>
      <w:r w:rsidR="003221AE">
        <w:t xml:space="preserve"> 12’s proportionate, just, reasonable, nondiscriminatory, fair, and equitable share of the costs of the West Travis County System.</w:t>
      </w:r>
    </w:p>
    <w:p w:rsidR="003221AE" w:rsidRDefault="003221AE" w:rsidP="003221AE">
      <w:pPr>
        <w:pStyle w:val="FOFNumbered"/>
      </w:pPr>
      <w:r>
        <w:t>West Travis County Public Utility Agency (</w:t>
      </w:r>
      <w:r w:rsidR="00422C51">
        <w:t>the Agency</w:t>
      </w:r>
      <w:r>
        <w:t>) is a Texas public utility agency, a political subdivision of the state of Texas organized under chapter 572 of the Texas Local Government Code.</w:t>
      </w:r>
    </w:p>
    <w:p w:rsidR="003221AE" w:rsidRDefault="00422C51" w:rsidP="003221AE">
      <w:pPr>
        <w:pStyle w:val="FOFNumbered"/>
      </w:pPr>
      <w:r>
        <w:lastRenderedPageBreak/>
        <w:t>The Agency</w:t>
      </w:r>
      <w:r w:rsidR="003221AE">
        <w:t xml:space="preserve"> was formed by the City of Bee Cave, Texas (Bee Cave); Hays County, Texas (Hays County); and West Travis County Municipal Utility District No. 5 (District 5) (collectively, Participants).  </w:t>
      </w:r>
    </w:p>
    <w:p w:rsidR="003221AE" w:rsidRDefault="003221AE" w:rsidP="003221AE">
      <w:pPr>
        <w:pStyle w:val="FOFNumbered"/>
      </w:pPr>
      <w:r>
        <w:t xml:space="preserve">In keeping with a series of contracts as described below, </w:t>
      </w:r>
      <w:r w:rsidR="00422C51">
        <w:t>the Agency</w:t>
      </w:r>
      <w:r>
        <w:t xml:space="preserve"> diverts from Lake Austin in Travis County, Texas, raw water </w:t>
      </w:r>
      <w:r w:rsidR="00422C51">
        <w:t>District</w:t>
      </w:r>
      <w:r>
        <w:t xml:space="preserve"> 12</w:t>
      </w:r>
      <w:r w:rsidR="00422C51">
        <w:t xml:space="preserve"> purchases from LCRA under the raw water c</w:t>
      </w:r>
      <w:r>
        <w:t xml:space="preserve">ontract and transports, treats, and delivers the treated water to </w:t>
      </w:r>
      <w:r w:rsidR="00422C51">
        <w:t>District</w:t>
      </w:r>
      <w:r>
        <w:t xml:space="preserve"> 12, in that same county.</w:t>
      </w:r>
    </w:p>
    <w:p w:rsidR="003221AE" w:rsidRDefault="003221AE" w:rsidP="003221AE">
      <w:pPr>
        <w:pStyle w:val="FOFNumbered"/>
      </w:pPr>
      <w:r>
        <w:t xml:space="preserve">In January 2012, LCRA and </w:t>
      </w:r>
      <w:r w:rsidR="00422C51">
        <w:t>the Agency</w:t>
      </w:r>
      <w:r>
        <w:t xml:space="preserve"> entered into a utilities i</w:t>
      </w:r>
      <w:r w:rsidR="00422C51">
        <w:t xml:space="preserve">nstallment purchase agreement </w:t>
      </w:r>
      <w:r>
        <w:t xml:space="preserve">by which LCRA sold to </w:t>
      </w:r>
      <w:r w:rsidR="00422C51">
        <w:t>the Agency</w:t>
      </w:r>
      <w:r>
        <w:t xml:space="preserve"> the West Travis County System.  The system consisted of certain water and wastewater utility facilities in western Travis and Hays Counties, Texas, including the facilities that LCRA had used to serve </w:t>
      </w:r>
      <w:r w:rsidR="00422C51">
        <w:t>District 12 under the water services a</w:t>
      </w:r>
      <w:r>
        <w:t>greement.</w:t>
      </w:r>
    </w:p>
    <w:p w:rsidR="003221AE" w:rsidRDefault="003221AE" w:rsidP="003221AE">
      <w:pPr>
        <w:pStyle w:val="FOFNumbered"/>
      </w:pPr>
      <w:r>
        <w:t xml:space="preserve">In June 2012, LCRA, </w:t>
      </w:r>
      <w:r w:rsidR="00422C51">
        <w:t>District</w:t>
      </w:r>
      <w:r>
        <w:t xml:space="preserve"> 12, and </w:t>
      </w:r>
      <w:r w:rsidR="00422C51">
        <w:t>the Agency entered into an agreement (transfer a</w:t>
      </w:r>
      <w:r>
        <w:t xml:space="preserve">greement), retroactively effective to March 19, 2012, regarding transfer of the operations of the West Travis County System.  In that agreement, LCRA assigned to the </w:t>
      </w:r>
      <w:r w:rsidR="00422C51">
        <w:t>Agency</w:t>
      </w:r>
      <w:r>
        <w:t xml:space="preserve"> all obligations an</w:t>
      </w:r>
      <w:r w:rsidR="00422C51">
        <w:t>d duties of the LCRA under the water services a</w:t>
      </w:r>
      <w:r>
        <w:t xml:space="preserve">greement, </w:t>
      </w:r>
      <w:r w:rsidR="00422C51">
        <w:t>the Agency</w:t>
      </w:r>
      <w:r>
        <w:t xml:space="preserve"> assumed those obligations and duties, and </w:t>
      </w:r>
      <w:r w:rsidR="00422C51">
        <w:t>the Agency</w:t>
      </w:r>
      <w:r>
        <w:t xml:space="preserve"> consented to the assignment and assumption.</w:t>
      </w:r>
    </w:p>
    <w:p w:rsidR="003221AE" w:rsidRDefault="003221AE" w:rsidP="003221AE">
      <w:pPr>
        <w:pStyle w:val="FOFNumbered"/>
      </w:pPr>
      <w:r>
        <w:t xml:space="preserve">On March 19, 2012, after assuming operational control of the West Travis County System, </w:t>
      </w:r>
      <w:r w:rsidR="00422C51">
        <w:t>the Agency</w:t>
      </w:r>
      <w:r>
        <w:t xml:space="preserve"> adopted the monthly charge and volumetric rate that LCRA had charged, including the rates charged to </w:t>
      </w:r>
      <w:r w:rsidR="00422C51">
        <w:t>District 12 (initial r</w:t>
      </w:r>
      <w:r>
        <w:t xml:space="preserve">ates).  Accordingly, </w:t>
      </w:r>
      <w:r w:rsidR="00422C51">
        <w:t>the Agency’s</w:t>
      </w:r>
      <w:r>
        <w:t xml:space="preserve"> initial monthly charge to </w:t>
      </w:r>
      <w:r w:rsidR="00422C51">
        <w:t>District</w:t>
      </w:r>
      <w:r>
        <w:t xml:space="preserve"> 12 was $9,430 and its volumetric rate was $2.40 per 1,000 gallons.</w:t>
      </w:r>
    </w:p>
    <w:p w:rsidR="003221AE" w:rsidRDefault="003221AE" w:rsidP="003221AE">
      <w:pPr>
        <w:pStyle w:val="FOFNumbered"/>
      </w:pPr>
      <w:r>
        <w:t xml:space="preserve">On November 15, 2012, </w:t>
      </w:r>
      <w:r w:rsidR="00422C51">
        <w:t>the Agency’s board of d</w:t>
      </w:r>
      <w:r>
        <w:t xml:space="preserve">irectors adopted an order increasing its wholesale water treatment service rates, including those charged to </w:t>
      </w:r>
      <w:r w:rsidR="00422C51">
        <w:t>District</w:t>
      </w:r>
      <w:r>
        <w:t xml:space="preserve"> 12, by</w:t>
      </w:r>
      <w:r w:rsidR="00422C51">
        <w:t xml:space="preserve"> 15.5% effective January 2013 (prior r</w:t>
      </w:r>
      <w:r w:rsidR="002471D3">
        <w:t>ates).  Specifically, the prior r</w:t>
      </w:r>
      <w:r>
        <w:t xml:space="preserve">ates increased </w:t>
      </w:r>
      <w:r w:rsidR="00422C51">
        <w:t>District</w:t>
      </w:r>
      <w:r>
        <w:t xml:space="preserve"> 12’s monthly charge from $9,430 to $10,891.65 and the volumetric rate from $2.40 to $2.77 per 1,000 gallons.</w:t>
      </w:r>
    </w:p>
    <w:p w:rsidR="003221AE" w:rsidRDefault="00422C51" w:rsidP="003221AE">
      <w:pPr>
        <w:pStyle w:val="FOFNumbered"/>
      </w:pPr>
      <w:r>
        <w:t>District</w:t>
      </w:r>
      <w:r w:rsidR="002471D3">
        <w:t xml:space="preserve"> 12 did not appeal the prior r</w:t>
      </w:r>
      <w:r w:rsidR="003221AE">
        <w:t>ates.</w:t>
      </w:r>
    </w:p>
    <w:p w:rsidR="003221AE" w:rsidRDefault="003221AE" w:rsidP="003221AE">
      <w:pPr>
        <w:pStyle w:val="FOFNumbered"/>
      </w:pPr>
      <w:r>
        <w:lastRenderedPageBreak/>
        <w:t xml:space="preserve">On November 21, 2013, </w:t>
      </w:r>
      <w:r w:rsidR="00422C51">
        <w:t>the Agency’s board of d</w:t>
      </w:r>
      <w:r>
        <w:t xml:space="preserve">irectors adopted an order revising the wholesale water treatment service rates charged to </w:t>
      </w:r>
      <w:r w:rsidR="00422C51">
        <w:t>District</w:t>
      </w:r>
      <w:r>
        <w:t xml:space="preserve"> </w:t>
      </w:r>
      <w:r w:rsidR="002471D3">
        <w:t>12, effective January 1, 2014 (protested rates).  As compared to the prior r</w:t>
      </w:r>
      <w:r>
        <w:t>at</w:t>
      </w:r>
      <w:r w:rsidR="002471D3">
        <w:t>es, the protested r</w:t>
      </w:r>
      <w:r>
        <w:t xml:space="preserve">ates decreased </w:t>
      </w:r>
      <w:r w:rsidR="00422C51">
        <w:t>District</w:t>
      </w:r>
      <w:r>
        <w:t xml:space="preserve"> 12’s monthly charge from $10,891.65 to $8,140.89 and decreased its volumetric rate from $2.77 to $2.11 per 1,000 gallons.</w:t>
      </w:r>
    </w:p>
    <w:p w:rsidR="003221AE" w:rsidRDefault="003221AE" w:rsidP="003221AE">
      <w:pPr>
        <w:pStyle w:val="FOFNumbered"/>
      </w:pPr>
      <w:r>
        <w:t xml:space="preserve">On March 6, 2014, </w:t>
      </w:r>
      <w:r w:rsidR="002471D3">
        <w:t>District</w:t>
      </w:r>
      <w:r>
        <w:t xml:space="preserve"> 12 filed a petition with the Texas Commission on Environmental Quality</w:t>
      </w:r>
      <w:r w:rsidR="002471D3">
        <w:t xml:space="preserve"> (TCEQ) appealing the protested r</w:t>
      </w:r>
      <w:r>
        <w:t>ates and asserting TCEQ had jurisdiction to consider the appeal under Texas Water Code §§ 11.036, 11.041, 12.013, and 13.043(f), and Texas Local Government Code § 572.061(d).</w:t>
      </w:r>
    </w:p>
    <w:p w:rsidR="003221AE" w:rsidRDefault="003221AE" w:rsidP="003221AE">
      <w:pPr>
        <w:pStyle w:val="FOFNumbered"/>
      </w:pPr>
      <w:r>
        <w:t>TCEQ referred the case to State Office of Administrative Hearings (SOAH) for hearing and issued a notice of a preliminary hearing.</w:t>
      </w:r>
    </w:p>
    <w:p w:rsidR="003221AE" w:rsidRDefault="003221AE" w:rsidP="003221AE">
      <w:pPr>
        <w:pStyle w:val="FOFNumbered"/>
      </w:pPr>
      <w:r>
        <w:t>On September 1, 2014, jurisdiction over certain functions was transferred from the TCEQ to the Public Utility Commission of Texas (PUC or Commission), including jurisdiction under Texas Water Code §§ 12.013 and 13.043(f).  Acts 2013, 83rd Leg., R.S., Ch. 170 (H.B. 1600), eff. Sept. 1, 2013; Acts 2013, 83rd Leg., R.S., Ch. 171 (S.B. 567), eff. Sept. 1, 2013.</w:t>
      </w:r>
    </w:p>
    <w:p w:rsidR="003221AE" w:rsidRDefault="003221AE" w:rsidP="003221AE">
      <w:pPr>
        <w:pStyle w:val="FOFNumbered"/>
      </w:pPr>
      <w:r>
        <w:t>Jurisdiction under Texas Water Code §§ 11.036 and 11.041 remains with TCEQ.</w:t>
      </w:r>
    </w:p>
    <w:p w:rsidR="003221AE" w:rsidRDefault="003221AE" w:rsidP="003221AE">
      <w:pPr>
        <w:pStyle w:val="FOFNumbered"/>
      </w:pPr>
      <w:r>
        <w:t xml:space="preserve">To simplify matters in this case after the transfer of jurisdiction, </w:t>
      </w:r>
      <w:r w:rsidR="002471D3">
        <w:t>District</w:t>
      </w:r>
      <w:r>
        <w:t xml:space="preserve"> 12 amended its petition to withdraw its claim of jurisdiction under §§ 11.036 and 11.041.</w:t>
      </w:r>
    </w:p>
    <w:p w:rsidR="003221AE" w:rsidRDefault="002471D3" w:rsidP="003221AE">
      <w:pPr>
        <w:pStyle w:val="FOFNumbered"/>
      </w:pPr>
      <w:r>
        <w:t>District</w:t>
      </w:r>
      <w:r w:rsidR="003221AE">
        <w:t xml:space="preserve"> 1</w:t>
      </w:r>
      <w:r>
        <w:t>2 claims that, by adopting the protested r</w:t>
      </w:r>
      <w:r w:rsidR="003221AE">
        <w:t xml:space="preserve">ates, </w:t>
      </w:r>
      <w:r>
        <w:t>the Agency</w:t>
      </w:r>
      <w:r w:rsidR="003221AE">
        <w:t xml:space="preserve"> has and abused monopoly power because: (1) </w:t>
      </w:r>
      <w:r>
        <w:t>the Agency</w:t>
      </w:r>
      <w:r w:rsidR="003221AE">
        <w:t xml:space="preserve"> has disparately greater bargaining power than </w:t>
      </w:r>
      <w:r>
        <w:t>District</w:t>
      </w:r>
      <w:r w:rsidR="003221AE">
        <w:t xml:space="preserve"> 12; and (2) </w:t>
      </w:r>
      <w:r>
        <w:t>the Agency</w:t>
      </w:r>
      <w:r w:rsidR="003221AE">
        <w:t xml:space="preserve"> changed its met</w:t>
      </w:r>
      <w:r>
        <w:t>hodologies used to compute the p</w:t>
      </w:r>
      <w:r w:rsidR="003221AE">
        <w:t xml:space="preserve">rotested </w:t>
      </w:r>
      <w:r>
        <w:t>r</w:t>
      </w:r>
      <w:r w:rsidR="003221AE">
        <w:t xml:space="preserve">ates and the revenue requirement underlying them to the long-term disadvantage of </w:t>
      </w:r>
      <w:r>
        <w:t>District</w:t>
      </w:r>
      <w:r w:rsidR="003221AE">
        <w:t xml:space="preserve"> 12.</w:t>
      </w:r>
    </w:p>
    <w:p w:rsidR="003221AE" w:rsidRDefault="003221AE" w:rsidP="003221AE">
      <w:pPr>
        <w:pStyle w:val="FOFNumbered"/>
      </w:pPr>
      <w:r>
        <w:t xml:space="preserve">Based on the alleged abuse of monopoly power, </w:t>
      </w:r>
      <w:r w:rsidR="002471D3">
        <w:t>District 12 also contends that the protested r</w:t>
      </w:r>
      <w:r>
        <w:t>ates adversely affect the public interest.</w:t>
      </w:r>
    </w:p>
    <w:p w:rsidR="003221AE" w:rsidRDefault="00AB1C22" w:rsidP="003221AE">
      <w:pPr>
        <w:pStyle w:val="FOFNumbered"/>
      </w:pPr>
      <w:r>
        <w:t>District</w:t>
      </w:r>
      <w:r w:rsidR="003221AE">
        <w:t xml:space="preserve"> 12, on behalf of itself and </w:t>
      </w:r>
      <w:r>
        <w:t>Districts</w:t>
      </w:r>
      <w:r w:rsidR="003221AE">
        <w:t xml:space="preserve"> 11 and 13, asks the </w:t>
      </w:r>
      <w:r>
        <w:t>Commission to find that the protested r</w:t>
      </w:r>
      <w:r w:rsidR="003221AE">
        <w:t xml:space="preserve">ates adversely affect the public interest and remand this case to the </w:t>
      </w:r>
      <w:r w:rsidR="003221AE">
        <w:lastRenderedPageBreak/>
        <w:t xml:space="preserve">Administrative Law Judge (ALJ) for further hearing so that the Commission can set the rates </w:t>
      </w:r>
      <w:r>
        <w:t>Districts</w:t>
      </w:r>
      <w:r w:rsidR="003221AE">
        <w:t xml:space="preserve"> 11, 12, and 13 should pay </w:t>
      </w:r>
      <w:r>
        <w:t>the Agency</w:t>
      </w:r>
      <w:r w:rsidR="003221AE">
        <w:t xml:space="preserve"> for wholesale</w:t>
      </w:r>
      <w:r>
        <w:t>-</w:t>
      </w:r>
      <w:r w:rsidR="003221AE">
        <w:t>water</w:t>
      </w:r>
      <w:r>
        <w:t>-</w:t>
      </w:r>
      <w:r w:rsidR="003221AE">
        <w:t>treatment service.</w:t>
      </w:r>
    </w:p>
    <w:p w:rsidR="003221AE" w:rsidRDefault="003221AE" w:rsidP="003221AE">
      <w:pPr>
        <w:pStyle w:val="FOFNumbered"/>
      </w:pPr>
      <w:r>
        <w:rPr>
          <w:lang w:val="en-CA"/>
        </w:rPr>
        <w:fldChar w:fldCharType="begin"/>
      </w:r>
      <w:r>
        <w:rPr>
          <w:lang w:val="en-CA"/>
        </w:rPr>
        <w:instrText xml:space="preserve"> SEQ CHAPTER \h \r 1</w:instrText>
      </w:r>
      <w:r>
        <w:rPr>
          <w:lang w:val="en-CA"/>
        </w:rPr>
        <w:fldChar w:fldCharType="end"/>
      </w:r>
      <w:r>
        <w:t>The following are the parties in this case:</w:t>
      </w:r>
    </w:p>
    <w:p w:rsidR="003221AE" w:rsidRDefault="003221AE" w:rsidP="003221AE"/>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878"/>
        <w:gridCol w:w="4482"/>
      </w:tblGrid>
      <w:tr w:rsidR="003221AE" w:rsidTr="003221AE">
        <w:trPr>
          <w:cantSplit/>
          <w:tblHeader/>
        </w:trPr>
        <w:tc>
          <w:tcPr>
            <w:tcW w:w="4878" w:type="dxa"/>
            <w:tcBorders>
              <w:top w:val="single" w:sz="6" w:space="0" w:color="000000"/>
              <w:left w:val="single" w:sz="6" w:space="0" w:color="000000"/>
              <w:bottom w:val="single" w:sz="6" w:space="0" w:color="000000"/>
              <w:right w:val="single" w:sz="6" w:space="0" w:color="000000"/>
            </w:tcBorders>
            <w:hideMark/>
          </w:tcPr>
          <w:p w:rsidR="003221AE" w:rsidRDefault="003221AE">
            <w:pPr>
              <w:rPr>
                <w:b/>
              </w:rPr>
            </w:pPr>
            <w:r>
              <w:rPr>
                <w:b/>
              </w:rPr>
              <w:t>PARTY</w:t>
            </w:r>
          </w:p>
        </w:tc>
        <w:tc>
          <w:tcPr>
            <w:tcW w:w="4482" w:type="dxa"/>
            <w:tcBorders>
              <w:top w:val="single" w:sz="6" w:space="0" w:color="000000"/>
              <w:left w:val="single" w:sz="6" w:space="0" w:color="000000"/>
              <w:bottom w:val="single" w:sz="6" w:space="0" w:color="000000"/>
              <w:right w:val="single" w:sz="6" w:space="0" w:color="000000"/>
            </w:tcBorders>
            <w:hideMark/>
          </w:tcPr>
          <w:p w:rsidR="003221AE" w:rsidRDefault="003221AE">
            <w:pPr>
              <w:rPr>
                <w:b/>
              </w:rPr>
            </w:pPr>
            <w:r>
              <w:rPr>
                <w:b/>
              </w:rPr>
              <w:t>REPRESENTATIVE</w:t>
            </w:r>
          </w:p>
        </w:tc>
      </w:tr>
      <w:tr w:rsidR="003221AE" w:rsidTr="003221AE">
        <w:trPr>
          <w:cantSplit/>
        </w:trPr>
        <w:tc>
          <w:tcPr>
            <w:tcW w:w="4878" w:type="dxa"/>
            <w:tcBorders>
              <w:top w:val="single" w:sz="6" w:space="0" w:color="000000"/>
              <w:left w:val="single" w:sz="6" w:space="0" w:color="000000"/>
              <w:bottom w:val="single" w:sz="6" w:space="0" w:color="000000"/>
              <w:right w:val="single" w:sz="6" w:space="0" w:color="000000"/>
            </w:tcBorders>
            <w:hideMark/>
          </w:tcPr>
          <w:p w:rsidR="003221AE" w:rsidRDefault="006D6346">
            <w:r>
              <w:t>District</w:t>
            </w:r>
            <w:r w:rsidR="003221AE">
              <w:t xml:space="preserve">s 11, 12, and 13 (collectively, </w:t>
            </w:r>
            <w:r>
              <w:t>District</w:t>
            </w:r>
            <w:r w:rsidR="003221AE">
              <w:t> 12)</w:t>
            </w:r>
          </w:p>
        </w:tc>
        <w:tc>
          <w:tcPr>
            <w:tcW w:w="4482" w:type="dxa"/>
            <w:tcBorders>
              <w:top w:val="single" w:sz="6" w:space="0" w:color="000000"/>
              <w:left w:val="single" w:sz="6" w:space="0" w:color="000000"/>
              <w:bottom w:val="single" w:sz="6" w:space="0" w:color="000000"/>
              <w:right w:val="single" w:sz="6" w:space="0" w:color="000000"/>
            </w:tcBorders>
            <w:hideMark/>
          </w:tcPr>
          <w:p w:rsidR="003221AE" w:rsidRDefault="003221AE">
            <w:r>
              <w:t>Kay Trostle &amp; Miguel Huerta</w:t>
            </w:r>
          </w:p>
        </w:tc>
      </w:tr>
      <w:tr w:rsidR="003221AE" w:rsidTr="003221AE">
        <w:trPr>
          <w:cantSplit/>
        </w:trPr>
        <w:tc>
          <w:tcPr>
            <w:tcW w:w="4878" w:type="dxa"/>
            <w:tcBorders>
              <w:top w:val="single" w:sz="6" w:space="0" w:color="000000"/>
              <w:left w:val="single" w:sz="6" w:space="0" w:color="000000"/>
              <w:bottom w:val="single" w:sz="6" w:space="0" w:color="000000"/>
              <w:right w:val="single" w:sz="6" w:space="0" w:color="000000"/>
            </w:tcBorders>
            <w:hideMark/>
          </w:tcPr>
          <w:p w:rsidR="003221AE" w:rsidRDefault="006D6346">
            <w:r>
              <w:t>The Agency</w:t>
            </w:r>
          </w:p>
        </w:tc>
        <w:tc>
          <w:tcPr>
            <w:tcW w:w="4482" w:type="dxa"/>
            <w:tcBorders>
              <w:top w:val="single" w:sz="6" w:space="0" w:color="000000"/>
              <w:left w:val="single" w:sz="6" w:space="0" w:color="000000"/>
              <w:bottom w:val="single" w:sz="6" w:space="0" w:color="000000"/>
              <w:right w:val="single" w:sz="6" w:space="0" w:color="000000"/>
            </w:tcBorders>
            <w:hideMark/>
          </w:tcPr>
          <w:p w:rsidR="003221AE" w:rsidRDefault="003221AE">
            <w:r>
              <w:t xml:space="preserve">David Klein, Georgia </w:t>
            </w:r>
            <w:proofErr w:type="spellStart"/>
            <w:r>
              <w:t>Krump</w:t>
            </w:r>
            <w:proofErr w:type="spellEnd"/>
            <w:r>
              <w:t>, &amp; Melissa Long</w:t>
            </w:r>
          </w:p>
        </w:tc>
      </w:tr>
      <w:tr w:rsidR="003221AE" w:rsidTr="003221AE">
        <w:trPr>
          <w:cantSplit/>
        </w:trPr>
        <w:tc>
          <w:tcPr>
            <w:tcW w:w="4878" w:type="dxa"/>
            <w:tcBorders>
              <w:top w:val="single" w:sz="6" w:space="0" w:color="000000"/>
              <w:left w:val="single" w:sz="6" w:space="0" w:color="000000"/>
              <w:bottom w:val="single" w:sz="6" w:space="0" w:color="000000"/>
              <w:right w:val="single" w:sz="6" w:space="0" w:color="000000"/>
            </w:tcBorders>
            <w:hideMark/>
          </w:tcPr>
          <w:p w:rsidR="003221AE" w:rsidRDefault="003221AE">
            <w:r>
              <w:t>City Of Bee Cave, Texas (Bee Cave)</w:t>
            </w:r>
          </w:p>
        </w:tc>
        <w:tc>
          <w:tcPr>
            <w:tcW w:w="4482" w:type="dxa"/>
            <w:tcBorders>
              <w:top w:val="single" w:sz="6" w:space="0" w:color="000000"/>
              <w:left w:val="single" w:sz="6" w:space="0" w:color="000000"/>
              <w:bottom w:val="single" w:sz="6" w:space="0" w:color="000000"/>
              <w:right w:val="single" w:sz="6" w:space="0" w:color="000000"/>
            </w:tcBorders>
            <w:hideMark/>
          </w:tcPr>
          <w:p w:rsidR="003221AE" w:rsidRDefault="003221AE">
            <w:r>
              <w:t>Jim Haley</w:t>
            </w:r>
          </w:p>
        </w:tc>
      </w:tr>
      <w:tr w:rsidR="003221AE" w:rsidTr="003221AE">
        <w:trPr>
          <w:cantSplit/>
        </w:trPr>
        <w:tc>
          <w:tcPr>
            <w:tcW w:w="4878" w:type="dxa"/>
            <w:tcBorders>
              <w:top w:val="single" w:sz="6" w:space="0" w:color="000000"/>
              <w:left w:val="single" w:sz="6" w:space="0" w:color="000000"/>
              <w:bottom w:val="single" w:sz="6" w:space="0" w:color="000000"/>
              <w:right w:val="single" w:sz="6" w:space="0" w:color="000000"/>
            </w:tcBorders>
            <w:hideMark/>
          </w:tcPr>
          <w:p w:rsidR="003221AE" w:rsidRDefault="003221AE">
            <w:r>
              <w:t>Hays County, Texas (Hays County)</w:t>
            </w:r>
          </w:p>
        </w:tc>
        <w:tc>
          <w:tcPr>
            <w:tcW w:w="4482" w:type="dxa"/>
            <w:tcBorders>
              <w:top w:val="single" w:sz="6" w:space="0" w:color="000000"/>
              <w:left w:val="single" w:sz="6" w:space="0" w:color="000000"/>
              <w:bottom w:val="single" w:sz="6" w:space="0" w:color="000000"/>
              <w:right w:val="single" w:sz="6" w:space="0" w:color="000000"/>
            </w:tcBorders>
            <w:hideMark/>
          </w:tcPr>
          <w:p w:rsidR="003221AE" w:rsidRDefault="003221AE">
            <w:r>
              <w:t>Mark D. Kennedy</w:t>
            </w:r>
          </w:p>
        </w:tc>
      </w:tr>
      <w:tr w:rsidR="003221AE" w:rsidTr="003221AE">
        <w:trPr>
          <w:cantSplit/>
        </w:trPr>
        <w:tc>
          <w:tcPr>
            <w:tcW w:w="4878" w:type="dxa"/>
            <w:tcBorders>
              <w:top w:val="single" w:sz="6" w:space="0" w:color="000000"/>
              <w:left w:val="single" w:sz="6" w:space="0" w:color="000000"/>
              <w:bottom w:val="single" w:sz="6" w:space="0" w:color="000000"/>
              <w:right w:val="single" w:sz="6" w:space="0" w:color="000000"/>
            </w:tcBorders>
            <w:hideMark/>
          </w:tcPr>
          <w:p w:rsidR="003221AE" w:rsidRDefault="003221AE">
            <w:r>
              <w:t>West Travis County Municipal Utility District No. 5 (District 5)</w:t>
            </w:r>
          </w:p>
        </w:tc>
        <w:tc>
          <w:tcPr>
            <w:tcW w:w="4482" w:type="dxa"/>
            <w:tcBorders>
              <w:top w:val="single" w:sz="6" w:space="0" w:color="000000"/>
              <w:left w:val="single" w:sz="6" w:space="0" w:color="000000"/>
              <w:bottom w:val="single" w:sz="6" w:space="0" w:color="000000"/>
              <w:right w:val="single" w:sz="6" w:space="0" w:color="000000"/>
            </w:tcBorders>
            <w:hideMark/>
          </w:tcPr>
          <w:p w:rsidR="003221AE" w:rsidRDefault="003221AE">
            <w:r>
              <w:t>Randy Wilburn</w:t>
            </w:r>
          </w:p>
        </w:tc>
      </w:tr>
      <w:tr w:rsidR="003221AE" w:rsidTr="003221AE">
        <w:trPr>
          <w:cantSplit/>
        </w:trPr>
        <w:tc>
          <w:tcPr>
            <w:tcW w:w="4878" w:type="dxa"/>
            <w:tcBorders>
              <w:top w:val="single" w:sz="6" w:space="0" w:color="000000"/>
              <w:left w:val="single" w:sz="6" w:space="0" w:color="000000"/>
              <w:bottom w:val="single" w:sz="6" w:space="0" w:color="000000"/>
              <w:right w:val="single" w:sz="6" w:space="0" w:color="000000"/>
            </w:tcBorders>
            <w:hideMark/>
          </w:tcPr>
          <w:p w:rsidR="003221AE" w:rsidRDefault="006D6346">
            <w:r>
              <w:t>Commission</w:t>
            </w:r>
            <w:r w:rsidR="003221AE">
              <w:t xml:space="preserve"> Staff</w:t>
            </w:r>
          </w:p>
        </w:tc>
        <w:tc>
          <w:tcPr>
            <w:tcW w:w="4482" w:type="dxa"/>
            <w:tcBorders>
              <w:top w:val="single" w:sz="6" w:space="0" w:color="000000"/>
              <w:left w:val="single" w:sz="6" w:space="0" w:color="000000"/>
              <w:bottom w:val="single" w:sz="6" w:space="0" w:color="000000"/>
              <w:right w:val="single" w:sz="6" w:space="0" w:color="000000"/>
            </w:tcBorders>
            <w:hideMark/>
          </w:tcPr>
          <w:p w:rsidR="003221AE" w:rsidRDefault="003221AE">
            <w:r>
              <w:t>Jessica Gray &amp; Sam Chang</w:t>
            </w:r>
          </w:p>
        </w:tc>
      </w:tr>
      <w:tr w:rsidR="003221AE" w:rsidTr="003221AE">
        <w:trPr>
          <w:cantSplit/>
        </w:trPr>
        <w:tc>
          <w:tcPr>
            <w:tcW w:w="4878" w:type="dxa"/>
            <w:tcBorders>
              <w:top w:val="single" w:sz="6" w:space="0" w:color="000000"/>
              <w:left w:val="single" w:sz="6" w:space="0" w:color="000000"/>
              <w:bottom w:val="single" w:sz="6" w:space="0" w:color="000000"/>
              <w:right w:val="single" w:sz="6" w:space="0" w:color="000000"/>
            </w:tcBorders>
            <w:hideMark/>
          </w:tcPr>
          <w:p w:rsidR="003221AE" w:rsidRDefault="003221AE">
            <w:r>
              <w:t>Texas Commission on Environmental Quality (TCEQ), Office of Public Interest Counsel (OPIC)</w:t>
            </w:r>
          </w:p>
        </w:tc>
        <w:tc>
          <w:tcPr>
            <w:tcW w:w="4482" w:type="dxa"/>
            <w:tcBorders>
              <w:top w:val="single" w:sz="6" w:space="0" w:color="000000"/>
              <w:left w:val="single" w:sz="6" w:space="0" w:color="000000"/>
              <w:bottom w:val="single" w:sz="6" w:space="0" w:color="000000"/>
              <w:right w:val="single" w:sz="6" w:space="0" w:color="000000"/>
            </w:tcBorders>
            <w:hideMark/>
          </w:tcPr>
          <w:p w:rsidR="003221AE" w:rsidRDefault="003221AE">
            <w:r>
              <w:t>Rudy Calderon</w:t>
            </w:r>
          </w:p>
        </w:tc>
      </w:tr>
    </w:tbl>
    <w:p w:rsidR="003221AE" w:rsidRDefault="003221AE" w:rsidP="003221AE"/>
    <w:p w:rsidR="003221AE" w:rsidRDefault="003221AE" w:rsidP="003221AE">
      <w:pPr>
        <w:pStyle w:val="FOFNumbered"/>
      </w:pPr>
      <w:r>
        <w:t>The following are the major procedural events in this case:</w:t>
      </w:r>
    </w:p>
    <w:p w:rsidR="003221AE" w:rsidRDefault="003221AE" w:rsidP="003221AE"/>
    <w:tbl>
      <w:tblPr>
        <w:tblStyle w:val="TableGrid"/>
        <w:tblW w:w="0" w:type="auto"/>
        <w:tblInd w:w="0" w:type="dxa"/>
        <w:tblLook w:val="04A0" w:firstRow="1" w:lastRow="0" w:firstColumn="1" w:lastColumn="0" w:noHBand="0" w:noVBand="1"/>
      </w:tblPr>
      <w:tblGrid>
        <w:gridCol w:w="2320"/>
        <w:gridCol w:w="7030"/>
      </w:tblGrid>
      <w:tr w:rsidR="003221AE" w:rsidTr="003221AE">
        <w:trPr>
          <w:cantSplit/>
          <w:tblHeader/>
        </w:trPr>
        <w:tc>
          <w:tcPr>
            <w:tcW w:w="2358" w:type="dxa"/>
            <w:tcBorders>
              <w:top w:val="single" w:sz="4" w:space="0" w:color="auto"/>
              <w:left w:val="single" w:sz="4" w:space="0" w:color="auto"/>
              <w:bottom w:val="single" w:sz="4" w:space="0" w:color="auto"/>
              <w:right w:val="single" w:sz="4" w:space="0" w:color="auto"/>
            </w:tcBorders>
            <w:vAlign w:val="center"/>
            <w:hideMark/>
          </w:tcPr>
          <w:p w:rsidR="003221AE" w:rsidRDefault="003221AE">
            <w:pPr>
              <w:rPr>
                <w:b/>
              </w:rPr>
            </w:pPr>
            <w:r>
              <w:rPr>
                <w:b/>
              </w:rPr>
              <w:t>DATE</w:t>
            </w:r>
          </w:p>
        </w:tc>
        <w:tc>
          <w:tcPr>
            <w:tcW w:w="7218" w:type="dxa"/>
            <w:tcBorders>
              <w:top w:val="single" w:sz="4" w:space="0" w:color="auto"/>
              <w:left w:val="single" w:sz="4" w:space="0" w:color="auto"/>
              <w:bottom w:val="single" w:sz="4" w:space="0" w:color="auto"/>
              <w:right w:val="single" w:sz="4" w:space="0" w:color="auto"/>
            </w:tcBorders>
            <w:vAlign w:val="center"/>
            <w:hideMark/>
          </w:tcPr>
          <w:p w:rsidR="003221AE" w:rsidRDefault="003221AE">
            <w:pPr>
              <w:rPr>
                <w:b/>
              </w:rPr>
            </w:pPr>
            <w:r>
              <w:rPr>
                <w:b/>
              </w:rPr>
              <w:t>EVENT</w:t>
            </w:r>
          </w:p>
        </w:tc>
      </w:tr>
      <w:tr w:rsidR="003221AE" w:rsidTr="003221AE">
        <w:trPr>
          <w:cantSplit/>
        </w:trPr>
        <w:tc>
          <w:tcPr>
            <w:tcW w:w="2358" w:type="dxa"/>
            <w:tcBorders>
              <w:top w:val="single" w:sz="4" w:space="0" w:color="auto"/>
              <w:left w:val="single" w:sz="4" w:space="0" w:color="auto"/>
              <w:bottom w:val="single" w:sz="4" w:space="0" w:color="auto"/>
              <w:right w:val="single" w:sz="4" w:space="0" w:color="auto"/>
            </w:tcBorders>
            <w:vAlign w:val="center"/>
            <w:hideMark/>
          </w:tcPr>
          <w:p w:rsidR="003221AE" w:rsidRDefault="003221AE">
            <w:r>
              <w:t>March 6, 2014</w:t>
            </w:r>
          </w:p>
        </w:tc>
        <w:tc>
          <w:tcPr>
            <w:tcW w:w="7218" w:type="dxa"/>
            <w:tcBorders>
              <w:top w:val="single" w:sz="4" w:space="0" w:color="auto"/>
              <w:left w:val="single" w:sz="4" w:space="0" w:color="auto"/>
              <w:bottom w:val="single" w:sz="4" w:space="0" w:color="auto"/>
              <w:right w:val="single" w:sz="4" w:space="0" w:color="auto"/>
            </w:tcBorders>
            <w:vAlign w:val="center"/>
            <w:hideMark/>
          </w:tcPr>
          <w:p w:rsidR="003221AE" w:rsidRDefault="00386A23">
            <w:r>
              <w:t>District</w:t>
            </w:r>
            <w:r w:rsidR="003221AE">
              <w:t xml:space="preserve"> 12’s petition filed with TCEQ</w:t>
            </w:r>
          </w:p>
        </w:tc>
      </w:tr>
      <w:tr w:rsidR="003221AE" w:rsidTr="003221AE">
        <w:trPr>
          <w:cantSplit/>
        </w:trPr>
        <w:tc>
          <w:tcPr>
            <w:tcW w:w="2358" w:type="dxa"/>
            <w:tcBorders>
              <w:top w:val="single" w:sz="4" w:space="0" w:color="auto"/>
              <w:left w:val="single" w:sz="4" w:space="0" w:color="auto"/>
              <w:bottom w:val="single" w:sz="4" w:space="0" w:color="auto"/>
              <w:right w:val="single" w:sz="4" w:space="0" w:color="auto"/>
            </w:tcBorders>
            <w:vAlign w:val="center"/>
            <w:hideMark/>
          </w:tcPr>
          <w:p w:rsidR="003221AE" w:rsidRDefault="003221AE">
            <w:r>
              <w:t>April 11, 2014</w:t>
            </w:r>
          </w:p>
        </w:tc>
        <w:tc>
          <w:tcPr>
            <w:tcW w:w="7218" w:type="dxa"/>
            <w:tcBorders>
              <w:top w:val="single" w:sz="4" w:space="0" w:color="auto"/>
              <w:left w:val="single" w:sz="4" w:space="0" w:color="auto"/>
              <w:bottom w:val="single" w:sz="4" w:space="0" w:color="auto"/>
              <w:right w:val="single" w:sz="4" w:space="0" w:color="auto"/>
            </w:tcBorders>
            <w:vAlign w:val="center"/>
            <w:hideMark/>
          </w:tcPr>
          <w:p w:rsidR="003221AE" w:rsidRDefault="00386A23" w:rsidP="00386A23">
            <w:r>
              <w:t>The Agency</w:t>
            </w:r>
            <w:r w:rsidR="003221AE">
              <w:t xml:space="preserve"> response to petition</w:t>
            </w:r>
          </w:p>
        </w:tc>
      </w:tr>
      <w:tr w:rsidR="003221AE" w:rsidTr="003221AE">
        <w:trPr>
          <w:cantSplit/>
        </w:trPr>
        <w:tc>
          <w:tcPr>
            <w:tcW w:w="2358" w:type="dxa"/>
            <w:tcBorders>
              <w:top w:val="single" w:sz="4" w:space="0" w:color="auto"/>
              <w:left w:val="single" w:sz="4" w:space="0" w:color="auto"/>
              <w:bottom w:val="single" w:sz="4" w:space="0" w:color="auto"/>
              <w:right w:val="single" w:sz="4" w:space="0" w:color="auto"/>
            </w:tcBorders>
            <w:vAlign w:val="center"/>
            <w:hideMark/>
          </w:tcPr>
          <w:p w:rsidR="003221AE" w:rsidRDefault="003221AE">
            <w:r>
              <w:t>April 28, 2014</w:t>
            </w:r>
          </w:p>
        </w:tc>
        <w:tc>
          <w:tcPr>
            <w:tcW w:w="7218" w:type="dxa"/>
            <w:tcBorders>
              <w:top w:val="single" w:sz="4" w:space="0" w:color="auto"/>
              <w:left w:val="single" w:sz="4" w:space="0" w:color="auto"/>
              <w:bottom w:val="single" w:sz="4" w:space="0" w:color="auto"/>
              <w:right w:val="single" w:sz="4" w:space="0" w:color="auto"/>
            </w:tcBorders>
            <w:vAlign w:val="center"/>
            <w:hideMark/>
          </w:tcPr>
          <w:p w:rsidR="003221AE" w:rsidRDefault="003221AE">
            <w:r>
              <w:t>TCEQ referral to the State Office of Administrative Hearings (SOAH)</w:t>
            </w:r>
          </w:p>
        </w:tc>
      </w:tr>
      <w:tr w:rsidR="003221AE" w:rsidTr="003221AE">
        <w:trPr>
          <w:cantSplit/>
        </w:trPr>
        <w:tc>
          <w:tcPr>
            <w:tcW w:w="2358" w:type="dxa"/>
            <w:tcBorders>
              <w:top w:val="single" w:sz="4" w:space="0" w:color="auto"/>
              <w:left w:val="single" w:sz="4" w:space="0" w:color="auto"/>
              <w:bottom w:val="single" w:sz="4" w:space="0" w:color="auto"/>
              <w:right w:val="single" w:sz="4" w:space="0" w:color="auto"/>
            </w:tcBorders>
            <w:vAlign w:val="center"/>
            <w:hideMark/>
          </w:tcPr>
          <w:p w:rsidR="003221AE" w:rsidRDefault="003221AE">
            <w:r>
              <w:t>May 9, 2014</w:t>
            </w:r>
          </w:p>
        </w:tc>
        <w:tc>
          <w:tcPr>
            <w:tcW w:w="7218" w:type="dxa"/>
            <w:tcBorders>
              <w:top w:val="single" w:sz="4" w:space="0" w:color="auto"/>
              <w:left w:val="single" w:sz="4" w:space="0" w:color="auto"/>
              <w:bottom w:val="single" w:sz="4" w:space="0" w:color="auto"/>
              <w:right w:val="single" w:sz="4" w:space="0" w:color="auto"/>
            </w:tcBorders>
            <w:vAlign w:val="center"/>
            <w:hideMark/>
          </w:tcPr>
          <w:p w:rsidR="003221AE" w:rsidRDefault="003221AE">
            <w:r>
              <w:t>TCEQ notice of preliminary hearing</w:t>
            </w:r>
          </w:p>
        </w:tc>
      </w:tr>
      <w:tr w:rsidR="003221AE" w:rsidTr="003221AE">
        <w:trPr>
          <w:cantSplit/>
        </w:trPr>
        <w:tc>
          <w:tcPr>
            <w:tcW w:w="2358" w:type="dxa"/>
            <w:tcBorders>
              <w:top w:val="single" w:sz="4" w:space="0" w:color="auto"/>
              <w:left w:val="single" w:sz="4" w:space="0" w:color="auto"/>
              <w:bottom w:val="single" w:sz="4" w:space="0" w:color="auto"/>
              <w:right w:val="single" w:sz="4" w:space="0" w:color="auto"/>
            </w:tcBorders>
            <w:vAlign w:val="center"/>
            <w:hideMark/>
          </w:tcPr>
          <w:p w:rsidR="003221AE" w:rsidRDefault="003221AE">
            <w:r>
              <w:t>June 11, 2014</w:t>
            </w:r>
          </w:p>
        </w:tc>
        <w:tc>
          <w:tcPr>
            <w:tcW w:w="7218" w:type="dxa"/>
            <w:tcBorders>
              <w:top w:val="single" w:sz="4" w:space="0" w:color="auto"/>
              <w:left w:val="single" w:sz="4" w:space="0" w:color="auto"/>
              <w:bottom w:val="single" w:sz="4" w:space="0" w:color="auto"/>
              <w:right w:val="single" w:sz="4" w:space="0" w:color="auto"/>
            </w:tcBorders>
            <w:vAlign w:val="center"/>
            <w:hideMark/>
          </w:tcPr>
          <w:p w:rsidR="003221AE" w:rsidRDefault="003221AE">
            <w:r>
              <w:t>Preliminary hearing by SOAH for TCEQ</w:t>
            </w:r>
          </w:p>
        </w:tc>
      </w:tr>
      <w:tr w:rsidR="003221AE" w:rsidTr="003221AE">
        <w:trPr>
          <w:cantSplit/>
        </w:trPr>
        <w:tc>
          <w:tcPr>
            <w:tcW w:w="2358" w:type="dxa"/>
            <w:tcBorders>
              <w:top w:val="single" w:sz="4" w:space="0" w:color="auto"/>
              <w:left w:val="single" w:sz="4" w:space="0" w:color="auto"/>
              <w:bottom w:val="single" w:sz="4" w:space="0" w:color="auto"/>
              <w:right w:val="single" w:sz="4" w:space="0" w:color="auto"/>
            </w:tcBorders>
            <w:vAlign w:val="center"/>
            <w:hideMark/>
          </w:tcPr>
          <w:p w:rsidR="003221AE" w:rsidRDefault="003221AE">
            <w:r>
              <w:t>July 14, 2014</w:t>
            </w:r>
          </w:p>
        </w:tc>
        <w:tc>
          <w:tcPr>
            <w:tcW w:w="7218" w:type="dxa"/>
            <w:tcBorders>
              <w:top w:val="single" w:sz="4" w:space="0" w:color="auto"/>
              <w:left w:val="single" w:sz="4" w:space="0" w:color="auto"/>
              <w:bottom w:val="single" w:sz="4" w:space="0" w:color="auto"/>
              <w:right w:val="single" w:sz="4" w:space="0" w:color="auto"/>
            </w:tcBorders>
            <w:vAlign w:val="center"/>
            <w:hideMark/>
          </w:tcPr>
          <w:p w:rsidR="003221AE" w:rsidRDefault="003221AE">
            <w:r>
              <w:t>Discovery began</w:t>
            </w:r>
          </w:p>
        </w:tc>
      </w:tr>
      <w:tr w:rsidR="003221AE" w:rsidTr="003221AE">
        <w:trPr>
          <w:cantSplit/>
        </w:trPr>
        <w:tc>
          <w:tcPr>
            <w:tcW w:w="2358" w:type="dxa"/>
            <w:tcBorders>
              <w:top w:val="single" w:sz="4" w:space="0" w:color="auto"/>
              <w:left w:val="single" w:sz="4" w:space="0" w:color="auto"/>
              <w:bottom w:val="single" w:sz="4" w:space="0" w:color="auto"/>
              <w:right w:val="single" w:sz="4" w:space="0" w:color="auto"/>
            </w:tcBorders>
            <w:vAlign w:val="center"/>
            <w:hideMark/>
          </w:tcPr>
          <w:p w:rsidR="003221AE" w:rsidRDefault="003221AE">
            <w:r>
              <w:t>August 15, 2014</w:t>
            </w:r>
          </w:p>
        </w:tc>
        <w:tc>
          <w:tcPr>
            <w:tcW w:w="7218" w:type="dxa"/>
            <w:tcBorders>
              <w:top w:val="single" w:sz="4" w:space="0" w:color="auto"/>
              <w:left w:val="single" w:sz="4" w:space="0" w:color="auto"/>
              <w:bottom w:val="single" w:sz="4" w:space="0" w:color="auto"/>
              <w:right w:val="single" w:sz="4" w:space="0" w:color="auto"/>
            </w:tcBorders>
            <w:vAlign w:val="center"/>
            <w:hideMark/>
          </w:tcPr>
          <w:p w:rsidR="003221AE" w:rsidRDefault="003221AE">
            <w:r>
              <w:t>Deadline for requests for disclosure</w:t>
            </w:r>
          </w:p>
        </w:tc>
      </w:tr>
      <w:tr w:rsidR="003221AE" w:rsidTr="003221AE">
        <w:trPr>
          <w:cantSplit/>
        </w:trPr>
        <w:tc>
          <w:tcPr>
            <w:tcW w:w="2358" w:type="dxa"/>
            <w:tcBorders>
              <w:top w:val="single" w:sz="4" w:space="0" w:color="auto"/>
              <w:left w:val="single" w:sz="4" w:space="0" w:color="auto"/>
              <w:bottom w:val="single" w:sz="4" w:space="0" w:color="auto"/>
              <w:right w:val="single" w:sz="4" w:space="0" w:color="auto"/>
            </w:tcBorders>
            <w:vAlign w:val="center"/>
            <w:hideMark/>
          </w:tcPr>
          <w:p w:rsidR="003221AE" w:rsidRDefault="003221AE">
            <w:r>
              <w:t>September 1, 2014</w:t>
            </w:r>
          </w:p>
        </w:tc>
        <w:tc>
          <w:tcPr>
            <w:tcW w:w="7218" w:type="dxa"/>
            <w:tcBorders>
              <w:top w:val="single" w:sz="4" w:space="0" w:color="auto"/>
              <w:left w:val="single" w:sz="4" w:space="0" w:color="auto"/>
              <w:bottom w:val="single" w:sz="4" w:space="0" w:color="auto"/>
              <w:right w:val="single" w:sz="4" w:space="0" w:color="auto"/>
            </w:tcBorders>
            <w:vAlign w:val="center"/>
            <w:hideMark/>
          </w:tcPr>
          <w:p w:rsidR="003221AE" w:rsidRDefault="003221AE">
            <w:r>
              <w:t>Jurisdiction transferred from TCEQ to PUC</w:t>
            </w:r>
          </w:p>
        </w:tc>
      </w:tr>
      <w:tr w:rsidR="003221AE" w:rsidTr="003221AE">
        <w:trPr>
          <w:cantSplit/>
        </w:trPr>
        <w:tc>
          <w:tcPr>
            <w:tcW w:w="2358" w:type="dxa"/>
            <w:tcBorders>
              <w:top w:val="single" w:sz="4" w:space="0" w:color="auto"/>
              <w:left w:val="single" w:sz="4" w:space="0" w:color="auto"/>
              <w:bottom w:val="single" w:sz="4" w:space="0" w:color="auto"/>
              <w:right w:val="single" w:sz="4" w:space="0" w:color="auto"/>
            </w:tcBorders>
            <w:vAlign w:val="center"/>
            <w:hideMark/>
          </w:tcPr>
          <w:p w:rsidR="003221AE" w:rsidRDefault="003221AE">
            <w:r>
              <w:t>September 11, 2014</w:t>
            </w:r>
          </w:p>
        </w:tc>
        <w:tc>
          <w:tcPr>
            <w:tcW w:w="7218" w:type="dxa"/>
            <w:tcBorders>
              <w:top w:val="single" w:sz="4" w:space="0" w:color="auto"/>
              <w:left w:val="single" w:sz="4" w:space="0" w:color="auto"/>
              <w:bottom w:val="single" w:sz="4" w:space="0" w:color="auto"/>
              <w:right w:val="single" w:sz="4" w:space="0" w:color="auto"/>
            </w:tcBorders>
            <w:vAlign w:val="center"/>
            <w:hideMark/>
          </w:tcPr>
          <w:p w:rsidR="003221AE" w:rsidRDefault="003221AE">
            <w:r>
              <w:t>Prehearing conference for PUC</w:t>
            </w:r>
          </w:p>
        </w:tc>
      </w:tr>
      <w:tr w:rsidR="003221AE" w:rsidTr="003221AE">
        <w:trPr>
          <w:cantSplit/>
        </w:trPr>
        <w:tc>
          <w:tcPr>
            <w:tcW w:w="2358" w:type="dxa"/>
            <w:tcBorders>
              <w:top w:val="single" w:sz="4" w:space="0" w:color="auto"/>
              <w:left w:val="single" w:sz="4" w:space="0" w:color="auto"/>
              <w:bottom w:val="single" w:sz="4" w:space="0" w:color="auto"/>
              <w:right w:val="single" w:sz="4" w:space="0" w:color="auto"/>
            </w:tcBorders>
            <w:vAlign w:val="center"/>
            <w:hideMark/>
          </w:tcPr>
          <w:p w:rsidR="003221AE" w:rsidRDefault="003221AE">
            <w:r>
              <w:t>September 12, 2014</w:t>
            </w:r>
          </w:p>
        </w:tc>
        <w:tc>
          <w:tcPr>
            <w:tcW w:w="7218" w:type="dxa"/>
            <w:tcBorders>
              <w:top w:val="single" w:sz="4" w:space="0" w:color="auto"/>
              <w:left w:val="single" w:sz="4" w:space="0" w:color="auto"/>
              <w:bottom w:val="single" w:sz="4" w:space="0" w:color="auto"/>
              <w:right w:val="single" w:sz="4" w:space="0" w:color="auto"/>
            </w:tcBorders>
            <w:vAlign w:val="center"/>
            <w:hideMark/>
          </w:tcPr>
          <w:p w:rsidR="00386A23" w:rsidRDefault="00386A23">
            <w:r>
              <w:t>District</w:t>
            </w:r>
            <w:r w:rsidR="003221AE">
              <w:t xml:space="preserve"> 12 Motion Amending Jurisdictional Claim &amp; </w:t>
            </w:r>
          </w:p>
          <w:p w:rsidR="003221AE" w:rsidRDefault="003221AE">
            <w:r>
              <w:t>ED’s Motion to Withdraw</w:t>
            </w:r>
          </w:p>
        </w:tc>
      </w:tr>
      <w:tr w:rsidR="003221AE" w:rsidTr="003221AE">
        <w:trPr>
          <w:cantSplit/>
        </w:trPr>
        <w:tc>
          <w:tcPr>
            <w:tcW w:w="2358" w:type="dxa"/>
            <w:tcBorders>
              <w:top w:val="single" w:sz="4" w:space="0" w:color="auto"/>
              <w:left w:val="single" w:sz="4" w:space="0" w:color="auto"/>
              <w:bottom w:val="single" w:sz="4" w:space="0" w:color="auto"/>
              <w:right w:val="single" w:sz="4" w:space="0" w:color="auto"/>
            </w:tcBorders>
            <w:vAlign w:val="center"/>
            <w:hideMark/>
          </w:tcPr>
          <w:p w:rsidR="003221AE" w:rsidRDefault="003221AE">
            <w:r>
              <w:t>September 18, 2014</w:t>
            </w:r>
          </w:p>
        </w:tc>
        <w:tc>
          <w:tcPr>
            <w:tcW w:w="7218" w:type="dxa"/>
            <w:tcBorders>
              <w:top w:val="single" w:sz="4" w:space="0" w:color="auto"/>
              <w:left w:val="single" w:sz="4" w:space="0" w:color="auto"/>
              <w:bottom w:val="single" w:sz="4" w:space="0" w:color="auto"/>
              <w:right w:val="single" w:sz="4" w:space="0" w:color="auto"/>
            </w:tcBorders>
            <w:vAlign w:val="center"/>
            <w:hideMark/>
          </w:tcPr>
          <w:p w:rsidR="00386A23" w:rsidRDefault="003221AE" w:rsidP="00386A23">
            <w:r>
              <w:t xml:space="preserve">SOAH Order 4 – Memorializing </w:t>
            </w:r>
            <w:r w:rsidR="00386A23">
              <w:t>Prehearing Conference</w:t>
            </w:r>
            <w:r>
              <w:t xml:space="preserve">, Granting Motion to Amend Jurisdictional Claim, and </w:t>
            </w:r>
          </w:p>
          <w:p w:rsidR="003221AE" w:rsidRDefault="003221AE" w:rsidP="00386A23">
            <w:r>
              <w:t>Granting Motion to Withdraw</w:t>
            </w:r>
          </w:p>
        </w:tc>
      </w:tr>
      <w:tr w:rsidR="003221AE" w:rsidTr="003221AE">
        <w:trPr>
          <w:cantSplit/>
        </w:trPr>
        <w:tc>
          <w:tcPr>
            <w:tcW w:w="2358" w:type="dxa"/>
            <w:tcBorders>
              <w:top w:val="single" w:sz="4" w:space="0" w:color="auto"/>
              <w:left w:val="single" w:sz="4" w:space="0" w:color="auto"/>
              <w:bottom w:val="single" w:sz="4" w:space="0" w:color="auto"/>
              <w:right w:val="single" w:sz="4" w:space="0" w:color="auto"/>
            </w:tcBorders>
            <w:vAlign w:val="center"/>
            <w:hideMark/>
          </w:tcPr>
          <w:p w:rsidR="003221AE" w:rsidRDefault="003221AE">
            <w:r>
              <w:t>September 30, 2014</w:t>
            </w:r>
          </w:p>
        </w:tc>
        <w:tc>
          <w:tcPr>
            <w:tcW w:w="7218" w:type="dxa"/>
            <w:tcBorders>
              <w:top w:val="single" w:sz="4" w:space="0" w:color="auto"/>
              <w:left w:val="single" w:sz="4" w:space="0" w:color="auto"/>
              <w:bottom w:val="single" w:sz="4" w:space="0" w:color="auto"/>
              <w:right w:val="single" w:sz="4" w:space="0" w:color="auto"/>
            </w:tcBorders>
            <w:vAlign w:val="center"/>
            <w:hideMark/>
          </w:tcPr>
          <w:p w:rsidR="00AE5734" w:rsidRDefault="003221AE">
            <w:r>
              <w:t>SOAH Order 6 – Granting In Part &amp; Denying in Part</w:t>
            </w:r>
          </w:p>
          <w:p w:rsidR="003221AE" w:rsidRDefault="003221AE">
            <w:r>
              <w:t xml:space="preserve"> Motion to Compel</w:t>
            </w:r>
          </w:p>
        </w:tc>
      </w:tr>
      <w:tr w:rsidR="003221AE" w:rsidTr="003221AE">
        <w:trPr>
          <w:cantSplit/>
        </w:trPr>
        <w:tc>
          <w:tcPr>
            <w:tcW w:w="2358" w:type="dxa"/>
            <w:tcBorders>
              <w:top w:val="single" w:sz="4" w:space="0" w:color="auto"/>
              <w:left w:val="single" w:sz="4" w:space="0" w:color="auto"/>
              <w:bottom w:val="single" w:sz="4" w:space="0" w:color="auto"/>
              <w:right w:val="single" w:sz="4" w:space="0" w:color="auto"/>
            </w:tcBorders>
            <w:vAlign w:val="center"/>
            <w:hideMark/>
          </w:tcPr>
          <w:p w:rsidR="003221AE" w:rsidRDefault="003221AE">
            <w:r>
              <w:t>October 10, 2014</w:t>
            </w:r>
          </w:p>
        </w:tc>
        <w:tc>
          <w:tcPr>
            <w:tcW w:w="7218" w:type="dxa"/>
            <w:tcBorders>
              <w:top w:val="single" w:sz="4" w:space="0" w:color="auto"/>
              <w:left w:val="single" w:sz="4" w:space="0" w:color="auto"/>
              <w:bottom w:val="single" w:sz="4" w:space="0" w:color="auto"/>
              <w:right w:val="single" w:sz="4" w:space="0" w:color="auto"/>
            </w:tcBorders>
            <w:vAlign w:val="center"/>
            <w:hideMark/>
          </w:tcPr>
          <w:p w:rsidR="003221AE" w:rsidRDefault="00AE5734">
            <w:r>
              <w:t>District</w:t>
            </w:r>
            <w:r w:rsidR="003221AE">
              <w:t xml:space="preserve"> 12’s Interim Appeal of SOAH Order No. 6</w:t>
            </w:r>
          </w:p>
        </w:tc>
      </w:tr>
      <w:tr w:rsidR="003221AE" w:rsidTr="003221AE">
        <w:trPr>
          <w:cantSplit/>
        </w:trPr>
        <w:tc>
          <w:tcPr>
            <w:tcW w:w="2358" w:type="dxa"/>
            <w:tcBorders>
              <w:top w:val="single" w:sz="4" w:space="0" w:color="auto"/>
              <w:left w:val="single" w:sz="4" w:space="0" w:color="auto"/>
              <w:bottom w:val="single" w:sz="4" w:space="0" w:color="auto"/>
              <w:right w:val="single" w:sz="4" w:space="0" w:color="auto"/>
            </w:tcBorders>
            <w:vAlign w:val="center"/>
            <w:hideMark/>
          </w:tcPr>
          <w:p w:rsidR="003221AE" w:rsidRDefault="003221AE">
            <w:r>
              <w:t>October 17, 2014</w:t>
            </w:r>
          </w:p>
        </w:tc>
        <w:tc>
          <w:tcPr>
            <w:tcW w:w="7218" w:type="dxa"/>
            <w:tcBorders>
              <w:top w:val="single" w:sz="4" w:space="0" w:color="auto"/>
              <w:left w:val="single" w:sz="4" w:space="0" w:color="auto"/>
              <w:bottom w:val="single" w:sz="4" w:space="0" w:color="auto"/>
              <w:right w:val="single" w:sz="4" w:space="0" w:color="auto"/>
            </w:tcBorders>
            <w:vAlign w:val="center"/>
            <w:hideMark/>
          </w:tcPr>
          <w:p w:rsidR="00AE5734" w:rsidRDefault="00AE5734">
            <w:r>
              <w:t>The Agency</w:t>
            </w:r>
            <w:r w:rsidR="003221AE">
              <w:t xml:space="preserve"> Response to </w:t>
            </w:r>
            <w:r>
              <w:t>District</w:t>
            </w:r>
            <w:r w:rsidR="003221AE">
              <w:t xml:space="preserve"> 12’s Interim Appeal of </w:t>
            </w:r>
          </w:p>
          <w:p w:rsidR="003221AE" w:rsidRDefault="003221AE">
            <w:r>
              <w:t>SOAH Order No. 6</w:t>
            </w:r>
          </w:p>
        </w:tc>
      </w:tr>
      <w:tr w:rsidR="003221AE" w:rsidTr="003221AE">
        <w:trPr>
          <w:cantSplit/>
        </w:trPr>
        <w:tc>
          <w:tcPr>
            <w:tcW w:w="2358" w:type="dxa"/>
            <w:tcBorders>
              <w:top w:val="single" w:sz="4" w:space="0" w:color="auto"/>
              <w:left w:val="single" w:sz="4" w:space="0" w:color="auto"/>
              <w:bottom w:val="single" w:sz="4" w:space="0" w:color="auto"/>
              <w:right w:val="single" w:sz="4" w:space="0" w:color="auto"/>
            </w:tcBorders>
            <w:vAlign w:val="center"/>
            <w:hideMark/>
          </w:tcPr>
          <w:p w:rsidR="003221AE" w:rsidRDefault="003221AE">
            <w:r>
              <w:t>October 31, 2014</w:t>
            </w:r>
          </w:p>
        </w:tc>
        <w:tc>
          <w:tcPr>
            <w:tcW w:w="7218" w:type="dxa"/>
            <w:tcBorders>
              <w:top w:val="single" w:sz="4" w:space="0" w:color="auto"/>
              <w:left w:val="single" w:sz="4" w:space="0" w:color="auto"/>
              <w:bottom w:val="single" w:sz="4" w:space="0" w:color="auto"/>
              <w:right w:val="single" w:sz="4" w:space="0" w:color="auto"/>
            </w:tcBorders>
            <w:vAlign w:val="center"/>
            <w:hideMark/>
          </w:tcPr>
          <w:p w:rsidR="003221AE" w:rsidRDefault="00AE5734">
            <w:r>
              <w:t>District</w:t>
            </w:r>
            <w:r w:rsidR="003221AE">
              <w:t xml:space="preserve"> 12’s direct case evidence filed</w:t>
            </w:r>
          </w:p>
        </w:tc>
      </w:tr>
      <w:tr w:rsidR="003221AE" w:rsidTr="003221AE">
        <w:trPr>
          <w:cantSplit/>
        </w:trPr>
        <w:tc>
          <w:tcPr>
            <w:tcW w:w="2358" w:type="dxa"/>
            <w:tcBorders>
              <w:top w:val="single" w:sz="4" w:space="0" w:color="auto"/>
              <w:left w:val="single" w:sz="4" w:space="0" w:color="auto"/>
              <w:bottom w:val="single" w:sz="4" w:space="0" w:color="auto"/>
              <w:right w:val="single" w:sz="4" w:space="0" w:color="auto"/>
            </w:tcBorders>
            <w:vAlign w:val="center"/>
            <w:hideMark/>
          </w:tcPr>
          <w:p w:rsidR="003221AE" w:rsidRDefault="003221AE">
            <w:r>
              <w:lastRenderedPageBreak/>
              <w:t>November 5, 2014</w:t>
            </w:r>
          </w:p>
        </w:tc>
        <w:tc>
          <w:tcPr>
            <w:tcW w:w="7218" w:type="dxa"/>
            <w:tcBorders>
              <w:top w:val="single" w:sz="4" w:space="0" w:color="auto"/>
              <w:left w:val="single" w:sz="4" w:space="0" w:color="auto"/>
              <w:bottom w:val="single" w:sz="4" w:space="0" w:color="auto"/>
              <w:right w:val="single" w:sz="4" w:space="0" w:color="auto"/>
            </w:tcBorders>
            <w:vAlign w:val="center"/>
            <w:hideMark/>
          </w:tcPr>
          <w:p w:rsidR="003221AE" w:rsidRDefault="003221AE">
            <w:r>
              <w:t>SOAH Order 9 – Ruling on Motions to Determine Sufficiency and Motion to Compel</w:t>
            </w:r>
          </w:p>
        </w:tc>
      </w:tr>
      <w:tr w:rsidR="003221AE" w:rsidTr="003221AE">
        <w:trPr>
          <w:cantSplit/>
        </w:trPr>
        <w:tc>
          <w:tcPr>
            <w:tcW w:w="2358" w:type="dxa"/>
            <w:tcBorders>
              <w:top w:val="single" w:sz="4" w:space="0" w:color="auto"/>
              <w:left w:val="single" w:sz="4" w:space="0" w:color="auto"/>
              <w:bottom w:val="single" w:sz="4" w:space="0" w:color="auto"/>
              <w:right w:val="single" w:sz="4" w:space="0" w:color="auto"/>
            </w:tcBorders>
            <w:vAlign w:val="center"/>
            <w:hideMark/>
          </w:tcPr>
          <w:p w:rsidR="003221AE" w:rsidRDefault="003221AE">
            <w:r>
              <w:t>November 24, 2014</w:t>
            </w:r>
          </w:p>
        </w:tc>
        <w:tc>
          <w:tcPr>
            <w:tcW w:w="7218" w:type="dxa"/>
            <w:tcBorders>
              <w:top w:val="single" w:sz="4" w:space="0" w:color="auto"/>
              <w:left w:val="single" w:sz="4" w:space="0" w:color="auto"/>
              <w:bottom w:val="single" w:sz="4" w:space="0" w:color="auto"/>
              <w:right w:val="single" w:sz="4" w:space="0" w:color="auto"/>
            </w:tcBorders>
            <w:vAlign w:val="center"/>
            <w:hideMark/>
          </w:tcPr>
          <w:p w:rsidR="003221AE" w:rsidRDefault="003221AE">
            <w:r>
              <w:t xml:space="preserve">PUC Order Granting </w:t>
            </w:r>
            <w:r w:rsidR="00146B39">
              <w:t>District 12</w:t>
            </w:r>
            <w:r>
              <w:t>’s Appeal of SOAH Order No. 6</w:t>
            </w:r>
          </w:p>
        </w:tc>
      </w:tr>
      <w:tr w:rsidR="003221AE" w:rsidTr="003221AE">
        <w:trPr>
          <w:cantSplit/>
        </w:trPr>
        <w:tc>
          <w:tcPr>
            <w:tcW w:w="2358" w:type="dxa"/>
            <w:tcBorders>
              <w:top w:val="single" w:sz="4" w:space="0" w:color="auto"/>
              <w:left w:val="single" w:sz="4" w:space="0" w:color="auto"/>
              <w:bottom w:val="single" w:sz="4" w:space="0" w:color="auto"/>
              <w:right w:val="single" w:sz="4" w:space="0" w:color="auto"/>
            </w:tcBorders>
            <w:vAlign w:val="center"/>
            <w:hideMark/>
          </w:tcPr>
          <w:p w:rsidR="003221AE" w:rsidRDefault="003221AE">
            <w:r>
              <w:t>December 19, 2014</w:t>
            </w:r>
          </w:p>
        </w:tc>
        <w:tc>
          <w:tcPr>
            <w:tcW w:w="7218" w:type="dxa"/>
            <w:tcBorders>
              <w:top w:val="single" w:sz="4" w:space="0" w:color="auto"/>
              <w:left w:val="single" w:sz="4" w:space="0" w:color="auto"/>
              <w:bottom w:val="single" w:sz="4" w:space="0" w:color="auto"/>
              <w:right w:val="single" w:sz="4" w:space="0" w:color="auto"/>
            </w:tcBorders>
            <w:vAlign w:val="center"/>
            <w:hideMark/>
          </w:tcPr>
          <w:p w:rsidR="003221AE" w:rsidRDefault="00146B39">
            <w:r>
              <w:t>The Agency</w:t>
            </w:r>
            <w:r w:rsidR="003221AE">
              <w:t xml:space="preserve"> Direct Testimony Filed</w:t>
            </w:r>
          </w:p>
        </w:tc>
      </w:tr>
      <w:tr w:rsidR="003221AE" w:rsidTr="003221AE">
        <w:trPr>
          <w:cantSplit/>
        </w:trPr>
        <w:tc>
          <w:tcPr>
            <w:tcW w:w="2358" w:type="dxa"/>
            <w:tcBorders>
              <w:top w:val="single" w:sz="4" w:space="0" w:color="auto"/>
              <w:left w:val="single" w:sz="4" w:space="0" w:color="auto"/>
              <w:bottom w:val="single" w:sz="4" w:space="0" w:color="auto"/>
              <w:right w:val="single" w:sz="4" w:space="0" w:color="auto"/>
            </w:tcBorders>
            <w:vAlign w:val="center"/>
            <w:hideMark/>
          </w:tcPr>
          <w:p w:rsidR="003221AE" w:rsidRDefault="003221AE">
            <w:r>
              <w:t>February 6, 2015</w:t>
            </w:r>
          </w:p>
        </w:tc>
        <w:tc>
          <w:tcPr>
            <w:tcW w:w="7218" w:type="dxa"/>
            <w:tcBorders>
              <w:top w:val="single" w:sz="4" w:space="0" w:color="auto"/>
              <w:left w:val="single" w:sz="4" w:space="0" w:color="auto"/>
              <w:bottom w:val="single" w:sz="4" w:space="0" w:color="auto"/>
              <w:right w:val="single" w:sz="4" w:space="0" w:color="auto"/>
            </w:tcBorders>
            <w:vAlign w:val="center"/>
            <w:hideMark/>
          </w:tcPr>
          <w:p w:rsidR="003221AE" w:rsidRDefault="00146B39">
            <w:r>
              <w:t>Commission</w:t>
            </w:r>
            <w:r w:rsidR="003221AE">
              <w:t xml:space="preserve"> Staff Direct Testimony Filed</w:t>
            </w:r>
          </w:p>
        </w:tc>
      </w:tr>
      <w:tr w:rsidR="003221AE" w:rsidTr="003221AE">
        <w:trPr>
          <w:cantSplit/>
        </w:trPr>
        <w:tc>
          <w:tcPr>
            <w:tcW w:w="2358" w:type="dxa"/>
            <w:tcBorders>
              <w:top w:val="single" w:sz="4" w:space="0" w:color="auto"/>
              <w:left w:val="single" w:sz="4" w:space="0" w:color="auto"/>
              <w:bottom w:val="single" w:sz="4" w:space="0" w:color="auto"/>
              <w:right w:val="single" w:sz="4" w:space="0" w:color="auto"/>
            </w:tcBorders>
            <w:vAlign w:val="center"/>
            <w:hideMark/>
          </w:tcPr>
          <w:p w:rsidR="003221AE" w:rsidRDefault="003221AE">
            <w:r>
              <w:t>March 6, 2015</w:t>
            </w:r>
          </w:p>
        </w:tc>
        <w:tc>
          <w:tcPr>
            <w:tcW w:w="7218" w:type="dxa"/>
            <w:tcBorders>
              <w:top w:val="single" w:sz="4" w:space="0" w:color="auto"/>
              <w:left w:val="single" w:sz="4" w:space="0" w:color="auto"/>
              <w:bottom w:val="single" w:sz="4" w:space="0" w:color="auto"/>
              <w:right w:val="single" w:sz="4" w:space="0" w:color="auto"/>
            </w:tcBorders>
            <w:vAlign w:val="center"/>
            <w:hideMark/>
          </w:tcPr>
          <w:p w:rsidR="003221AE" w:rsidRDefault="003221AE">
            <w:r>
              <w:t xml:space="preserve">Discovery on </w:t>
            </w:r>
            <w:r w:rsidR="00146B39">
              <w:t>District</w:t>
            </w:r>
            <w:r>
              <w:t xml:space="preserve"> 12 direct case ends</w:t>
            </w:r>
          </w:p>
        </w:tc>
      </w:tr>
      <w:tr w:rsidR="003221AE" w:rsidTr="003221AE">
        <w:trPr>
          <w:cantSplit/>
        </w:trPr>
        <w:tc>
          <w:tcPr>
            <w:tcW w:w="2358" w:type="dxa"/>
            <w:tcBorders>
              <w:top w:val="single" w:sz="4" w:space="0" w:color="auto"/>
              <w:left w:val="single" w:sz="4" w:space="0" w:color="auto"/>
              <w:bottom w:val="single" w:sz="4" w:space="0" w:color="auto"/>
              <w:right w:val="single" w:sz="4" w:space="0" w:color="auto"/>
            </w:tcBorders>
            <w:vAlign w:val="center"/>
            <w:hideMark/>
          </w:tcPr>
          <w:p w:rsidR="003221AE" w:rsidRDefault="003221AE">
            <w:r>
              <w:t>March 6, 2015</w:t>
            </w:r>
          </w:p>
        </w:tc>
        <w:tc>
          <w:tcPr>
            <w:tcW w:w="7218" w:type="dxa"/>
            <w:tcBorders>
              <w:top w:val="single" w:sz="4" w:space="0" w:color="auto"/>
              <w:left w:val="single" w:sz="4" w:space="0" w:color="auto"/>
              <w:bottom w:val="single" w:sz="4" w:space="0" w:color="auto"/>
              <w:right w:val="single" w:sz="4" w:space="0" w:color="auto"/>
            </w:tcBorders>
            <w:vAlign w:val="center"/>
            <w:hideMark/>
          </w:tcPr>
          <w:p w:rsidR="003221AE" w:rsidRDefault="00146B39">
            <w:r>
              <w:t>The Agency</w:t>
            </w:r>
            <w:r w:rsidR="003221AE">
              <w:t xml:space="preserve"> Motion for Partial Summary Decision</w:t>
            </w:r>
          </w:p>
        </w:tc>
      </w:tr>
      <w:tr w:rsidR="003221AE" w:rsidTr="003221AE">
        <w:trPr>
          <w:cantSplit/>
        </w:trPr>
        <w:tc>
          <w:tcPr>
            <w:tcW w:w="2358" w:type="dxa"/>
            <w:tcBorders>
              <w:top w:val="single" w:sz="4" w:space="0" w:color="auto"/>
              <w:left w:val="single" w:sz="4" w:space="0" w:color="auto"/>
              <w:bottom w:val="single" w:sz="4" w:space="0" w:color="auto"/>
              <w:right w:val="single" w:sz="4" w:space="0" w:color="auto"/>
            </w:tcBorders>
            <w:vAlign w:val="center"/>
            <w:hideMark/>
          </w:tcPr>
          <w:p w:rsidR="003221AE" w:rsidRDefault="003221AE">
            <w:r>
              <w:t>March 18, 2015</w:t>
            </w:r>
          </w:p>
        </w:tc>
        <w:tc>
          <w:tcPr>
            <w:tcW w:w="7218" w:type="dxa"/>
            <w:tcBorders>
              <w:top w:val="single" w:sz="4" w:space="0" w:color="auto"/>
              <w:left w:val="single" w:sz="4" w:space="0" w:color="auto"/>
              <w:bottom w:val="single" w:sz="4" w:space="0" w:color="auto"/>
              <w:right w:val="single" w:sz="4" w:space="0" w:color="auto"/>
            </w:tcBorders>
            <w:vAlign w:val="center"/>
            <w:hideMark/>
          </w:tcPr>
          <w:p w:rsidR="00146B39" w:rsidRDefault="00146B39">
            <w:r>
              <w:t>District</w:t>
            </w:r>
            <w:r w:rsidR="003221AE">
              <w:t xml:space="preserve"> 12 Response to </w:t>
            </w:r>
            <w:r w:rsidR="00123524">
              <w:t>the Agency</w:t>
            </w:r>
            <w:r w:rsidR="003221AE">
              <w:t xml:space="preserve"> Motion for </w:t>
            </w:r>
          </w:p>
          <w:p w:rsidR="003221AE" w:rsidRDefault="003221AE">
            <w:r>
              <w:t>Partial Summary Decision</w:t>
            </w:r>
          </w:p>
        </w:tc>
      </w:tr>
      <w:tr w:rsidR="003221AE" w:rsidTr="003221AE">
        <w:trPr>
          <w:cantSplit/>
        </w:trPr>
        <w:tc>
          <w:tcPr>
            <w:tcW w:w="2358" w:type="dxa"/>
            <w:tcBorders>
              <w:top w:val="single" w:sz="4" w:space="0" w:color="auto"/>
              <w:left w:val="single" w:sz="4" w:space="0" w:color="auto"/>
              <w:bottom w:val="single" w:sz="4" w:space="0" w:color="auto"/>
              <w:right w:val="single" w:sz="4" w:space="0" w:color="auto"/>
            </w:tcBorders>
            <w:vAlign w:val="center"/>
            <w:hideMark/>
          </w:tcPr>
          <w:p w:rsidR="003221AE" w:rsidRDefault="003221AE">
            <w:r>
              <w:t>March 18, 2015</w:t>
            </w:r>
          </w:p>
        </w:tc>
        <w:tc>
          <w:tcPr>
            <w:tcW w:w="7218" w:type="dxa"/>
            <w:tcBorders>
              <w:top w:val="single" w:sz="4" w:space="0" w:color="auto"/>
              <w:left w:val="single" w:sz="4" w:space="0" w:color="auto"/>
              <w:bottom w:val="single" w:sz="4" w:space="0" w:color="auto"/>
              <w:right w:val="single" w:sz="4" w:space="0" w:color="auto"/>
            </w:tcBorders>
            <w:vAlign w:val="center"/>
            <w:hideMark/>
          </w:tcPr>
          <w:p w:rsidR="003221AE" w:rsidRDefault="003221AE" w:rsidP="00146B39">
            <w:r>
              <w:t xml:space="preserve">Staff Response to </w:t>
            </w:r>
            <w:r w:rsidR="00146B39">
              <w:t>the Agency</w:t>
            </w:r>
            <w:r>
              <w:t xml:space="preserve"> Motion for Partial Summary Decision</w:t>
            </w:r>
          </w:p>
        </w:tc>
      </w:tr>
      <w:tr w:rsidR="003221AE" w:rsidTr="003221AE">
        <w:trPr>
          <w:cantSplit/>
        </w:trPr>
        <w:tc>
          <w:tcPr>
            <w:tcW w:w="2358" w:type="dxa"/>
            <w:tcBorders>
              <w:top w:val="single" w:sz="4" w:space="0" w:color="auto"/>
              <w:left w:val="single" w:sz="4" w:space="0" w:color="auto"/>
              <w:bottom w:val="single" w:sz="4" w:space="0" w:color="auto"/>
              <w:right w:val="single" w:sz="4" w:space="0" w:color="auto"/>
            </w:tcBorders>
            <w:vAlign w:val="center"/>
            <w:hideMark/>
          </w:tcPr>
          <w:p w:rsidR="003221AE" w:rsidRDefault="003221AE">
            <w:r>
              <w:t>March 24, 2015</w:t>
            </w:r>
          </w:p>
        </w:tc>
        <w:tc>
          <w:tcPr>
            <w:tcW w:w="7218" w:type="dxa"/>
            <w:tcBorders>
              <w:top w:val="single" w:sz="4" w:space="0" w:color="auto"/>
              <w:left w:val="single" w:sz="4" w:space="0" w:color="auto"/>
              <w:bottom w:val="single" w:sz="4" w:space="0" w:color="auto"/>
              <w:right w:val="single" w:sz="4" w:space="0" w:color="auto"/>
            </w:tcBorders>
            <w:vAlign w:val="center"/>
            <w:hideMark/>
          </w:tcPr>
          <w:p w:rsidR="003221AE" w:rsidRDefault="00146B39">
            <w:r>
              <w:t>District</w:t>
            </w:r>
            <w:r w:rsidR="003221AE">
              <w:t xml:space="preserve"> 12 Rebuttal Testimony filed</w:t>
            </w:r>
          </w:p>
        </w:tc>
      </w:tr>
      <w:tr w:rsidR="003221AE" w:rsidTr="003221AE">
        <w:trPr>
          <w:cantSplit/>
        </w:trPr>
        <w:tc>
          <w:tcPr>
            <w:tcW w:w="2358" w:type="dxa"/>
            <w:tcBorders>
              <w:top w:val="single" w:sz="4" w:space="0" w:color="auto"/>
              <w:left w:val="single" w:sz="4" w:space="0" w:color="auto"/>
              <w:bottom w:val="single" w:sz="4" w:space="0" w:color="auto"/>
              <w:right w:val="single" w:sz="4" w:space="0" w:color="auto"/>
            </w:tcBorders>
            <w:vAlign w:val="center"/>
            <w:hideMark/>
          </w:tcPr>
          <w:p w:rsidR="003221AE" w:rsidRDefault="003221AE">
            <w:r>
              <w:t>March 25, 2015</w:t>
            </w:r>
          </w:p>
        </w:tc>
        <w:tc>
          <w:tcPr>
            <w:tcW w:w="7218" w:type="dxa"/>
            <w:tcBorders>
              <w:top w:val="single" w:sz="4" w:space="0" w:color="auto"/>
              <w:left w:val="single" w:sz="4" w:space="0" w:color="auto"/>
              <w:bottom w:val="single" w:sz="4" w:space="0" w:color="auto"/>
              <w:right w:val="single" w:sz="4" w:space="0" w:color="auto"/>
            </w:tcBorders>
            <w:vAlign w:val="center"/>
            <w:hideMark/>
          </w:tcPr>
          <w:p w:rsidR="00FA40FC" w:rsidRDefault="003221AE">
            <w:r>
              <w:t>SOAH Order 13 – Granting Part &amp; Denying Part of Motion for</w:t>
            </w:r>
          </w:p>
          <w:p w:rsidR="003221AE" w:rsidRDefault="003221AE">
            <w:r>
              <w:t xml:space="preserve"> Partial Summary Disposition</w:t>
            </w:r>
          </w:p>
        </w:tc>
      </w:tr>
      <w:tr w:rsidR="003221AE" w:rsidTr="003221AE">
        <w:trPr>
          <w:cantSplit/>
        </w:trPr>
        <w:tc>
          <w:tcPr>
            <w:tcW w:w="2358" w:type="dxa"/>
            <w:tcBorders>
              <w:top w:val="single" w:sz="4" w:space="0" w:color="auto"/>
              <w:left w:val="single" w:sz="4" w:space="0" w:color="auto"/>
              <w:bottom w:val="single" w:sz="4" w:space="0" w:color="auto"/>
              <w:right w:val="single" w:sz="4" w:space="0" w:color="auto"/>
            </w:tcBorders>
            <w:vAlign w:val="center"/>
            <w:hideMark/>
          </w:tcPr>
          <w:p w:rsidR="003221AE" w:rsidRDefault="003221AE">
            <w:r>
              <w:t>April 13, 2015</w:t>
            </w:r>
          </w:p>
        </w:tc>
        <w:tc>
          <w:tcPr>
            <w:tcW w:w="7218" w:type="dxa"/>
            <w:tcBorders>
              <w:top w:val="single" w:sz="4" w:space="0" w:color="auto"/>
              <w:left w:val="single" w:sz="4" w:space="0" w:color="auto"/>
              <w:bottom w:val="single" w:sz="4" w:space="0" w:color="auto"/>
              <w:right w:val="single" w:sz="4" w:space="0" w:color="auto"/>
            </w:tcBorders>
            <w:vAlign w:val="center"/>
            <w:hideMark/>
          </w:tcPr>
          <w:p w:rsidR="003221AE" w:rsidRDefault="003221AE">
            <w:r>
              <w:t>Prehearing Conference</w:t>
            </w:r>
          </w:p>
        </w:tc>
      </w:tr>
      <w:tr w:rsidR="003221AE" w:rsidTr="003221AE">
        <w:trPr>
          <w:cantSplit/>
        </w:trPr>
        <w:tc>
          <w:tcPr>
            <w:tcW w:w="2358" w:type="dxa"/>
            <w:tcBorders>
              <w:top w:val="single" w:sz="4" w:space="0" w:color="auto"/>
              <w:left w:val="single" w:sz="4" w:space="0" w:color="auto"/>
              <w:bottom w:val="single" w:sz="4" w:space="0" w:color="auto"/>
              <w:right w:val="single" w:sz="4" w:space="0" w:color="auto"/>
            </w:tcBorders>
            <w:vAlign w:val="center"/>
            <w:hideMark/>
          </w:tcPr>
          <w:p w:rsidR="003221AE" w:rsidRDefault="003221AE">
            <w:r>
              <w:t>April 15, 2015</w:t>
            </w:r>
          </w:p>
        </w:tc>
        <w:tc>
          <w:tcPr>
            <w:tcW w:w="7218" w:type="dxa"/>
            <w:tcBorders>
              <w:top w:val="single" w:sz="4" w:space="0" w:color="auto"/>
              <w:left w:val="single" w:sz="4" w:space="0" w:color="auto"/>
              <w:bottom w:val="single" w:sz="4" w:space="0" w:color="auto"/>
              <w:right w:val="single" w:sz="4" w:space="0" w:color="auto"/>
            </w:tcBorders>
            <w:vAlign w:val="center"/>
            <w:hideMark/>
          </w:tcPr>
          <w:p w:rsidR="003221AE" w:rsidRDefault="003221AE">
            <w:r>
              <w:t>SOAH Order 15 – Granting Revised Motion to Compel and Ruling on Objections to Prefiled Evidence</w:t>
            </w:r>
          </w:p>
        </w:tc>
      </w:tr>
      <w:tr w:rsidR="003221AE" w:rsidTr="003221AE">
        <w:trPr>
          <w:cantSplit/>
        </w:trPr>
        <w:tc>
          <w:tcPr>
            <w:tcW w:w="2358" w:type="dxa"/>
            <w:tcBorders>
              <w:top w:val="single" w:sz="4" w:space="0" w:color="auto"/>
              <w:left w:val="single" w:sz="4" w:space="0" w:color="auto"/>
              <w:bottom w:val="single" w:sz="4" w:space="0" w:color="auto"/>
              <w:right w:val="single" w:sz="4" w:space="0" w:color="auto"/>
            </w:tcBorders>
            <w:vAlign w:val="center"/>
            <w:hideMark/>
          </w:tcPr>
          <w:p w:rsidR="003221AE" w:rsidRDefault="003221AE">
            <w:r>
              <w:t>April 17, 2015</w:t>
            </w:r>
          </w:p>
        </w:tc>
        <w:tc>
          <w:tcPr>
            <w:tcW w:w="7218" w:type="dxa"/>
            <w:tcBorders>
              <w:top w:val="single" w:sz="4" w:space="0" w:color="auto"/>
              <w:left w:val="single" w:sz="4" w:space="0" w:color="auto"/>
              <w:bottom w:val="single" w:sz="4" w:space="0" w:color="auto"/>
              <w:right w:val="single" w:sz="4" w:space="0" w:color="auto"/>
            </w:tcBorders>
            <w:vAlign w:val="center"/>
            <w:hideMark/>
          </w:tcPr>
          <w:p w:rsidR="003221AE" w:rsidRDefault="003221AE">
            <w:r>
              <w:t>SOAH Order 16 – Ruling on Objections to Prefiled Rebuttal Evidence</w:t>
            </w:r>
          </w:p>
        </w:tc>
      </w:tr>
      <w:tr w:rsidR="003221AE" w:rsidTr="003221AE">
        <w:trPr>
          <w:cantSplit/>
        </w:trPr>
        <w:tc>
          <w:tcPr>
            <w:tcW w:w="2358" w:type="dxa"/>
            <w:tcBorders>
              <w:top w:val="single" w:sz="4" w:space="0" w:color="auto"/>
              <w:left w:val="single" w:sz="4" w:space="0" w:color="auto"/>
              <w:bottom w:val="single" w:sz="4" w:space="0" w:color="auto"/>
              <w:right w:val="single" w:sz="4" w:space="0" w:color="auto"/>
            </w:tcBorders>
            <w:vAlign w:val="center"/>
            <w:hideMark/>
          </w:tcPr>
          <w:p w:rsidR="003221AE" w:rsidRDefault="003221AE">
            <w:r>
              <w:t>April 21-23, 2015</w:t>
            </w:r>
          </w:p>
        </w:tc>
        <w:tc>
          <w:tcPr>
            <w:tcW w:w="7218" w:type="dxa"/>
            <w:tcBorders>
              <w:top w:val="single" w:sz="4" w:space="0" w:color="auto"/>
              <w:left w:val="single" w:sz="4" w:space="0" w:color="auto"/>
              <w:bottom w:val="single" w:sz="4" w:space="0" w:color="auto"/>
              <w:right w:val="single" w:sz="4" w:space="0" w:color="auto"/>
            </w:tcBorders>
            <w:vAlign w:val="center"/>
            <w:hideMark/>
          </w:tcPr>
          <w:p w:rsidR="003221AE" w:rsidRDefault="003221AE">
            <w:r>
              <w:t>Hearing on the Merits</w:t>
            </w:r>
          </w:p>
        </w:tc>
      </w:tr>
      <w:tr w:rsidR="003221AE" w:rsidTr="003221AE">
        <w:trPr>
          <w:cantSplit/>
        </w:trPr>
        <w:tc>
          <w:tcPr>
            <w:tcW w:w="2358" w:type="dxa"/>
            <w:tcBorders>
              <w:top w:val="single" w:sz="4" w:space="0" w:color="auto"/>
              <w:left w:val="single" w:sz="4" w:space="0" w:color="auto"/>
              <w:bottom w:val="single" w:sz="4" w:space="0" w:color="auto"/>
              <w:right w:val="single" w:sz="4" w:space="0" w:color="auto"/>
            </w:tcBorders>
            <w:vAlign w:val="center"/>
            <w:hideMark/>
          </w:tcPr>
          <w:p w:rsidR="003221AE" w:rsidRDefault="003221AE">
            <w:r>
              <w:t>May 1, 2015</w:t>
            </w:r>
          </w:p>
        </w:tc>
        <w:tc>
          <w:tcPr>
            <w:tcW w:w="7218" w:type="dxa"/>
            <w:tcBorders>
              <w:top w:val="single" w:sz="4" w:space="0" w:color="auto"/>
              <w:left w:val="single" w:sz="4" w:space="0" w:color="auto"/>
              <w:bottom w:val="single" w:sz="4" w:space="0" w:color="auto"/>
              <w:right w:val="single" w:sz="4" w:space="0" w:color="auto"/>
            </w:tcBorders>
            <w:vAlign w:val="center"/>
            <w:hideMark/>
          </w:tcPr>
          <w:p w:rsidR="003221AE" w:rsidRDefault="003221AE">
            <w:r>
              <w:t>SOAH Order 17 – Setting out Post-Hearing Schedule and Briefing Outline</w:t>
            </w:r>
          </w:p>
        </w:tc>
      </w:tr>
      <w:tr w:rsidR="003221AE" w:rsidTr="003221AE">
        <w:trPr>
          <w:cantSplit/>
        </w:trPr>
        <w:tc>
          <w:tcPr>
            <w:tcW w:w="2358" w:type="dxa"/>
            <w:tcBorders>
              <w:top w:val="single" w:sz="4" w:space="0" w:color="auto"/>
              <w:left w:val="single" w:sz="4" w:space="0" w:color="auto"/>
              <w:bottom w:val="single" w:sz="4" w:space="0" w:color="auto"/>
              <w:right w:val="single" w:sz="4" w:space="0" w:color="auto"/>
            </w:tcBorders>
            <w:vAlign w:val="center"/>
            <w:hideMark/>
          </w:tcPr>
          <w:p w:rsidR="003221AE" w:rsidRDefault="003221AE">
            <w:r>
              <w:t>June 26, 2015</w:t>
            </w:r>
          </w:p>
        </w:tc>
        <w:tc>
          <w:tcPr>
            <w:tcW w:w="7218" w:type="dxa"/>
            <w:tcBorders>
              <w:top w:val="single" w:sz="4" w:space="0" w:color="auto"/>
              <w:left w:val="single" w:sz="4" w:space="0" w:color="auto"/>
              <w:bottom w:val="single" w:sz="4" w:space="0" w:color="auto"/>
              <w:right w:val="single" w:sz="4" w:space="0" w:color="auto"/>
            </w:tcBorders>
            <w:vAlign w:val="center"/>
            <w:hideMark/>
          </w:tcPr>
          <w:p w:rsidR="003221AE" w:rsidRDefault="003221AE">
            <w:r>
              <w:t>Initial Closing Briefs due date</w:t>
            </w:r>
          </w:p>
        </w:tc>
      </w:tr>
      <w:tr w:rsidR="003221AE" w:rsidTr="003221AE">
        <w:trPr>
          <w:cantSplit/>
        </w:trPr>
        <w:tc>
          <w:tcPr>
            <w:tcW w:w="2358" w:type="dxa"/>
            <w:tcBorders>
              <w:top w:val="single" w:sz="4" w:space="0" w:color="auto"/>
              <w:left w:val="single" w:sz="4" w:space="0" w:color="auto"/>
              <w:bottom w:val="single" w:sz="4" w:space="0" w:color="auto"/>
              <w:right w:val="single" w:sz="4" w:space="0" w:color="auto"/>
            </w:tcBorders>
            <w:vAlign w:val="center"/>
            <w:hideMark/>
          </w:tcPr>
          <w:p w:rsidR="003221AE" w:rsidRDefault="003221AE">
            <w:r>
              <w:t>August 3, 2015</w:t>
            </w:r>
          </w:p>
        </w:tc>
        <w:tc>
          <w:tcPr>
            <w:tcW w:w="7218" w:type="dxa"/>
            <w:tcBorders>
              <w:top w:val="single" w:sz="4" w:space="0" w:color="auto"/>
              <w:left w:val="single" w:sz="4" w:space="0" w:color="auto"/>
              <w:bottom w:val="single" w:sz="4" w:space="0" w:color="auto"/>
              <w:right w:val="single" w:sz="4" w:space="0" w:color="auto"/>
            </w:tcBorders>
            <w:vAlign w:val="center"/>
            <w:hideMark/>
          </w:tcPr>
          <w:p w:rsidR="003221AE" w:rsidRDefault="003221AE">
            <w:r>
              <w:t>Reply Briefs due date; evidentiary record closed</w:t>
            </w:r>
          </w:p>
        </w:tc>
      </w:tr>
    </w:tbl>
    <w:p w:rsidR="003221AE" w:rsidRDefault="003221AE" w:rsidP="003221AE"/>
    <w:p w:rsidR="003221AE" w:rsidRDefault="003221AE" w:rsidP="003221AE">
      <w:pPr>
        <w:pStyle w:val="Heading6"/>
        <w:spacing w:after="0"/>
      </w:pPr>
      <w:r>
        <w:t>Bargaining Power of the Parties</w:t>
      </w:r>
    </w:p>
    <w:p w:rsidR="003221AE" w:rsidRPr="003221AE" w:rsidRDefault="003221AE" w:rsidP="003221AE">
      <w:pPr>
        <w:pStyle w:val="Heading6"/>
        <w:spacing w:before="0"/>
      </w:pPr>
      <w:r>
        <w:t>Alternative Means of Service and Problems in Obtaining Alternative Water Service</w:t>
      </w:r>
    </w:p>
    <w:p w:rsidR="003221AE" w:rsidRDefault="00FA40FC" w:rsidP="003221AE">
      <w:pPr>
        <w:pStyle w:val="FOFNumbered"/>
      </w:pPr>
      <w:r>
        <w:t>District</w:t>
      </w:r>
      <w:r w:rsidR="003221AE">
        <w:t>s 11, 12, and 13 have statutory authority to construct and operate water treatment facilities.  Tex. Water Code § 54.201(b).</w:t>
      </w:r>
    </w:p>
    <w:p w:rsidR="003221AE" w:rsidRDefault="003221AE" w:rsidP="003221AE">
      <w:pPr>
        <w:pStyle w:val="FOFNumbered"/>
      </w:pPr>
      <w:r>
        <w:t xml:space="preserve">Building its own facilities to transport, treat, and deliver the raw water it purchases from LCRA was and is a viable alternative available to </w:t>
      </w:r>
      <w:r w:rsidR="000919A8">
        <w:t>District</w:t>
      </w:r>
      <w:r>
        <w:t xml:space="preserve"> 12 to serve itself and </w:t>
      </w:r>
      <w:r w:rsidR="000919A8">
        <w:t>District</w:t>
      </w:r>
      <w:r>
        <w:t>s 11 and 13.</w:t>
      </w:r>
    </w:p>
    <w:p w:rsidR="003221AE" w:rsidRDefault="000919A8" w:rsidP="003221AE">
      <w:pPr>
        <w:pStyle w:val="FOFNumbered"/>
      </w:pPr>
      <w:r>
        <w:t>District 12 is free under the water services a</w:t>
      </w:r>
      <w:r w:rsidR="003221AE">
        <w:t xml:space="preserve">greement to reduce the quantity of treatment services it receives from </w:t>
      </w:r>
      <w:r>
        <w:t>the Agency</w:t>
      </w:r>
      <w:r w:rsidR="003221AE">
        <w:t xml:space="preserve"> and serve itself.</w:t>
      </w:r>
    </w:p>
    <w:p w:rsidR="003221AE" w:rsidRDefault="003221AE" w:rsidP="003221AE">
      <w:pPr>
        <w:pStyle w:val="FOFNumbered"/>
      </w:pPr>
      <w:r>
        <w:t xml:space="preserve">The evidence does not show that </w:t>
      </w:r>
      <w:r w:rsidR="000919A8">
        <w:t>District</w:t>
      </w:r>
      <w:r>
        <w:t xml:space="preserve"> 12 has or had alternatives available for obtaining water treatment service for itself and </w:t>
      </w:r>
      <w:r w:rsidR="000919A8">
        <w:t>District</w:t>
      </w:r>
      <w:r>
        <w:t xml:space="preserve">s 11 and 13 other than self-service and service from LCRA and subsequently </w:t>
      </w:r>
      <w:r w:rsidR="000919A8">
        <w:t>the Agency</w:t>
      </w:r>
      <w:r>
        <w:t>.</w:t>
      </w:r>
    </w:p>
    <w:p w:rsidR="003221AE" w:rsidRDefault="003221AE" w:rsidP="003221AE">
      <w:pPr>
        <w:pStyle w:val="FOFNumbered"/>
      </w:pPr>
      <w:r>
        <w:lastRenderedPageBreak/>
        <w:t xml:space="preserve">Under </w:t>
      </w:r>
      <w:r w:rsidR="005C5EC6">
        <w:t>the water services a</w:t>
      </w:r>
      <w:r>
        <w:t xml:space="preserve">greement, </w:t>
      </w:r>
      <w:r w:rsidR="005C5EC6">
        <w:t>District</w:t>
      </w:r>
      <w:r>
        <w:t xml:space="preserve"> 12 is entitled to receive treatment from </w:t>
      </w:r>
      <w:r w:rsidR="005C5EC6">
        <w:t>the Agency</w:t>
      </w:r>
      <w:r>
        <w:t xml:space="preserve"> for a maximum flow of 3,980,000 gallons per day (</w:t>
      </w:r>
      <w:proofErr w:type="spellStart"/>
      <w:r>
        <w:t>gpd</w:t>
      </w:r>
      <w:proofErr w:type="spellEnd"/>
      <w:r>
        <w:t xml:space="preserve">) of water, which is </w:t>
      </w:r>
      <w:r w:rsidR="005C5EC6">
        <w:t>District</w:t>
      </w:r>
      <w:r>
        <w:t xml:space="preserve"> 12’s maximum reserved capacity in </w:t>
      </w:r>
      <w:r w:rsidR="005C5EC6">
        <w:t>the Agency</w:t>
      </w:r>
      <w:r>
        <w:t>’s system.</w:t>
      </w:r>
    </w:p>
    <w:p w:rsidR="003221AE" w:rsidRDefault="003221AE" w:rsidP="003221AE">
      <w:pPr>
        <w:pStyle w:val="FOFNumbered"/>
      </w:pPr>
      <w:r>
        <w:t>In a D</w:t>
      </w:r>
      <w:r w:rsidR="005C5EC6">
        <w:t>ecember 17, 2013 notice of the p</w:t>
      </w:r>
      <w:r>
        <w:t>rote</w:t>
      </w:r>
      <w:r w:rsidR="005C5EC6">
        <w:t>sted r</w:t>
      </w:r>
      <w:r>
        <w:t xml:space="preserve">ates, </w:t>
      </w:r>
      <w:r w:rsidR="005C5EC6">
        <w:t xml:space="preserve">the </w:t>
      </w:r>
      <w:r>
        <w:t>A</w:t>
      </w:r>
      <w:r w:rsidR="005C5EC6">
        <w:t>gency</w:t>
      </w:r>
      <w:r>
        <w:t xml:space="preserve"> offered to allow </w:t>
      </w:r>
      <w:r w:rsidR="005C5EC6">
        <w:t>District</w:t>
      </w:r>
      <w:r>
        <w:t xml:space="preserve"> 12 to amend its contract to reduce its maximum reserved capacity in </w:t>
      </w:r>
      <w:r w:rsidR="005C5EC6">
        <w:t xml:space="preserve">the </w:t>
      </w:r>
      <w:r>
        <w:t>A</w:t>
      </w:r>
      <w:r w:rsidR="005C5EC6">
        <w:t>gency</w:t>
      </w:r>
      <w:r>
        <w:t>’s West Travis County Facilities.</w:t>
      </w:r>
    </w:p>
    <w:p w:rsidR="003221AE" w:rsidRDefault="003221AE" w:rsidP="003221AE">
      <w:pPr>
        <w:pStyle w:val="FOFNumbered"/>
      </w:pPr>
      <w:r>
        <w:t xml:space="preserve">If </w:t>
      </w:r>
      <w:r w:rsidR="005C5EC6">
        <w:t>District</w:t>
      </w:r>
      <w:r>
        <w:t xml:space="preserve"> 12 had accepted the offer and reduced its maximum reserved capacity, that would have reduced the monthly charge </w:t>
      </w:r>
      <w:r w:rsidR="005C5EC6">
        <w:t>District 12 pays under the protested r</w:t>
      </w:r>
      <w:r>
        <w:t>ates and adopted the rate calculation fo</w:t>
      </w:r>
      <w:r w:rsidR="005C5EC6">
        <w:t>rmula underlying the protested r</w:t>
      </w:r>
      <w:r>
        <w:t>ates.</w:t>
      </w:r>
    </w:p>
    <w:p w:rsidR="003221AE" w:rsidRDefault="00A5232A" w:rsidP="003221AE">
      <w:pPr>
        <w:pStyle w:val="FOFNumbered"/>
      </w:pPr>
      <w:r>
        <w:t>The Agency</w:t>
      </w:r>
      <w:r w:rsidR="003221AE">
        <w:t xml:space="preserve"> similarly offered to allow its 13 other wholesale customers to amend their contracts to change their maximum reserved treatment capacity.  As of December 19, 2014, approximately one year after </w:t>
      </w:r>
      <w:r>
        <w:t>the Agency</w:t>
      </w:r>
      <w:r w:rsidR="003221AE">
        <w:t xml:space="preserve"> made the offer, six of them had chosen to amend their agreements and change their maximum reserved capacities:</w:t>
      </w:r>
    </w:p>
    <w:p w:rsidR="003221AE" w:rsidRDefault="003221AE" w:rsidP="003221AE"/>
    <w:tbl>
      <w:tblPr>
        <w:tblStyle w:val="TableGrid"/>
        <w:tblW w:w="9558" w:type="dxa"/>
        <w:tblInd w:w="0" w:type="dxa"/>
        <w:tblLook w:val="04A0" w:firstRow="1" w:lastRow="0" w:firstColumn="1" w:lastColumn="0" w:noHBand="0" w:noVBand="1"/>
      </w:tblPr>
      <w:tblGrid>
        <w:gridCol w:w="3078"/>
        <w:gridCol w:w="1710"/>
        <w:gridCol w:w="2610"/>
        <w:gridCol w:w="2160"/>
      </w:tblGrid>
      <w:tr w:rsidR="003221AE" w:rsidTr="003221AE">
        <w:trPr>
          <w:cantSplit/>
        </w:trPr>
        <w:tc>
          <w:tcPr>
            <w:tcW w:w="3078" w:type="dxa"/>
            <w:tcBorders>
              <w:top w:val="single" w:sz="4" w:space="0" w:color="auto"/>
              <w:left w:val="single" w:sz="4" w:space="0" w:color="auto"/>
              <w:bottom w:val="single" w:sz="4" w:space="0" w:color="auto"/>
              <w:right w:val="single" w:sz="4" w:space="0" w:color="auto"/>
            </w:tcBorders>
            <w:vAlign w:val="center"/>
            <w:hideMark/>
          </w:tcPr>
          <w:p w:rsidR="003221AE" w:rsidRDefault="003221AE">
            <w:pPr>
              <w:jc w:val="left"/>
              <w:rPr>
                <w:b/>
              </w:rPr>
            </w:pPr>
            <w:r>
              <w:rPr>
                <w:b/>
              </w:rPr>
              <w:t>Entity</w:t>
            </w:r>
          </w:p>
        </w:tc>
        <w:tc>
          <w:tcPr>
            <w:tcW w:w="1710" w:type="dxa"/>
            <w:tcBorders>
              <w:top w:val="single" w:sz="4" w:space="0" w:color="auto"/>
              <w:left w:val="single" w:sz="4" w:space="0" w:color="auto"/>
              <w:bottom w:val="single" w:sz="4" w:space="0" w:color="auto"/>
              <w:right w:val="single" w:sz="4" w:space="0" w:color="auto"/>
            </w:tcBorders>
            <w:vAlign w:val="center"/>
            <w:hideMark/>
          </w:tcPr>
          <w:p w:rsidR="003221AE" w:rsidRDefault="003221AE">
            <w:pPr>
              <w:jc w:val="left"/>
              <w:rPr>
                <w:b/>
              </w:rPr>
            </w:pPr>
            <w:r>
              <w:rPr>
                <w:b/>
              </w:rPr>
              <w:t>Original</w:t>
            </w:r>
          </w:p>
          <w:p w:rsidR="003221AE" w:rsidRDefault="003221AE">
            <w:pPr>
              <w:jc w:val="left"/>
              <w:rPr>
                <w:b/>
              </w:rPr>
            </w:pPr>
            <w:r>
              <w:rPr>
                <w:b/>
              </w:rPr>
              <w:t>Max. Day</w:t>
            </w:r>
          </w:p>
          <w:p w:rsidR="003221AE" w:rsidRDefault="003221AE">
            <w:pPr>
              <w:jc w:val="left"/>
              <w:rPr>
                <w:b/>
              </w:rPr>
            </w:pPr>
            <w:r>
              <w:rPr>
                <w:b/>
              </w:rPr>
              <w:t>Reservation</w:t>
            </w:r>
          </w:p>
        </w:tc>
        <w:tc>
          <w:tcPr>
            <w:tcW w:w="2610" w:type="dxa"/>
            <w:tcBorders>
              <w:top w:val="single" w:sz="4" w:space="0" w:color="auto"/>
              <w:left w:val="single" w:sz="4" w:space="0" w:color="auto"/>
              <w:bottom w:val="single" w:sz="4" w:space="0" w:color="auto"/>
              <w:right w:val="single" w:sz="4" w:space="0" w:color="auto"/>
            </w:tcBorders>
            <w:vAlign w:val="center"/>
            <w:hideMark/>
          </w:tcPr>
          <w:p w:rsidR="003221AE" w:rsidRDefault="003221AE">
            <w:pPr>
              <w:jc w:val="left"/>
              <w:rPr>
                <w:b/>
              </w:rPr>
            </w:pPr>
            <w:r>
              <w:rPr>
                <w:b/>
              </w:rPr>
              <w:t>Amendment Date</w:t>
            </w:r>
          </w:p>
        </w:tc>
        <w:tc>
          <w:tcPr>
            <w:tcW w:w="2160" w:type="dxa"/>
            <w:tcBorders>
              <w:top w:val="single" w:sz="4" w:space="0" w:color="auto"/>
              <w:left w:val="single" w:sz="4" w:space="0" w:color="auto"/>
              <w:bottom w:val="single" w:sz="4" w:space="0" w:color="auto"/>
              <w:right w:val="single" w:sz="4" w:space="0" w:color="auto"/>
            </w:tcBorders>
            <w:vAlign w:val="center"/>
            <w:hideMark/>
          </w:tcPr>
          <w:p w:rsidR="003221AE" w:rsidRDefault="003221AE">
            <w:pPr>
              <w:jc w:val="left"/>
              <w:rPr>
                <w:b/>
              </w:rPr>
            </w:pPr>
            <w:r>
              <w:rPr>
                <w:b/>
              </w:rPr>
              <w:t>Amended</w:t>
            </w:r>
          </w:p>
          <w:p w:rsidR="003221AE" w:rsidRDefault="003221AE">
            <w:pPr>
              <w:jc w:val="left"/>
              <w:rPr>
                <w:b/>
              </w:rPr>
            </w:pPr>
            <w:r>
              <w:rPr>
                <w:b/>
              </w:rPr>
              <w:t>Max. Day</w:t>
            </w:r>
          </w:p>
          <w:p w:rsidR="003221AE" w:rsidRDefault="003221AE">
            <w:pPr>
              <w:jc w:val="left"/>
              <w:rPr>
                <w:b/>
              </w:rPr>
            </w:pPr>
            <w:r>
              <w:rPr>
                <w:b/>
              </w:rPr>
              <w:t>Reservation</w:t>
            </w:r>
          </w:p>
        </w:tc>
      </w:tr>
      <w:tr w:rsidR="003221AE" w:rsidTr="003221AE">
        <w:trPr>
          <w:cantSplit/>
        </w:trPr>
        <w:tc>
          <w:tcPr>
            <w:tcW w:w="3078" w:type="dxa"/>
            <w:tcBorders>
              <w:top w:val="single" w:sz="4" w:space="0" w:color="auto"/>
              <w:left w:val="single" w:sz="4" w:space="0" w:color="auto"/>
              <w:bottom w:val="single" w:sz="4" w:space="0" w:color="auto"/>
              <w:right w:val="single" w:sz="4" w:space="0" w:color="auto"/>
            </w:tcBorders>
            <w:vAlign w:val="center"/>
            <w:hideMark/>
          </w:tcPr>
          <w:p w:rsidR="003221AE" w:rsidRDefault="003221AE">
            <w:pPr>
              <w:jc w:val="left"/>
            </w:pPr>
            <w:r>
              <w:t>Hays County WCID No. 1</w:t>
            </w:r>
          </w:p>
        </w:tc>
        <w:tc>
          <w:tcPr>
            <w:tcW w:w="1710" w:type="dxa"/>
            <w:tcBorders>
              <w:top w:val="single" w:sz="4" w:space="0" w:color="auto"/>
              <w:left w:val="single" w:sz="4" w:space="0" w:color="auto"/>
              <w:bottom w:val="single" w:sz="4" w:space="0" w:color="auto"/>
              <w:right w:val="single" w:sz="4" w:space="0" w:color="auto"/>
            </w:tcBorders>
            <w:vAlign w:val="center"/>
            <w:hideMark/>
          </w:tcPr>
          <w:p w:rsidR="003221AE" w:rsidRDefault="003221AE">
            <w:pPr>
              <w:jc w:val="left"/>
            </w:pPr>
            <w:r>
              <w:t xml:space="preserve">345,600 </w:t>
            </w:r>
            <w:proofErr w:type="spellStart"/>
            <w:r>
              <w:t>gpd</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rsidR="003221AE" w:rsidRDefault="003221AE">
            <w:pPr>
              <w:jc w:val="left"/>
            </w:pPr>
            <w:r>
              <w:t>Sept. 26, 2013</w:t>
            </w:r>
          </w:p>
        </w:tc>
        <w:tc>
          <w:tcPr>
            <w:tcW w:w="2160" w:type="dxa"/>
            <w:tcBorders>
              <w:top w:val="single" w:sz="4" w:space="0" w:color="auto"/>
              <w:left w:val="single" w:sz="4" w:space="0" w:color="auto"/>
              <w:bottom w:val="single" w:sz="4" w:space="0" w:color="auto"/>
              <w:right w:val="single" w:sz="4" w:space="0" w:color="auto"/>
            </w:tcBorders>
            <w:vAlign w:val="center"/>
            <w:hideMark/>
          </w:tcPr>
          <w:p w:rsidR="003221AE" w:rsidRDefault="003221AE">
            <w:pPr>
              <w:jc w:val="left"/>
            </w:pPr>
            <w:r>
              <w:t xml:space="preserve">1,221,120 </w:t>
            </w:r>
            <w:proofErr w:type="spellStart"/>
            <w:r>
              <w:t>gpd</w:t>
            </w:r>
            <w:proofErr w:type="spellEnd"/>
          </w:p>
        </w:tc>
      </w:tr>
      <w:tr w:rsidR="003221AE" w:rsidTr="003221AE">
        <w:trPr>
          <w:cantSplit/>
        </w:trPr>
        <w:tc>
          <w:tcPr>
            <w:tcW w:w="3078" w:type="dxa"/>
            <w:tcBorders>
              <w:top w:val="single" w:sz="4" w:space="0" w:color="auto"/>
              <w:left w:val="single" w:sz="4" w:space="0" w:color="auto"/>
              <w:bottom w:val="single" w:sz="4" w:space="0" w:color="auto"/>
              <w:right w:val="single" w:sz="4" w:space="0" w:color="auto"/>
            </w:tcBorders>
            <w:vAlign w:val="center"/>
            <w:hideMark/>
          </w:tcPr>
          <w:p w:rsidR="003221AE" w:rsidRDefault="003221AE">
            <w:pPr>
              <w:jc w:val="left"/>
            </w:pPr>
            <w:r>
              <w:t>Hays County WCID No. 2</w:t>
            </w:r>
          </w:p>
        </w:tc>
        <w:tc>
          <w:tcPr>
            <w:tcW w:w="1710" w:type="dxa"/>
            <w:tcBorders>
              <w:top w:val="single" w:sz="4" w:space="0" w:color="auto"/>
              <w:left w:val="single" w:sz="4" w:space="0" w:color="auto"/>
              <w:bottom w:val="single" w:sz="4" w:space="0" w:color="auto"/>
              <w:right w:val="single" w:sz="4" w:space="0" w:color="auto"/>
            </w:tcBorders>
            <w:vAlign w:val="center"/>
            <w:hideMark/>
          </w:tcPr>
          <w:p w:rsidR="003221AE" w:rsidRDefault="003221AE">
            <w:pPr>
              <w:jc w:val="left"/>
            </w:pPr>
            <w:r>
              <w:t xml:space="preserve">618,624 </w:t>
            </w:r>
            <w:proofErr w:type="spellStart"/>
            <w:r>
              <w:t>gpd</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rsidR="003221AE" w:rsidRDefault="003221AE">
            <w:pPr>
              <w:jc w:val="left"/>
            </w:pPr>
            <w:r>
              <w:t>Aug. 14, 2014</w:t>
            </w:r>
          </w:p>
        </w:tc>
        <w:tc>
          <w:tcPr>
            <w:tcW w:w="2160" w:type="dxa"/>
            <w:tcBorders>
              <w:top w:val="single" w:sz="4" w:space="0" w:color="auto"/>
              <w:left w:val="single" w:sz="4" w:space="0" w:color="auto"/>
              <w:bottom w:val="single" w:sz="4" w:space="0" w:color="auto"/>
              <w:right w:val="single" w:sz="4" w:space="0" w:color="auto"/>
            </w:tcBorders>
            <w:vAlign w:val="center"/>
            <w:hideMark/>
          </w:tcPr>
          <w:p w:rsidR="003221AE" w:rsidRDefault="003221AE">
            <w:pPr>
              <w:jc w:val="left"/>
            </w:pPr>
            <w:r>
              <w:t xml:space="preserve">1,166,170 </w:t>
            </w:r>
            <w:proofErr w:type="spellStart"/>
            <w:r>
              <w:t>gpd</w:t>
            </w:r>
            <w:proofErr w:type="spellEnd"/>
          </w:p>
        </w:tc>
      </w:tr>
      <w:tr w:rsidR="003221AE" w:rsidTr="003221AE">
        <w:trPr>
          <w:cantSplit/>
        </w:trPr>
        <w:tc>
          <w:tcPr>
            <w:tcW w:w="3078" w:type="dxa"/>
            <w:tcBorders>
              <w:top w:val="single" w:sz="4" w:space="0" w:color="auto"/>
              <w:left w:val="single" w:sz="4" w:space="0" w:color="auto"/>
              <w:bottom w:val="single" w:sz="4" w:space="0" w:color="auto"/>
              <w:right w:val="single" w:sz="4" w:space="0" w:color="auto"/>
            </w:tcBorders>
            <w:vAlign w:val="center"/>
            <w:hideMark/>
          </w:tcPr>
          <w:p w:rsidR="003221AE" w:rsidRDefault="003221AE">
            <w:pPr>
              <w:jc w:val="left"/>
            </w:pPr>
            <w:r>
              <w:t>Reunion Ranch WCID</w:t>
            </w:r>
          </w:p>
        </w:tc>
        <w:tc>
          <w:tcPr>
            <w:tcW w:w="1710" w:type="dxa"/>
            <w:tcBorders>
              <w:top w:val="single" w:sz="4" w:space="0" w:color="auto"/>
              <w:left w:val="single" w:sz="4" w:space="0" w:color="auto"/>
              <w:bottom w:val="single" w:sz="4" w:space="0" w:color="auto"/>
              <w:right w:val="single" w:sz="4" w:space="0" w:color="auto"/>
            </w:tcBorders>
            <w:vAlign w:val="center"/>
            <w:hideMark/>
          </w:tcPr>
          <w:p w:rsidR="003221AE" w:rsidRDefault="003221AE">
            <w:pPr>
              <w:jc w:val="left"/>
            </w:pPr>
            <w:r>
              <w:t xml:space="preserve">553,000 </w:t>
            </w:r>
            <w:proofErr w:type="spellStart"/>
            <w:r>
              <w:t>gpd</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rsidR="003221AE" w:rsidRDefault="003221AE">
            <w:pPr>
              <w:jc w:val="left"/>
            </w:pPr>
            <w:r>
              <w:t>Mar. 28, 2014</w:t>
            </w:r>
          </w:p>
        </w:tc>
        <w:tc>
          <w:tcPr>
            <w:tcW w:w="2160" w:type="dxa"/>
            <w:tcBorders>
              <w:top w:val="single" w:sz="4" w:space="0" w:color="auto"/>
              <w:left w:val="single" w:sz="4" w:space="0" w:color="auto"/>
              <w:bottom w:val="single" w:sz="4" w:space="0" w:color="auto"/>
              <w:right w:val="single" w:sz="4" w:space="0" w:color="auto"/>
            </w:tcBorders>
            <w:vAlign w:val="center"/>
            <w:hideMark/>
          </w:tcPr>
          <w:p w:rsidR="003221AE" w:rsidRDefault="003221AE">
            <w:pPr>
              <w:jc w:val="left"/>
            </w:pPr>
            <w:r>
              <w:t xml:space="preserve">603,692 </w:t>
            </w:r>
            <w:proofErr w:type="spellStart"/>
            <w:r>
              <w:t>gpd</w:t>
            </w:r>
            <w:proofErr w:type="spellEnd"/>
          </w:p>
        </w:tc>
      </w:tr>
      <w:tr w:rsidR="003221AE" w:rsidTr="003221AE">
        <w:trPr>
          <w:cantSplit/>
        </w:trPr>
        <w:tc>
          <w:tcPr>
            <w:tcW w:w="3078" w:type="dxa"/>
            <w:tcBorders>
              <w:top w:val="single" w:sz="4" w:space="0" w:color="auto"/>
              <w:left w:val="single" w:sz="4" w:space="0" w:color="auto"/>
              <w:bottom w:val="single" w:sz="4" w:space="0" w:color="auto"/>
              <w:right w:val="single" w:sz="4" w:space="0" w:color="auto"/>
            </w:tcBorders>
            <w:vAlign w:val="center"/>
            <w:hideMark/>
          </w:tcPr>
          <w:p w:rsidR="003221AE" w:rsidRDefault="003221AE">
            <w:pPr>
              <w:jc w:val="left"/>
            </w:pPr>
            <w:r>
              <w:t>Senna Hills MUD</w:t>
            </w:r>
          </w:p>
        </w:tc>
        <w:tc>
          <w:tcPr>
            <w:tcW w:w="1710" w:type="dxa"/>
            <w:tcBorders>
              <w:top w:val="single" w:sz="4" w:space="0" w:color="auto"/>
              <w:left w:val="single" w:sz="4" w:space="0" w:color="auto"/>
              <w:bottom w:val="single" w:sz="4" w:space="0" w:color="auto"/>
              <w:right w:val="single" w:sz="4" w:space="0" w:color="auto"/>
            </w:tcBorders>
            <w:vAlign w:val="center"/>
            <w:hideMark/>
          </w:tcPr>
          <w:p w:rsidR="003221AE" w:rsidRDefault="003221AE">
            <w:pPr>
              <w:jc w:val="left"/>
            </w:pPr>
            <w:r>
              <w:t xml:space="preserve">907,000 </w:t>
            </w:r>
            <w:proofErr w:type="spellStart"/>
            <w:r>
              <w:t>gpd</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rsidR="003221AE" w:rsidRDefault="003221AE">
            <w:pPr>
              <w:jc w:val="left"/>
            </w:pPr>
            <w:r>
              <w:t>After Nov. 21, 2013</w:t>
            </w:r>
          </w:p>
        </w:tc>
        <w:tc>
          <w:tcPr>
            <w:tcW w:w="2160" w:type="dxa"/>
            <w:tcBorders>
              <w:top w:val="single" w:sz="4" w:space="0" w:color="auto"/>
              <w:left w:val="single" w:sz="4" w:space="0" w:color="auto"/>
              <w:bottom w:val="single" w:sz="4" w:space="0" w:color="auto"/>
              <w:right w:val="single" w:sz="4" w:space="0" w:color="auto"/>
            </w:tcBorders>
            <w:vAlign w:val="center"/>
            <w:hideMark/>
          </w:tcPr>
          <w:p w:rsidR="003221AE" w:rsidRDefault="003221AE">
            <w:pPr>
              <w:jc w:val="left"/>
            </w:pPr>
            <w:r>
              <w:t xml:space="preserve">575,000 </w:t>
            </w:r>
            <w:proofErr w:type="spellStart"/>
            <w:r>
              <w:t>gpd</w:t>
            </w:r>
            <w:proofErr w:type="spellEnd"/>
          </w:p>
        </w:tc>
      </w:tr>
      <w:tr w:rsidR="003221AE" w:rsidTr="003221AE">
        <w:trPr>
          <w:cantSplit/>
        </w:trPr>
        <w:tc>
          <w:tcPr>
            <w:tcW w:w="3078" w:type="dxa"/>
            <w:tcBorders>
              <w:top w:val="single" w:sz="4" w:space="0" w:color="auto"/>
              <w:left w:val="single" w:sz="4" w:space="0" w:color="auto"/>
              <w:bottom w:val="single" w:sz="4" w:space="0" w:color="auto"/>
              <w:right w:val="single" w:sz="4" w:space="0" w:color="auto"/>
            </w:tcBorders>
            <w:vAlign w:val="center"/>
            <w:hideMark/>
          </w:tcPr>
          <w:p w:rsidR="003221AE" w:rsidRDefault="003221AE">
            <w:pPr>
              <w:jc w:val="left"/>
            </w:pPr>
            <w:r>
              <w:t>Lazy 9 MUD</w:t>
            </w:r>
          </w:p>
        </w:tc>
        <w:tc>
          <w:tcPr>
            <w:tcW w:w="1710" w:type="dxa"/>
            <w:tcBorders>
              <w:top w:val="single" w:sz="4" w:space="0" w:color="auto"/>
              <w:left w:val="single" w:sz="4" w:space="0" w:color="auto"/>
              <w:bottom w:val="single" w:sz="4" w:space="0" w:color="auto"/>
              <w:right w:val="single" w:sz="4" w:space="0" w:color="auto"/>
            </w:tcBorders>
            <w:vAlign w:val="center"/>
            <w:hideMark/>
          </w:tcPr>
          <w:p w:rsidR="003221AE" w:rsidRDefault="003221AE">
            <w:pPr>
              <w:jc w:val="left"/>
            </w:pPr>
            <w:r>
              <w:t xml:space="preserve">5,068,000 </w:t>
            </w:r>
            <w:proofErr w:type="spellStart"/>
            <w:r>
              <w:t>gpd</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rsidR="003221AE" w:rsidRDefault="003221AE">
            <w:pPr>
              <w:jc w:val="left"/>
            </w:pPr>
            <w:r>
              <w:t>Jan. 16, 2014</w:t>
            </w:r>
          </w:p>
        </w:tc>
        <w:tc>
          <w:tcPr>
            <w:tcW w:w="2160" w:type="dxa"/>
            <w:tcBorders>
              <w:top w:val="single" w:sz="4" w:space="0" w:color="auto"/>
              <w:left w:val="single" w:sz="4" w:space="0" w:color="auto"/>
              <w:bottom w:val="single" w:sz="4" w:space="0" w:color="auto"/>
              <w:right w:val="single" w:sz="4" w:space="0" w:color="auto"/>
            </w:tcBorders>
            <w:vAlign w:val="center"/>
            <w:hideMark/>
          </w:tcPr>
          <w:p w:rsidR="003221AE" w:rsidRDefault="003221AE">
            <w:pPr>
              <w:jc w:val="left"/>
            </w:pPr>
            <w:r>
              <w:t xml:space="preserve">2,080,000 </w:t>
            </w:r>
            <w:proofErr w:type="spellStart"/>
            <w:r>
              <w:t>gpd</w:t>
            </w:r>
            <w:proofErr w:type="spellEnd"/>
          </w:p>
        </w:tc>
      </w:tr>
      <w:tr w:rsidR="003221AE" w:rsidTr="003221AE">
        <w:trPr>
          <w:cantSplit/>
        </w:trPr>
        <w:tc>
          <w:tcPr>
            <w:tcW w:w="3078" w:type="dxa"/>
            <w:tcBorders>
              <w:top w:val="single" w:sz="4" w:space="0" w:color="auto"/>
              <w:left w:val="single" w:sz="4" w:space="0" w:color="auto"/>
              <w:bottom w:val="single" w:sz="4" w:space="0" w:color="auto"/>
              <w:right w:val="single" w:sz="4" w:space="0" w:color="auto"/>
            </w:tcBorders>
            <w:vAlign w:val="center"/>
            <w:hideMark/>
          </w:tcPr>
          <w:p w:rsidR="003221AE" w:rsidRDefault="003221AE">
            <w:pPr>
              <w:jc w:val="left"/>
            </w:pPr>
            <w:r>
              <w:t>Barton Creek West WSC</w:t>
            </w:r>
          </w:p>
        </w:tc>
        <w:tc>
          <w:tcPr>
            <w:tcW w:w="1710" w:type="dxa"/>
            <w:tcBorders>
              <w:top w:val="single" w:sz="4" w:space="0" w:color="auto"/>
              <w:left w:val="single" w:sz="4" w:space="0" w:color="auto"/>
              <w:bottom w:val="single" w:sz="4" w:space="0" w:color="auto"/>
              <w:right w:val="single" w:sz="4" w:space="0" w:color="auto"/>
            </w:tcBorders>
            <w:vAlign w:val="center"/>
            <w:hideMark/>
          </w:tcPr>
          <w:p w:rsidR="003221AE" w:rsidRDefault="003221AE">
            <w:pPr>
              <w:jc w:val="left"/>
            </w:pPr>
            <w:r>
              <w:t xml:space="preserve">965,952 </w:t>
            </w:r>
            <w:proofErr w:type="spellStart"/>
            <w:r>
              <w:t>gpd</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rsidR="003221AE" w:rsidRDefault="003221AE">
            <w:pPr>
              <w:jc w:val="left"/>
            </w:pPr>
            <w:r>
              <w:t>Mar. 18, 2014</w:t>
            </w:r>
          </w:p>
        </w:tc>
        <w:tc>
          <w:tcPr>
            <w:tcW w:w="2160" w:type="dxa"/>
            <w:tcBorders>
              <w:top w:val="single" w:sz="4" w:space="0" w:color="auto"/>
              <w:left w:val="single" w:sz="4" w:space="0" w:color="auto"/>
              <w:bottom w:val="single" w:sz="4" w:space="0" w:color="auto"/>
              <w:right w:val="single" w:sz="4" w:space="0" w:color="auto"/>
            </w:tcBorders>
            <w:vAlign w:val="center"/>
            <w:hideMark/>
          </w:tcPr>
          <w:p w:rsidR="003221AE" w:rsidRDefault="003221AE">
            <w:pPr>
              <w:jc w:val="left"/>
            </w:pPr>
            <w:r>
              <w:t xml:space="preserve">679,000 </w:t>
            </w:r>
            <w:proofErr w:type="spellStart"/>
            <w:r>
              <w:t>gpd</w:t>
            </w:r>
            <w:proofErr w:type="spellEnd"/>
          </w:p>
        </w:tc>
      </w:tr>
    </w:tbl>
    <w:p w:rsidR="003221AE" w:rsidRDefault="003221AE" w:rsidP="003221AE"/>
    <w:p w:rsidR="003221AE" w:rsidRDefault="00AC53D5" w:rsidP="003221AE">
      <w:pPr>
        <w:pStyle w:val="FOFNumbered"/>
      </w:pPr>
      <w:r>
        <w:t>The Agency’s offer to amend the water services a</w:t>
      </w:r>
      <w:r w:rsidR="003221AE">
        <w:t xml:space="preserve">greement to allow </w:t>
      </w:r>
      <w:r>
        <w:t>District</w:t>
      </w:r>
      <w:r w:rsidR="003221AE">
        <w:t xml:space="preserve"> 12 to reduce its reserved capacity in the </w:t>
      </w:r>
      <w:r>
        <w:t>Agency’s</w:t>
      </w:r>
      <w:r w:rsidR="003221AE">
        <w:t xml:space="preserve"> system was sincere and </w:t>
      </w:r>
      <w:r>
        <w:t>the Agency</w:t>
      </w:r>
      <w:r w:rsidR="003221AE">
        <w:t xml:space="preserve"> has left the offer open.</w:t>
      </w:r>
    </w:p>
    <w:p w:rsidR="003221AE" w:rsidRDefault="00AC53D5" w:rsidP="003221AE">
      <w:pPr>
        <w:pStyle w:val="FOFNumbered"/>
      </w:pPr>
      <w:r>
        <w:t>The Agency</w:t>
      </w:r>
      <w:r w:rsidR="003221AE">
        <w:t xml:space="preserve"> could not compel D</w:t>
      </w:r>
      <w:r>
        <w:t>istrict</w:t>
      </w:r>
      <w:r w:rsidR="003221AE">
        <w:t xml:space="preserve"> 12 to take the offer, and </w:t>
      </w:r>
      <w:r>
        <w:t>District</w:t>
      </w:r>
      <w:r w:rsidR="003221AE">
        <w:t xml:space="preserve"> 12 chose not to take </w:t>
      </w:r>
      <w:r>
        <w:t>the Agency</w:t>
      </w:r>
      <w:r w:rsidR="003221AE">
        <w:t xml:space="preserve">’s offer to reduce its reserved capacity in the </w:t>
      </w:r>
      <w:r>
        <w:t>Agency</w:t>
      </w:r>
      <w:r w:rsidR="003221AE">
        <w:t xml:space="preserve"> system.</w:t>
      </w:r>
    </w:p>
    <w:p w:rsidR="003221AE" w:rsidRDefault="00C75ECF" w:rsidP="003221AE">
      <w:pPr>
        <w:pStyle w:val="FOFNumbered"/>
      </w:pPr>
      <w:r>
        <w:t>Under the water services a</w:t>
      </w:r>
      <w:r w:rsidR="003221AE">
        <w:t xml:space="preserve">greement, </w:t>
      </w:r>
      <w:r>
        <w:t>the Agency</w:t>
      </w:r>
      <w:r w:rsidR="003221AE">
        <w:t xml:space="preserve"> is obligated to provide D</w:t>
      </w:r>
      <w:r>
        <w:t>istrict</w:t>
      </w:r>
      <w:r w:rsidR="003221AE">
        <w:t xml:space="preserve"> 12 with treatment services for approximately 1,640 retail water connections, or close to 2,125 LUEs.  That is same number of LUEs that could be served with the maximum flow of </w:t>
      </w:r>
      <w:r w:rsidR="003221AE">
        <w:lastRenderedPageBreak/>
        <w:t xml:space="preserve">3,980,000 </w:t>
      </w:r>
      <w:proofErr w:type="spellStart"/>
      <w:r w:rsidR="003221AE">
        <w:t>gpd</w:t>
      </w:r>
      <w:proofErr w:type="spellEnd"/>
      <w:r w:rsidR="003221AE">
        <w:t xml:space="preserve"> that D</w:t>
      </w:r>
      <w:r>
        <w:t>istrict</w:t>
      </w:r>
      <w:r w:rsidR="003221AE">
        <w:t xml:space="preserve"> 12 is enti</w:t>
      </w:r>
      <w:r w:rsidR="0035429F">
        <w:t>tled to have treated under the w</w:t>
      </w:r>
      <w:r w:rsidR="003221AE">
        <w:t>ate</w:t>
      </w:r>
      <w:r w:rsidR="0035429F">
        <w:t>r services a</w:t>
      </w:r>
      <w:r w:rsidR="003221AE">
        <w:t>greement.</w:t>
      </w:r>
    </w:p>
    <w:p w:rsidR="003221AE" w:rsidRDefault="003221AE" w:rsidP="003221AE">
      <w:pPr>
        <w:pStyle w:val="FOFNumbered"/>
      </w:pPr>
      <w:r>
        <w:t>D</w:t>
      </w:r>
      <w:r w:rsidR="0035429F">
        <w:t>istrict</w:t>
      </w:r>
      <w:r>
        <w:t xml:space="preserve"> 12 has never served close to 2,125 LUEs, and the increase in its number of customers, or connections, over the last six years has been very modest:</w:t>
      </w:r>
    </w:p>
    <w:p w:rsidR="003221AE" w:rsidRDefault="003221AE" w:rsidP="003221AE">
      <w:pPr>
        <w:keepNext/>
      </w:pPr>
    </w:p>
    <w:tbl>
      <w:tblPr>
        <w:tblStyle w:val="TableGrid"/>
        <w:tblW w:w="0" w:type="auto"/>
        <w:jc w:val="center"/>
        <w:tblInd w:w="0" w:type="dxa"/>
        <w:tblLook w:val="04A0" w:firstRow="1" w:lastRow="0" w:firstColumn="1" w:lastColumn="0" w:noHBand="0" w:noVBand="1"/>
      </w:tblPr>
      <w:tblGrid>
        <w:gridCol w:w="1743"/>
        <w:gridCol w:w="2496"/>
      </w:tblGrid>
      <w:tr w:rsidR="003221AE" w:rsidTr="003221AE">
        <w:trPr>
          <w:jc w:val="center"/>
        </w:trPr>
        <w:tc>
          <w:tcPr>
            <w:tcW w:w="0" w:type="auto"/>
            <w:tcBorders>
              <w:top w:val="single" w:sz="4" w:space="0" w:color="auto"/>
              <w:left w:val="single" w:sz="4" w:space="0" w:color="auto"/>
              <w:bottom w:val="single" w:sz="4" w:space="0" w:color="auto"/>
              <w:right w:val="single" w:sz="4" w:space="0" w:color="auto"/>
            </w:tcBorders>
            <w:hideMark/>
          </w:tcPr>
          <w:p w:rsidR="003221AE" w:rsidRDefault="003221AE">
            <w:pPr>
              <w:keepNext/>
              <w:rPr>
                <w:b/>
              </w:rPr>
            </w:pPr>
            <w:r>
              <w:rPr>
                <w:b/>
              </w:rPr>
              <w:t>Date</w:t>
            </w:r>
          </w:p>
        </w:tc>
        <w:tc>
          <w:tcPr>
            <w:tcW w:w="0" w:type="auto"/>
            <w:tcBorders>
              <w:top w:val="single" w:sz="4" w:space="0" w:color="auto"/>
              <w:left w:val="single" w:sz="4" w:space="0" w:color="auto"/>
              <w:bottom w:val="single" w:sz="4" w:space="0" w:color="auto"/>
              <w:right w:val="single" w:sz="4" w:space="0" w:color="auto"/>
            </w:tcBorders>
            <w:hideMark/>
          </w:tcPr>
          <w:p w:rsidR="003221AE" w:rsidRDefault="003221AE">
            <w:pPr>
              <w:keepNext/>
              <w:rPr>
                <w:b/>
              </w:rPr>
            </w:pPr>
            <w:r>
              <w:rPr>
                <w:b/>
              </w:rPr>
              <w:t>Number of Customers</w:t>
            </w:r>
          </w:p>
        </w:tc>
      </w:tr>
      <w:tr w:rsidR="003221AE" w:rsidTr="003221AE">
        <w:trPr>
          <w:jc w:val="center"/>
        </w:trPr>
        <w:tc>
          <w:tcPr>
            <w:tcW w:w="0" w:type="auto"/>
            <w:tcBorders>
              <w:top w:val="single" w:sz="4" w:space="0" w:color="auto"/>
              <w:left w:val="single" w:sz="4" w:space="0" w:color="auto"/>
              <w:bottom w:val="single" w:sz="4" w:space="0" w:color="auto"/>
              <w:right w:val="single" w:sz="4" w:space="0" w:color="auto"/>
            </w:tcBorders>
            <w:hideMark/>
          </w:tcPr>
          <w:p w:rsidR="003221AE" w:rsidRDefault="003221AE">
            <w:pPr>
              <w:keepNext/>
            </w:pPr>
            <w:r>
              <w:t>January 1, 2008</w:t>
            </w:r>
          </w:p>
        </w:tc>
        <w:tc>
          <w:tcPr>
            <w:tcW w:w="0" w:type="auto"/>
            <w:tcBorders>
              <w:top w:val="single" w:sz="4" w:space="0" w:color="auto"/>
              <w:left w:val="single" w:sz="4" w:space="0" w:color="auto"/>
              <w:bottom w:val="single" w:sz="4" w:space="0" w:color="auto"/>
              <w:right w:val="single" w:sz="4" w:space="0" w:color="auto"/>
            </w:tcBorders>
            <w:hideMark/>
          </w:tcPr>
          <w:p w:rsidR="003221AE" w:rsidRDefault="003221AE">
            <w:pPr>
              <w:keepNext/>
            </w:pPr>
            <w:r>
              <w:t>0</w:t>
            </w:r>
          </w:p>
        </w:tc>
      </w:tr>
      <w:tr w:rsidR="003221AE" w:rsidTr="003221AE">
        <w:trPr>
          <w:jc w:val="center"/>
        </w:trPr>
        <w:tc>
          <w:tcPr>
            <w:tcW w:w="0" w:type="auto"/>
            <w:tcBorders>
              <w:top w:val="single" w:sz="4" w:space="0" w:color="auto"/>
              <w:left w:val="single" w:sz="4" w:space="0" w:color="auto"/>
              <w:bottom w:val="single" w:sz="4" w:space="0" w:color="auto"/>
              <w:right w:val="single" w:sz="4" w:space="0" w:color="auto"/>
            </w:tcBorders>
            <w:hideMark/>
          </w:tcPr>
          <w:p w:rsidR="003221AE" w:rsidRDefault="003221AE">
            <w:pPr>
              <w:keepNext/>
            </w:pPr>
            <w:r>
              <w:t>January 1, 2009</w:t>
            </w:r>
          </w:p>
        </w:tc>
        <w:tc>
          <w:tcPr>
            <w:tcW w:w="0" w:type="auto"/>
            <w:tcBorders>
              <w:top w:val="single" w:sz="4" w:space="0" w:color="auto"/>
              <w:left w:val="single" w:sz="4" w:space="0" w:color="auto"/>
              <w:bottom w:val="single" w:sz="4" w:space="0" w:color="auto"/>
              <w:right w:val="single" w:sz="4" w:space="0" w:color="auto"/>
            </w:tcBorders>
            <w:hideMark/>
          </w:tcPr>
          <w:p w:rsidR="003221AE" w:rsidRDefault="003221AE">
            <w:pPr>
              <w:keepNext/>
            </w:pPr>
            <w:r>
              <w:t>0</w:t>
            </w:r>
          </w:p>
        </w:tc>
      </w:tr>
      <w:tr w:rsidR="003221AE" w:rsidTr="003221AE">
        <w:trPr>
          <w:jc w:val="center"/>
        </w:trPr>
        <w:tc>
          <w:tcPr>
            <w:tcW w:w="0" w:type="auto"/>
            <w:tcBorders>
              <w:top w:val="single" w:sz="4" w:space="0" w:color="auto"/>
              <w:left w:val="single" w:sz="4" w:space="0" w:color="auto"/>
              <w:bottom w:val="single" w:sz="4" w:space="0" w:color="auto"/>
              <w:right w:val="single" w:sz="4" w:space="0" w:color="auto"/>
            </w:tcBorders>
            <w:hideMark/>
          </w:tcPr>
          <w:p w:rsidR="003221AE" w:rsidRDefault="003221AE">
            <w:pPr>
              <w:keepNext/>
            </w:pPr>
            <w:r>
              <w:t>January 1, 2010</w:t>
            </w:r>
          </w:p>
        </w:tc>
        <w:tc>
          <w:tcPr>
            <w:tcW w:w="0" w:type="auto"/>
            <w:tcBorders>
              <w:top w:val="single" w:sz="4" w:space="0" w:color="auto"/>
              <w:left w:val="single" w:sz="4" w:space="0" w:color="auto"/>
              <w:bottom w:val="single" w:sz="4" w:space="0" w:color="auto"/>
              <w:right w:val="single" w:sz="4" w:space="0" w:color="auto"/>
            </w:tcBorders>
            <w:hideMark/>
          </w:tcPr>
          <w:p w:rsidR="003221AE" w:rsidRDefault="003221AE">
            <w:pPr>
              <w:keepNext/>
            </w:pPr>
            <w:r>
              <w:t>less than 10</w:t>
            </w:r>
          </w:p>
        </w:tc>
      </w:tr>
      <w:tr w:rsidR="003221AE" w:rsidTr="003221AE">
        <w:trPr>
          <w:jc w:val="center"/>
        </w:trPr>
        <w:tc>
          <w:tcPr>
            <w:tcW w:w="0" w:type="auto"/>
            <w:tcBorders>
              <w:top w:val="single" w:sz="4" w:space="0" w:color="auto"/>
              <w:left w:val="single" w:sz="4" w:space="0" w:color="auto"/>
              <w:bottom w:val="single" w:sz="4" w:space="0" w:color="auto"/>
              <w:right w:val="single" w:sz="4" w:space="0" w:color="auto"/>
            </w:tcBorders>
            <w:hideMark/>
          </w:tcPr>
          <w:p w:rsidR="003221AE" w:rsidRDefault="003221AE">
            <w:pPr>
              <w:keepNext/>
            </w:pPr>
            <w:r>
              <w:t>January 1, 2011</w:t>
            </w:r>
          </w:p>
        </w:tc>
        <w:tc>
          <w:tcPr>
            <w:tcW w:w="0" w:type="auto"/>
            <w:tcBorders>
              <w:top w:val="single" w:sz="4" w:space="0" w:color="auto"/>
              <w:left w:val="single" w:sz="4" w:space="0" w:color="auto"/>
              <w:bottom w:val="single" w:sz="4" w:space="0" w:color="auto"/>
              <w:right w:val="single" w:sz="4" w:space="0" w:color="auto"/>
            </w:tcBorders>
            <w:hideMark/>
          </w:tcPr>
          <w:p w:rsidR="003221AE" w:rsidRDefault="003221AE">
            <w:pPr>
              <w:keepNext/>
            </w:pPr>
            <w:r>
              <w:t>10</w:t>
            </w:r>
          </w:p>
        </w:tc>
      </w:tr>
      <w:tr w:rsidR="003221AE" w:rsidTr="003221AE">
        <w:trPr>
          <w:jc w:val="center"/>
        </w:trPr>
        <w:tc>
          <w:tcPr>
            <w:tcW w:w="0" w:type="auto"/>
            <w:tcBorders>
              <w:top w:val="single" w:sz="4" w:space="0" w:color="auto"/>
              <w:left w:val="single" w:sz="4" w:space="0" w:color="auto"/>
              <w:bottom w:val="single" w:sz="4" w:space="0" w:color="auto"/>
              <w:right w:val="single" w:sz="4" w:space="0" w:color="auto"/>
            </w:tcBorders>
            <w:hideMark/>
          </w:tcPr>
          <w:p w:rsidR="003221AE" w:rsidRDefault="003221AE">
            <w:pPr>
              <w:keepNext/>
            </w:pPr>
            <w:r>
              <w:t>January 1, 2012</w:t>
            </w:r>
          </w:p>
        </w:tc>
        <w:tc>
          <w:tcPr>
            <w:tcW w:w="0" w:type="auto"/>
            <w:tcBorders>
              <w:top w:val="single" w:sz="4" w:space="0" w:color="auto"/>
              <w:left w:val="single" w:sz="4" w:space="0" w:color="auto"/>
              <w:bottom w:val="single" w:sz="4" w:space="0" w:color="auto"/>
              <w:right w:val="single" w:sz="4" w:space="0" w:color="auto"/>
            </w:tcBorders>
            <w:hideMark/>
          </w:tcPr>
          <w:p w:rsidR="003221AE" w:rsidRDefault="003221AE">
            <w:pPr>
              <w:keepNext/>
            </w:pPr>
            <w:r>
              <w:t>23</w:t>
            </w:r>
          </w:p>
        </w:tc>
      </w:tr>
      <w:tr w:rsidR="003221AE" w:rsidTr="003221AE">
        <w:trPr>
          <w:jc w:val="center"/>
        </w:trPr>
        <w:tc>
          <w:tcPr>
            <w:tcW w:w="0" w:type="auto"/>
            <w:tcBorders>
              <w:top w:val="single" w:sz="4" w:space="0" w:color="auto"/>
              <w:left w:val="single" w:sz="4" w:space="0" w:color="auto"/>
              <w:bottom w:val="single" w:sz="4" w:space="0" w:color="auto"/>
              <w:right w:val="single" w:sz="4" w:space="0" w:color="auto"/>
            </w:tcBorders>
            <w:hideMark/>
          </w:tcPr>
          <w:p w:rsidR="003221AE" w:rsidRDefault="003221AE">
            <w:pPr>
              <w:keepNext/>
            </w:pPr>
            <w:r>
              <w:t>January 1, 2013</w:t>
            </w:r>
          </w:p>
        </w:tc>
        <w:tc>
          <w:tcPr>
            <w:tcW w:w="0" w:type="auto"/>
            <w:tcBorders>
              <w:top w:val="single" w:sz="4" w:space="0" w:color="auto"/>
              <w:left w:val="single" w:sz="4" w:space="0" w:color="auto"/>
              <w:bottom w:val="single" w:sz="4" w:space="0" w:color="auto"/>
              <w:right w:val="single" w:sz="4" w:space="0" w:color="auto"/>
            </w:tcBorders>
            <w:hideMark/>
          </w:tcPr>
          <w:p w:rsidR="003221AE" w:rsidRDefault="003221AE">
            <w:pPr>
              <w:keepNext/>
            </w:pPr>
            <w:r>
              <w:t>48</w:t>
            </w:r>
          </w:p>
        </w:tc>
      </w:tr>
      <w:tr w:rsidR="003221AE" w:rsidTr="003221AE">
        <w:trPr>
          <w:jc w:val="center"/>
        </w:trPr>
        <w:tc>
          <w:tcPr>
            <w:tcW w:w="0" w:type="auto"/>
            <w:tcBorders>
              <w:top w:val="single" w:sz="4" w:space="0" w:color="auto"/>
              <w:left w:val="single" w:sz="4" w:space="0" w:color="auto"/>
              <w:bottom w:val="single" w:sz="4" w:space="0" w:color="auto"/>
              <w:right w:val="single" w:sz="4" w:space="0" w:color="auto"/>
            </w:tcBorders>
            <w:hideMark/>
          </w:tcPr>
          <w:p w:rsidR="003221AE" w:rsidRDefault="003221AE">
            <w:pPr>
              <w:keepNext/>
            </w:pPr>
            <w:r>
              <w:t>January 1, 2014</w:t>
            </w:r>
          </w:p>
        </w:tc>
        <w:tc>
          <w:tcPr>
            <w:tcW w:w="0" w:type="auto"/>
            <w:tcBorders>
              <w:top w:val="single" w:sz="4" w:space="0" w:color="auto"/>
              <w:left w:val="single" w:sz="4" w:space="0" w:color="auto"/>
              <w:bottom w:val="single" w:sz="4" w:space="0" w:color="auto"/>
              <w:right w:val="single" w:sz="4" w:space="0" w:color="auto"/>
            </w:tcBorders>
            <w:hideMark/>
          </w:tcPr>
          <w:p w:rsidR="003221AE" w:rsidRDefault="003221AE">
            <w:pPr>
              <w:keepNext/>
            </w:pPr>
            <w:r>
              <w:t>132</w:t>
            </w:r>
          </w:p>
        </w:tc>
      </w:tr>
    </w:tbl>
    <w:p w:rsidR="003221AE" w:rsidRDefault="003221AE" w:rsidP="003221AE">
      <w:pPr>
        <w:keepNext/>
      </w:pPr>
    </w:p>
    <w:p w:rsidR="003221AE" w:rsidRDefault="00E01ED8" w:rsidP="003221AE">
      <w:pPr>
        <w:pStyle w:val="FOFNumbered"/>
      </w:pPr>
      <w:r>
        <w:t xml:space="preserve">District </w:t>
      </w:r>
      <w:r w:rsidR="003221AE">
        <w:t>12 is a very young district, the population in its service area is growing, and it hopes to need all of its reserved capacity between the years 2022 and 2025; however, it is not sure how quickly its service area will build out.</w:t>
      </w:r>
    </w:p>
    <w:p w:rsidR="003221AE" w:rsidRDefault="00E01ED8" w:rsidP="003221AE">
      <w:pPr>
        <w:pStyle w:val="FOFNumbered"/>
      </w:pPr>
      <w:r>
        <w:t>District</w:t>
      </w:r>
      <w:r w:rsidR="003221AE">
        <w:t xml:space="preserve"> 12 does not now and may never need capacity to treat 3,980,000 </w:t>
      </w:r>
      <w:proofErr w:type="spellStart"/>
      <w:r w:rsidR="003221AE">
        <w:t>gpd</w:t>
      </w:r>
      <w:proofErr w:type="spellEnd"/>
      <w:r w:rsidR="003221AE">
        <w:t xml:space="preserve"> of raw water.</w:t>
      </w:r>
    </w:p>
    <w:p w:rsidR="003221AE" w:rsidRDefault="003221AE" w:rsidP="003221AE">
      <w:pPr>
        <w:pStyle w:val="FOFNumbered"/>
      </w:pPr>
      <w:r>
        <w:t>Reducing all or part of its reserved water treatment capacity in the A</w:t>
      </w:r>
      <w:r w:rsidR="00E01ED8">
        <w:t>gency</w:t>
      </w:r>
      <w:r>
        <w:t xml:space="preserve"> system was and is an alternative available to </w:t>
      </w:r>
      <w:r w:rsidR="00E01ED8">
        <w:t xml:space="preserve">District </w:t>
      </w:r>
      <w:r>
        <w:t>12.</w:t>
      </w:r>
    </w:p>
    <w:p w:rsidR="003221AE" w:rsidRDefault="00510F74" w:rsidP="003221AE">
      <w:pPr>
        <w:pStyle w:val="FOFNumbered"/>
      </w:pPr>
      <w:r>
        <w:t>District</w:t>
      </w:r>
      <w:r w:rsidR="003221AE">
        <w:t xml:space="preserve"> 12 has paid $1.5 million in conne</w:t>
      </w:r>
      <w:r>
        <w:t>ction fees to LCRA.  Under the transfer a</w:t>
      </w:r>
      <w:r w:rsidR="003221AE">
        <w:t xml:space="preserve">greement, LCRA transferred the collected fees to </w:t>
      </w:r>
      <w:r>
        <w:t>the Agency</w:t>
      </w:r>
      <w:r w:rsidR="003221AE">
        <w:t xml:space="preserve">, and </w:t>
      </w:r>
      <w:r>
        <w:t>District</w:t>
      </w:r>
      <w:r w:rsidR="003221AE">
        <w:t xml:space="preserve"> 12 is entitled to full credit for them.</w:t>
      </w:r>
    </w:p>
    <w:p w:rsidR="003221AE" w:rsidRDefault="003221AE" w:rsidP="003221AE">
      <w:pPr>
        <w:pStyle w:val="FOFNumbered"/>
      </w:pPr>
      <w:r>
        <w:t xml:space="preserve">There is no evidence that a market exists for the connection-fee rights that </w:t>
      </w:r>
      <w:r w:rsidR="00510F74">
        <w:t>District</w:t>
      </w:r>
      <w:r>
        <w:t xml:space="preserve"> 12 has in the A</w:t>
      </w:r>
      <w:r w:rsidR="00510F74">
        <w:t>gency</w:t>
      </w:r>
      <w:r>
        <w:t xml:space="preserve"> system.</w:t>
      </w:r>
    </w:p>
    <w:p w:rsidR="003221AE" w:rsidRDefault="003221AE" w:rsidP="003221AE">
      <w:pPr>
        <w:pStyle w:val="FOFNumbered"/>
      </w:pPr>
      <w:r>
        <w:t xml:space="preserve">The $1.5 million that </w:t>
      </w:r>
      <w:r w:rsidR="00510F74">
        <w:t>District</w:t>
      </w:r>
      <w:r>
        <w:t xml:space="preserve"> 12 paid to connect to the West Travis County System is a sunk cost that could be partially or wholly stranded if </w:t>
      </w:r>
      <w:r w:rsidR="00510F74">
        <w:t>District</w:t>
      </w:r>
      <w:r>
        <w:t xml:space="preserve"> 12 chose to reduce its reserved capacity and build its own treatment facilities.</w:t>
      </w:r>
    </w:p>
    <w:p w:rsidR="003221AE" w:rsidRDefault="003221AE" w:rsidP="003221AE">
      <w:pPr>
        <w:pStyle w:val="FOFNumbered"/>
      </w:pPr>
      <w:r>
        <w:t xml:space="preserve">The evidence does not show that the self-service option available to </w:t>
      </w:r>
      <w:r w:rsidR="00510F74">
        <w:t>District</w:t>
      </w:r>
      <w:r>
        <w:t xml:space="preserve"> 12 is prohibitively more expensive than service from </w:t>
      </w:r>
      <w:r w:rsidR="00510F74">
        <w:t>the Agency</w:t>
      </w:r>
      <w:r>
        <w:t xml:space="preserve"> under the </w:t>
      </w:r>
      <w:r w:rsidR="00510F74">
        <w:t>p</w:t>
      </w:r>
      <w:r>
        <w:t xml:space="preserve">rotested </w:t>
      </w:r>
      <w:r w:rsidR="00510F74">
        <w:t>r</w:t>
      </w:r>
      <w:r>
        <w:t>ates.</w:t>
      </w:r>
    </w:p>
    <w:p w:rsidR="003221AE" w:rsidRPr="003221AE" w:rsidRDefault="003221AE" w:rsidP="003221AE">
      <w:pPr>
        <w:pStyle w:val="Heading6"/>
      </w:pPr>
      <w:r>
        <w:lastRenderedPageBreak/>
        <w:t>Other Bargaining Power Factors</w:t>
      </w:r>
    </w:p>
    <w:p w:rsidR="003221AE" w:rsidRDefault="003221AE" w:rsidP="003221AE">
      <w:pPr>
        <w:pStyle w:val="FOFNumbered"/>
      </w:pPr>
      <w:r>
        <w:t xml:space="preserve">Before May 2013, </w:t>
      </w:r>
      <w:r w:rsidR="00517F84">
        <w:t>the Agency</w:t>
      </w:r>
      <w:r>
        <w:t xml:space="preserve"> hosted six meetings with its wholesale customers to obtain their input on </w:t>
      </w:r>
      <w:r w:rsidR="00517F84">
        <w:t>the Agency</w:t>
      </w:r>
      <w:r>
        <w:t xml:space="preserve">’s allocation of it costs.  A </w:t>
      </w:r>
      <w:r w:rsidR="00517F84">
        <w:t>District</w:t>
      </w:r>
      <w:r>
        <w:t xml:space="preserve"> 12 representative attended four of the six meetings.</w:t>
      </w:r>
    </w:p>
    <w:p w:rsidR="003221AE" w:rsidRDefault="003221AE" w:rsidP="003221AE">
      <w:pPr>
        <w:pStyle w:val="FOFNumbered"/>
      </w:pPr>
      <w:r>
        <w:t xml:space="preserve">Also, before the rates were adopted, </w:t>
      </w:r>
      <w:r w:rsidR="00517F84">
        <w:t>the Agency</w:t>
      </w:r>
      <w:r>
        <w:t xml:space="preserve">’s representatives met with </w:t>
      </w:r>
      <w:r w:rsidR="00517F84">
        <w:t>District</w:t>
      </w:r>
      <w:r>
        <w:t xml:space="preserve"> 12’s representatives on three </w:t>
      </w:r>
      <w:r w:rsidR="00517F84">
        <w:t>other occasions to discuss the protested r</w:t>
      </w:r>
      <w:r>
        <w:t>ates and receive written input from them.</w:t>
      </w:r>
    </w:p>
    <w:p w:rsidR="003221AE" w:rsidRDefault="003221AE" w:rsidP="003221AE">
      <w:pPr>
        <w:pStyle w:val="FOFNumbered"/>
      </w:pPr>
      <w:r>
        <w:t xml:space="preserve">Ultimately, on April 9, 2013, a committee of the wholesale customers proposed an allocation of </w:t>
      </w:r>
      <w:r w:rsidR="00463178">
        <w:t>the Agency</w:t>
      </w:r>
      <w:r>
        <w:t xml:space="preserve">’s debt, operations, and maintenance costs in the monthly charge, which formed the basis for the monthly charge in the </w:t>
      </w:r>
      <w:r w:rsidR="00463178">
        <w:t>p</w:t>
      </w:r>
      <w:r>
        <w:t xml:space="preserve">rotested </w:t>
      </w:r>
      <w:r w:rsidR="00463178">
        <w:t>r</w:t>
      </w:r>
      <w:r>
        <w:t xml:space="preserve">ates that was presented to and adopted by the </w:t>
      </w:r>
      <w:r w:rsidR="00463178">
        <w:t>Agency</w:t>
      </w:r>
      <w:r>
        <w:t xml:space="preserve"> board on November 21, 2013.</w:t>
      </w:r>
    </w:p>
    <w:p w:rsidR="003221AE" w:rsidRDefault="003221AE" w:rsidP="003221AE">
      <w:pPr>
        <w:pStyle w:val="FOFNumbered"/>
      </w:pPr>
      <w:r>
        <w:t xml:space="preserve">No one for </w:t>
      </w:r>
      <w:r w:rsidR="00463178">
        <w:t>District</w:t>
      </w:r>
      <w:r>
        <w:t xml:space="preserve"> 12 attended the board meeting </w:t>
      </w:r>
      <w:r w:rsidR="00463178">
        <w:t>to protest the adoption of the p</w:t>
      </w:r>
      <w:r>
        <w:t>rot</w:t>
      </w:r>
      <w:r w:rsidR="00463178">
        <w:t>ested r</w:t>
      </w:r>
      <w:r>
        <w:t>ates.</w:t>
      </w:r>
    </w:p>
    <w:p w:rsidR="003221AE" w:rsidRPr="003221AE" w:rsidRDefault="00463178" w:rsidP="003221AE">
      <w:pPr>
        <w:pStyle w:val="FOFNumbered"/>
        <w:rPr>
          <w:bCs/>
          <w:szCs w:val="28"/>
        </w:rPr>
      </w:pPr>
      <w:r>
        <w:t>The Agency</w:t>
      </w:r>
      <w:r w:rsidR="003221AE">
        <w:t xml:space="preserve"> gave </w:t>
      </w:r>
      <w:r>
        <w:t>District</w:t>
      </w:r>
      <w:r w:rsidR="003221AE">
        <w:t xml:space="preserve"> 12, and its other wholesale customers, a meaningful opportunity to provide</w:t>
      </w:r>
      <w:r w:rsidR="0089719A">
        <w:t xml:space="preserve"> input before implementing the protested r</w:t>
      </w:r>
      <w:r w:rsidR="003221AE">
        <w:t>ates.</w:t>
      </w:r>
    </w:p>
    <w:p w:rsidR="003221AE" w:rsidRPr="003221AE" w:rsidRDefault="003221AE" w:rsidP="003221AE">
      <w:pPr>
        <w:pStyle w:val="FOFNumbered"/>
        <w:rPr>
          <w:bCs/>
          <w:szCs w:val="28"/>
        </w:rPr>
      </w:pPr>
      <w:r>
        <w:t xml:space="preserve">LCRA had excess treatment capacity in 2009, thus LCRA needed a wholesale customer at the same time that </w:t>
      </w:r>
      <w:r w:rsidR="0089719A">
        <w:t>District</w:t>
      </w:r>
      <w:r>
        <w:t xml:space="preserve"> 12 was searching for a wholesale water treatment service provider, which gave </w:t>
      </w:r>
      <w:r w:rsidR="0089719A">
        <w:t>District</w:t>
      </w:r>
      <w:r>
        <w:t xml:space="preserve"> 12 significant bargaining power when negotiating with LCRA.</w:t>
      </w:r>
    </w:p>
    <w:p w:rsidR="003221AE" w:rsidRPr="003221AE" w:rsidRDefault="003221AE" w:rsidP="003221AE">
      <w:pPr>
        <w:pStyle w:val="FOFNumbered"/>
        <w:rPr>
          <w:bCs/>
          <w:szCs w:val="28"/>
        </w:rPr>
      </w:pPr>
      <w:r>
        <w:t xml:space="preserve">For some period after 2009, LCRA, and later </w:t>
      </w:r>
      <w:r w:rsidR="0089719A">
        <w:t>the Agency</w:t>
      </w:r>
      <w:r>
        <w:t xml:space="preserve">, would have had unused treatment capacity if </w:t>
      </w:r>
      <w:r w:rsidR="0089719A">
        <w:t>District</w:t>
      </w:r>
      <w:r>
        <w:t xml:space="preserve"> 12 had stopped purchasing water treatment service from them.  Again, this gave </w:t>
      </w:r>
      <w:r w:rsidR="0089719A">
        <w:t>District</w:t>
      </w:r>
      <w:r>
        <w:t xml:space="preserve"> 12 significant bargaining power.</w:t>
      </w:r>
    </w:p>
    <w:p w:rsidR="003221AE" w:rsidRPr="003221AE" w:rsidRDefault="003221AE" w:rsidP="003221AE">
      <w:pPr>
        <w:pStyle w:val="FOFNumbered"/>
        <w:rPr>
          <w:szCs w:val="24"/>
        </w:rPr>
      </w:pPr>
      <w:r>
        <w:t xml:space="preserve">LCRA never raised the rates to which </w:t>
      </w:r>
      <w:r w:rsidR="0089719A">
        <w:t>District</w:t>
      </w:r>
      <w:r>
        <w:t xml:space="preserve"> 12 had agreed in October 2009.</w:t>
      </w:r>
    </w:p>
    <w:p w:rsidR="003221AE" w:rsidRDefault="003221AE" w:rsidP="003221AE">
      <w:pPr>
        <w:pStyle w:val="FOFNumbered"/>
      </w:pPr>
      <w:r>
        <w:t xml:space="preserve">After </w:t>
      </w:r>
      <w:r w:rsidR="0089719A">
        <w:t>District</w:t>
      </w:r>
      <w:r>
        <w:t xml:space="preserve"> 12 agreed in June 2012 to the transfer of LCRA’s rights</w:t>
      </w:r>
      <w:r w:rsidR="0089719A">
        <w:t xml:space="preserve"> and obligations under the water services a</w:t>
      </w:r>
      <w:r>
        <w:t xml:space="preserve">greement to </w:t>
      </w:r>
      <w:r w:rsidR="0089719A">
        <w:t>the Agency</w:t>
      </w:r>
      <w:r>
        <w:t xml:space="preserve">, </w:t>
      </w:r>
      <w:r w:rsidR="0089719A">
        <w:t>the Agency</w:t>
      </w:r>
      <w:r>
        <w:t xml:space="preserve"> initially kept the same rates LCRA had charged.</w:t>
      </w:r>
    </w:p>
    <w:p w:rsidR="003221AE" w:rsidRDefault="0089719A" w:rsidP="003221AE">
      <w:pPr>
        <w:pStyle w:val="FOFNumbered"/>
      </w:pPr>
      <w:r>
        <w:t>The Agency</w:t>
      </w:r>
      <w:r w:rsidR="003221AE">
        <w:t xml:space="preserve"> raised the rates by 15.5% in November 2012, but </w:t>
      </w:r>
      <w:r>
        <w:t>District</w:t>
      </w:r>
      <w:r w:rsidR="003221AE">
        <w:t xml:space="preserve"> 12 did not appeal that increase.</w:t>
      </w:r>
    </w:p>
    <w:p w:rsidR="003221AE" w:rsidRDefault="003221AE" w:rsidP="003221AE">
      <w:pPr>
        <w:pStyle w:val="FOFNumbered"/>
      </w:pPr>
      <w:r>
        <w:lastRenderedPageBreak/>
        <w:t xml:space="preserve">The evidence does not show that </w:t>
      </w:r>
      <w:r w:rsidR="002423FB">
        <w:t>District</w:t>
      </w:r>
      <w:r>
        <w:t xml:space="preserve"> 12 had significantly less bargaining power than: (1) LCRA in October 2009 when LCRA and </w:t>
      </w:r>
      <w:r w:rsidR="002423FB">
        <w:t>District 12 entered into the water services a</w:t>
      </w:r>
      <w:r>
        <w:t xml:space="preserve">greement; (2) </w:t>
      </w:r>
      <w:r w:rsidR="002423FB">
        <w:t>the Agency</w:t>
      </w:r>
      <w:r>
        <w:t xml:space="preserve"> in June 2012 when </w:t>
      </w:r>
      <w:r w:rsidR="002423FB">
        <w:t>District</w:t>
      </w:r>
      <w:r>
        <w:t xml:space="preserve"> 12, </w:t>
      </w:r>
      <w:r w:rsidR="002423FB">
        <w:t>the Agency</w:t>
      </w:r>
      <w:r w:rsidR="00123524">
        <w:t>, and LCRA entered into the transfer a</w:t>
      </w:r>
      <w:r>
        <w:t xml:space="preserve">greement; or (3) </w:t>
      </w:r>
      <w:r w:rsidR="002423FB">
        <w:t>the Agency</w:t>
      </w:r>
      <w:r>
        <w:t xml:space="preserve"> in November 2013 when </w:t>
      </w:r>
      <w:r w:rsidR="002423FB">
        <w:t>the Agency adopted the protested r</w:t>
      </w:r>
      <w:r>
        <w:t>ates.</w:t>
      </w:r>
    </w:p>
    <w:p w:rsidR="003221AE" w:rsidRPr="003221AE" w:rsidRDefault="003221AE" w:rsidP="003221AE">
      <w:pPr>
        <w:pStyle w:val="Heading6"/>
      </w:pPr>
      <w:r>
        <w:t>Methodologies for Computation of Revenue Requirement and Rates</w:t>
      </w:r>
    </w:p>
    <w:p w:rsidR="003221AE" w:rsidRDefault="003221AE" w:rsidP="003221AE">
      <w:pPr>
        <w:pStyle w:val="FOFNumbered"/>
      </w:pPr>
      <w:r>
        <w:t xml:space="preserve">The American Water Works Association publishes a manual on water utility rates (M1 Manual), also known as </w:t>
      </w:r>
      <w:r>
        <w:rPr>
          <w:i/>
        </w:rPr>
        <w:t xml:space="preserve">Principles of Water Rates, Fees, and Charges. </w:t>
      </w:r>
      <w:r>
        <w:t xml:space="preserve"> Experts on rate making in the water industry often rely on the M1 Manual for guidance.  According to the M1 Manual, the generally accepted rate-setting methodology includes three categories of analysis:</w:t>
      </w:r>
    </w:p>
    <w:p w:rsidR="003221AE" w:rsidRDefault="003221AE" w:rsidP="003221AE"/>
    <w:p w:rsidR="003221AE" w:rsidRDefault="003221AE" w:rsidP="003221AE">
      <w:pPr>
        <w:pStyle w:val="Quote"/>
        <w:numPr>
          <w:ilvl w:val="1"/>
          <w:numId w:val="27"/>
        </w:numPr>
        <w:spacing w:line="240" w:lineRule="auto"/>
      </w:pPr>
      <w:r>
        <w:t>Revenue Requirement analysis, which compares revenues of the utility to its operating and capital costs to determine the adequacy of existing rates to recover the utility’s costs;</w:t>
      </w:r>
    </w:p>
    <w:p w:rsidR="003221AE" w:rsidRDefault="003221AE" w:rsidP="003221AE"/>
    <w:p w:rsidR="003221AE" w:rsidRDefault="003221AE" w:rsidP="003221AE">
      <w:pPr>
        <w:pStyle w:val="Quote"/>
        <w:numPr>
          <w:ilvl w:val="1"/>
          <w:numId w:val="27"/>
        </w:numPr>
        <w:spacing w:line="240" w:lineRule="auto"/>
      </w:pPr>
      <w:r>
        <w:t>Cost-of-service analysis, which allocates the revenue requirements to the various customer classes of service in a fair and equitable manner; and</w:t>
      </w:r>
    </w:p>
    <w:p w:rsidR="003221AE" w:rsidRDefault="003221AE" w:rsidP="003221AE"/>
    <w:p w:rsidR="003221AE" w:rsidRDefault="003221AE" w:rsidP="003221AE">
      <w:pPr>
        <w:pStyle w:val="Quote"/>
        <w:numPr>
          <w:ilvl w:val="1"/>
          <w:numId w:val="27"/>
        </w:numPr>
        <w:spacing w:line="240" w:lineRule="auto"/>
      </w:pPr>
      <w:r>
        <w:t>Rate design analysis, which considers both the level and structure of the rate design to collect the distributed revenue requirements from each class of service.</w:t>
      </w:r>
    </w:p>
    <w:p w:rsidR="003221AE" w:rsidRDefault="003221AE" w:rsidP="003221AE"/>
    <w:p w:rsidR="003221AE" w:rsidRDefault="003221AE" w:rsidP="003221AE">
      <w:pPr>
        <w:pStyle w:val="FOFNumbered"/>
      </w:pPr>
      <w:r>
        <w:t>The M1 Manual also states that there are two generally accepted approaches for establishing a utility’s revenue requirement: the cash-needs approach and the utility-basis approach.</w:t>
      </w:r>
    </w:p>
    <w:p w:rsidR="003221AE" w:rsidRDefault="00CF6576" w:rsidP="003221AE">
      <w:pPr>
        <w:pStyle w:val="FOFNumbered"/>
      </w:pPr>
      <w:r>
        <w:t>The Agency</w:t>
      </w:r>
      <w:r w:rsidR="003221AE">
        <w:t xml:space="preserve"> used the cash-needs method to determine its re</w:t>
      </w:r>
      <w:r>
        <w:t>venue requirement for both the prior rates and the protested r</w:t>
      </w:r>
      <w:r w:rsidR="003221AE">
        <w:t>ates.</w:t>
      </w:r>
    </w:p>
    <w:p w:rsidR="003221AE" w:rsidRPr="003221AE" w:rsidRDefault="003221AE" w:rsidP="003221AE">
      <w:pPr>
        <w:pStyle w:val="FOFNumbered"/>
      </w:pPr>
      <w:r>
        <w:t>When it computed the rev</w:t>
      </w:r>
      <w:r w:rsidR="00CF6576">
        <w:t>enue requirement for the protested r</w:t>
      </w:r>
      <w:r>
        <w:t xml:space="preserve">ates, </w:t>
      </w:r>
      <w:r w:rsidR="00CF6576">
        <w:t xml:space="preserve">the </w:t>
      </w:r>
      <w:r>
        <w:t>A</w:t>
      </w:r>
      <w:r w:rsidR="00CF6576">
        <w:t>gency</w:t>
      </w:r>
      <w:r>
        <w:t xml:space="preserve"> used the same m</w:t>
      </w:r>
      <w:r w:rsidR="00CF6576">
        <w:t>ethodology it had used for the prior r</w:t>
      </w:r>
      <w:r>
        <w:t>ates.</w:t>
      </w:r>
    </w:p>
    <w:p w:rsidR="003221AE" w:rsidRPr="003221AE" w:rsidRDefault="00090E34" w:rsidP="003221AE">
      <w:pPr>
        <w:pStyle w:val="FOFNumbered"/>
        <w:rPr>
          <w:szCs w:val="24"/>
        </w:rPr>
      </w:pPr>
      <w:r>
        <w:t>The prior r</w:t>
      </w:r>
      <w:r w:rsidR="003221AE">
        <w:t xml:space="preserve">ates included a uniform volume charge of $2.77 per 1,000 gallons for wholesale water services customers that had their own raw water supply, including </w:t>
      </w:r>
      <w:r>
        <w:t>District</w:t>
      </w:r>
      <w:r w:rsidR="003221AE">
        <w:t xml:space="preserve"> 12.  However, the volumetric rate per 1,000 gallons that </w:t>
      </w:r>
      <w:r>
        <w:t>the Agency</w:t>
      </w:r>
      <w:r w:rsidR="003221AE">
        <w:t xml:space="preserve"> charges </w:t>
      </w:r>
      <w:r>
        <w:t>District</w:t>
      </w:r>
      <w:r w:rsidR="003221AE">
        <w:t xml:space="preserve"> 12 under </w:t>
      </w:r>
      <w:r>
        <w:lastRenderedPageBreak/>
        <w:t>the protested r</w:t>
      </w:r>
      <w:r w:rsidR="003221AE">
        <w:t>ates differs from the volumetric rate adopted at the same time for other wholesale customers with their own raw water.</w:t>
      </w:r>
    </w:p>
    <w:p w:rsidR="003221AE" w:rsidRDefault="003221AE" w:rsidP="003221AE">
      <w:pPr>
        <w:pStyle w:val="FOFNumbered"/>
      </w:pPr>
      <w:r>
        <w:t>According to the M1 Manual, a “rate structure” is developed during the rate design analysis and classifies customers, establishes the frequency of billing, and identifies the charges or schedule of charges that each classification of customers will be assessed.</w:t>
      </w:r>
    </w:p>
    <w:p w:rsidR="003221AE" w:rsidRDefault="005A3639" w:rsidP="005A3639">
      <w:pPr>
        <w:pStyle w:val="FOFNumbered"/>
        <w:numPr>
          <w:ilvl w:val="0"/>
          <w:numId w:val="0"/>
        </w:numPr>
        <w:ind w:left="720" w:hanging="720"/>
      </w:pPr>
      <w:r>
        <w:t>68</w:t>
      </w:r>
      <w:proofErr w:type="gramStart"/>
      <w:r>
        <w:t>.A</w:t>
      </w:r>
      <w:proofErr w:type="gramEnd"/>
      <w:r>
        <w:t xml:space="preserve">.  </w:t>
      </w:r>
      <w:r w:rsidR="003221AE">
        <w:t>The Commission’s rules refer to several possible rate structures, including inclining-block</w:t>
      </w:r>
      <w:r>
        <w:t xml:space="preserve"> </w:t>
      </w:r>
      <w:r w:rsidR="003221AE">
        <w:t>and phased or multi-step volumetric rates.  16 Tex. Admin. Code §§ 24.32(b), 24.34(c).</w:t>
      </w:r>
    </w:p>
    <w:p w:rsidR="003221AE" w:rsidRDefault="003221AE" w:rsidP="005A3639">
      <w:pPr>
        <w:pStyle w:val="FOFNumbered"/>
        <w:numPr>
          <w:ilvl w:val="0"/>
          <w:numId w:val="31"/>
        </w:numPr>
      </w:pPr>
      <w:r>
        <w:t xml:space="preserve">A change in the rate structure would reflect a change in rate computation methodology.  </w:t>
      </w:r>
      <w:r w:rsidRPr="005A3639">
        <w:rPr>
          <w:i/>
        </w:rPr>
        <w:t>An Order Denying the Petitions of Navarro County Wholesale Ratepayers, et al. to Review the Wholesale Rate Increase Imposed by the City of Corsicana</w:t>
      </w:r>
      <w:r>
        <w:t xml:space="preserve">, TCEQ Docket No. 2009-1925-UCR, SOAH Docket No. 582-10-1944, Finding of Fact 69 at 12 (Nov. 9, 2011).  </w:t>
      </w:r>
    </w:p>
    <w:p w:rsidR="003221AE" w:rsidRDefault="00DA57D2" w:rsidP="003221AE">
      <w:pPr>
        <w:pStyle w:val="FOFNumbered"/>
      </w:pPr>
      <w:r>
        <w:t>The Agency</w:t>
      </w:r>
      <w:r w:rsidR="003221AE">
        <w:t xml:space="preserve"> used the sa</w:t>
      </w:r>
      <w:r w:rsidR="00090E34">
        <w:t>me rate structure for both the prior rates and the protested r</w:t>
      </w:r>
      <w:r w:rsidR="003221AE">
        <w:t xml:space="preserve">ates it has charged </w:t>
      </w:r>
      <w:r w:rsidR="00090E34">
        <w:t>District</w:t>
      </w:r>
      <w:r w:rsidR="003221AE">
        <w:t xml:space="preserve"> 12.  Both include a flat monthly char</w:t>
      </w:r>
      <w:r w:rsidR="00090E34">
        <w:t>ge, sometimes referred to as a minimum b</w:t>
      </w:r>
      <w:r w:rsidR="003221AE">
        <w:t>ill, and a flat volumetric rate per 1,000 gallons of water used.  The monthly charge was $10,891.65 and now is $8,140.89.  The volumetric rate was $2.77 and now is $2.11 per 1,000 gallons.</w:t>
      </w:r>
    </w:p>
    <w:p w:rsidR="00DA57D2" w:rsidRDefault="00DA57D2" w:rsidP="00DA57D2">
      <w:pPr>
        <w:pStyle w:val="FOFNumbered"/>
        <w:numPr>
          <w:ilvl w:val="0"/>
          <w:numId w:val="0"/>
        </w:numPr>
        <w:ind w:left="720" w:hanging="720"/>
      </w:pPr>
      <w:r>
        <w:t>70</w:t>
      </w:r>
      <w:proofErr w:type="gramStart"/>
      <w:r>
        <w:t>.A</w:t>
      </w:r>
      <w:proofErr w:type="gramEnd"/>
      <w:r>
        <w:t>.  The Agency used the same methodology to compute its revenue requirement for the prior rates and the pro</w:t>
      </w:r>
      <w:r w:rsidR="006304E9">
        <w:t>test</w:t>
      </w:r>
      <w:r>
        <w:t xml:space="preserve">ed rates. </w:t>
      </w:r>
    </w:p>
    <w:p w:rsidR="003221AE" w:rsidRDefault="003221AE" w:rsidP="003221AE">
      <w:pPr>
        <w:pStyle w:val="FOFNumbered"/>
      </w:pPr>
      <w:r>
        <w:t xml:space="preserve">The evidence does not show that </w:t>
      </w:r>
      <w:r w:rsidR="00090E34">
        <w:t xml:space="preserve">the </w:t>
      </w:r>
      <w:r>
        <w:t>A</w:t>
      </w:r>
      <w:r w:rsidR="00090E34">
        <w:t>gency</w:t>
      </w:r>
      <w:r>
        <w:t xml:space="preserve"> changed its rate computation m</w:t>
      </w:r>
      <w:r w:rsidR="00090E34">
        <w:t>ethodology when it adopted the protested r</w:t>
      </w:r>
      <w:r>
        <w:t>ates.</w:t>
      </w:r>
    </w:p>
    <w:p w:rsidR="003221AE" w:rsidRPr="003221AE" w:rsidRDefault="003221AE" w:rsidP="003221AE">
      <w:pPr>
        <w:pStyle w:val="Heading6"/>
      </w:pPr>
      <w:r>
        <w:t xml:space="preserve">Evidence Does Not Show That </w:t>
      </w:r>
      <w:r w:rsidR="00090E34">
        <w:t>the Agency</w:t>
      </w:r>
      <w:r>
        <w:t xml:space="preserve"> Has Abused Monopoly Power</w:t>
      </w:r>
    </w:p>
    <w:p w:rsidR="003221AE" w:rsidRDefault="003221AE" w:rsidP="003221AE">
      <w:pPr>
        <w:pStyle w:val="FOFNumbered"/>
      </w:pPr>
      <w:r>
        <w:t xml:space="preserve">The evidence does not show that there is a barrier to </w:t>
      </w:r>
      <w:r w:rsidR="00090E34">
        <w:t>District</w:t>
      </w:r>
      <w:r>
        <w:t xml:space="preserve"> 12’s entry into the field to provide itself with water treatment service.  Accordingly, </w:t>
      </w:r>
      <w:r w:rsidR="00090E34">
        <w:t>the Agency</w:t>
      </w:r>
      <w:r>
        <w:t xml:space="preserve"> does not exercise sole control over the market for water treatment services.</w:t>
      </w:r>
    </w:p>
    <w:p w:rsidR="003221AE" w:rsidRDefault="00090E34" w:rsidP="003221AE">
      <w:pPr>
        <w:pStyle w:val="FOFNumbered"/>
      </w:pPr>
      <w:r>
        <w:t>District</w:t>
      </w:r>
      <w:r w:rsidR="003221AE">
        <w:t xml:space="preserve"> 12 failed to prove that building its own facilities to serve itself was or is prohibitively expensive.</w:t>
      </w:r>
    </w:p>
    <w:p w:rsidR="003221AE" w:rsidRDefault="00090E34" w:rsidP="003221AE">
      <w:pPr>
        <w:pStyle w:val="FOFNumbered"/>
      </w:pPr>
      <w:r>
        <w:lastRenderedPageBreak/>
        <w:t>The protested r</w:t>
      </w:r>
      <w:r w:rsidR="003221AE">
        <w:t xml:space="preserve">ates about which </w:t>
      </w:r>
      <w:r>
        <w:t>District</w:t>
      </w:r>
      <w:r w:rsidR="003221AE">
        <w:t xml:space="preserve"> 12 complai</w:t>
      </w:r>
      <w:r>
        <w:t>ns are actually lower than the prior r</w:t>
      </w:r>
      <w:r w:rsidR="003221AE">
        <w:t xml:space="preserve">ates it paid </w:t>
      </w:r>
      <w:r>
        <w:t>the Agency</w:t>
      </w:r>
      <w:r w:rsidR="003221AE">
        <w:t xml:space="preserve">.  </w:t>
      </w:r>
      <w:r>
        <w:t>District</w:t>
      </w:r>
      <w:r w:rsidR="003221AE">
        <w:t xml:space="preserve"> 12’s monthly charge decreased from $10,891.65 to $8,140.89, and its volumetric rate decreased from $2.77 to $2.11 per 1,000 gallons.</w:t>
      </w:r>
    </w:p>
    <w:p w:rsidR="003221AE" w:rsidRDefault="00090E34" w:rsidP="003221AE">
      <w:pPr>
        <w:pStyle w:val="FOFNumbered"/>
      </w:pPr>
      <w:r>
        <w:t>The protested r</w:t>
      </w:r>
      <w:r w:rsidR="003221AE">
        <w:t>at</w:t>
      </w:r>
      <w:r>
        <w:t>es are actually lower than the initial r</w:t>
      </w:r>
      <w:r w:rsidR="003221AE">
        <w:t xml:space="preserve">ates that </w:t>
      </w:r>
      <w:r>
        <w:t>District</w:t>
      </w:r>
      <w:r w:rsidR="009B422E">
        <w:t xml:space="preserve"> 12 agreed to pay in the water services a</w:t>
      </w:r>
      <w:r w:rsidR="003221AE">
        <w:t>greement: a monthly charge of $9,430 and a volumetric rate of $2.40 per 1,000 gallons.</w:t>
      </w:r>
    </w:p>
    <w:p w:rsidR="003221AE" w:rsidRDefault="002F36C4" w:rsidP="003221AE">
      <w:pPr>
        <w:pStyle w:val="FOFNumbered"/>
      </w:pPr>
      <w:r>
        <w:t>The Agency</w:t>
      </w:r>
      <w:r w:rsidR="00661B96">
        <w:t>’s lowering of the protested r</w:t>
      </w:r>
      <w:r w:rsidR="003221AE">
        <w:t>ates indicates it has not abused an</w:t>
      </w:r>
      <w:r w:rsidR="00661B96">
        <w:t>y power it might have over District</w:t>
      </w:r>
      <w:r w:rsidR="003221AE">
        <w:t xml:space="preserve"> 12.</w:t>
      </w:r>
    </w:p>
    <w:p w:rsidR="003221AE" w:rsidRPr="003221AE" w:rsidRDefault="003221AE" w:rsidP="003221AE">
      <w:pPr>
        <w:pStyle w:val="Heading6"/>
      </w:pPr>
      <w:r>
        <w:t>Transcript</w:t>
      </w:r>
    </w:p>
    <w:p w:rsidR="003221AE" w:rsidRDefault="003221AE" w:rsidP="003221AE">
      <w:pPr>
        <w:pStyle w:val="FOFNumbered"/>
      </w:pPr>
      <w:r>
        <w:t xml:space="preserve">The cost of the original transcript and copies for the ALJ and </w:t>
      </w:r>
      <w:r w:rsidR="00661B96">
        <w:t>the Commission</w:t>
      </w:r>
      <w:r>
        <w:t xml:space="preserve"> was $3,545.36, which </w:t>
      </w:r>
      <w:r w:rsidR="00661B96">
        <w:t>District</w:t>
      </w:r>
      <w:r>
        <w:t xml:space="preserve"> 12 paid.  </w:t>
      </w:r>
      <w:r w:rsidR="00661B96">
        <w:t>District</w:t>
      </w:r>
      <w:r>
        <w:t xml:space="preserve"> 12 requests that each party to this case, with the exception of </w:t>
      </w:r>
      <w:r w:rsidR="00661B96">
        <w:t>Commission</w:t>
      </w:r>
      <w:r>
        <w:t xml:space="preserve"> Staff, be allocated an equal share of that transcription costs, $709.07 each.</w:t>
      </w:r>
    </w:p>
    <w:p w:rsidR="003221AE" w:rsidRPr="003221AE" w:rsidRDefault="003221AE" w:rsidP="003221AE">
      <w:pPr>
        <w:pStyle w:val="Heading1"/>
        <w:numPr>
          <w:ilvl w:val="0"/>
          <w:numId w:val="25"/>
        </w:numPr>
      </w:pPr>
      <w:r>
        <w:t>Conclusions of Law</w:t>
      </w:r>
    </w:p>
    <w:p w:rsidR="003221AE" w:rsidRPr="003221AE" w:rsidRDefault="003221AE" w:rsidP="003221AE">
      <w:pPr>
        <w:pStyle w:val="Heading6"/>
      </w:pPr>
      <w:r>
        <w:t>Jurisdiction</w:t>
      </w:r>
    </w:p>
    <w:p w:rsidR="003221AE" w:rsidRDefault="003221AE" w:rsidP="003221AE">
      <w:pPr>
        <w:pStyle w:val="COLNumbered"/>
        <w:ind w:left="720" w:hanging="720"/>
      </w:pPr>
      <w:r>
        <w:t xml:space="preserve">The Commission has jurisdiction over </w:t>
      </w:r>
      <w:r w:rsidR="00661B96">
        <w:t>District</w:t>
      </w:r>
      <w:r>
        <w:t xml:space="preserve"> 12’s petition.  Tex. Water Code §§ 13.002 (21), (25)</w:t>
      </w:r>
      <w:proofErr w:type="gramStart"/>
      <w:r>
        <w:t xml:space="preserve">, </w:t>
      </w:r>
      <w:r w:rsidR="00661B96">
        <w:t xml:space="preserve"> and</w:t>
      </w:r>
      <w:proofErr w:type="gramEnd"/>
      <w:r w:rsidR="00661B96">
        <w:t xml:space="preserve"> 13</w:t>
      </w:r>
      <w:r>
        <w:t>.043(f).</w:t>
      </w:r>
    </w:p>
    <w:p w:rsidR="003221AE" w:rsidRPr="003221AE" w:rsidRDefault="003221AE" w:rsidP="003221AE">
      <w:pPr>
        <w:pStyle w:val="Heading6"/>
      </w:pPr>
      <w:r>
        <w:t>Burden Of Proof</w:t>
      </w:r>
    </w:p>
    <w:p w:rsidR="003221AE" w:rsidRDefault="00661B96" w:rsidP="003221AE">
      <w:pPr>
        <w:pStyle w:val="COLNumbered"/>
        <w:ind w:left="720" w:hanging="720"/>
      </w:pPr>
      <w:r>
        <w:t xml:space="preserve">District </w:t>
      </w:r>
      <w:r w:rsidR="003221AE">
        <w:t xml:space="preserve">12 has </w:t>
      </w:r>
      <w:r>
        <w:t>the burden of proving that the protested r</w:t>
      </w:r>
      <w:r w:rsidR="003221AE">
        <w:t>ates are adverse to the public interest.  16 Tex. Admin. Code § 24.136.</w:t>
      </w:r>
    </w:p>
    <w:p w:rsidR="003221AE" w:rsidRPr="003221AE" w:rsidRDefault="003221AE" w:rsidP="003221AE">
      <w:pPr>
        <w:pStyle w:val="Heading6"/>
      </w:pPr>
      <w:r>
        <w:t>Requirement for an Initial Public Interest Determination</w:t>
      </w:r>
    </w:p>
    <w:p w:rsidR="003221AE" w:rsidRDefault="003221AE" w:rsidP="003221AE">
      <w:pPr>
        <w:pStyle w:val="COLNumbered"/>
        <w:ind w:left="720" w:hanging="720"/>
      </w:pPr>
      <w:r>
        <w:t xml:space="preserve">The Commission has adopted rules to govern petitions and appeals concerning wholesale water and sewer service.  16 Tex. Admin. Code </w:t>
      </w:r>
      <w:proofErr w:type="spellStart"/>
      <w:r>
        <w:t>ch.</w:t>
      </w:r>
      <w:proofErr w:type="spellEnd"/>
      <w:r>
        <w:t xml:space="preserve"> 24, </w:t>
      </w:r>
      <w:proofErr w:type="spellStart"/>
      <w:r>
        <w:t>subch</w:t>
      </w:r>
      <w:proofErr w:type="spellEnd"/>
      <w:r>
        <w:t>. I.  The rules set forth substantive guidelines and procedural requirements concerning an appeal pursuant to Texas Water Code §13.043(f).  16 Tex. Admin. Code § 24.128(2).</w:t>
      </w:r>
    </w:p>
    <w:p w:rsidR="003221AE" w:rsidRPr="003221AE" w:rsidRDefault="003221AE" w:rsidP="003221AE">
      <w:pPr>
        <w:pStyle w:val="COLNumbered"/>
        <w:ind w:left="720" w:hanging="720"/>
      </w:pPr>
      <w:r>
        <w:lastRenderedPageBreak/>
        <w:t>If the Commission determines the protested rate</w:t>
      </w:r>
      <w:r w:rsidR="00661B96">
        <w:t>s do</w:t>
      </w:r>
      <w:r>
        <w:t xml:space="preserve"> not adversely affect the public interest, the Commission will deny the petition or appeal by final order.  16 Tex. Admin. Code § 24.134(a).</w:t>
      </w:r>
    </w:p>
    <w:p w:rsidR="003221AE" w:rsidRPr="003221AE" w:rsidRDefault="003221AE" w:rsidP="003221AE">
      <w:pPr>
        <w:pStyle w:val="COLNumbered"/>
        <w:ind w:left="720" w:hanging="720"/>
        <w:rPr>
          <w:szCs w:val="24"/>
        </w:rPr>
      </w:pPr>
      <w:r>
        <w:t>The Commission has adopted a rule (</w:t>
      </w:r>
      <w:r w:rsidR="00661B96">
        <w:t>the public interest r</w:t>
      </w:r>
      <w:r>
        <w:t>ule) specifying how it will determine if a protested rate adversely affects the public interest.  16 Tex. Admin. Code § 24.133.</w:t>
      </w:r>
    </w:p>
    <w:p w:rsidR="003221AE" w:rsidRDefault="003221AE" w:rsidP="003221AE">
      <w:pPr>
        <w:pStyle w:val="COLNumbered"/>
        <w:ind w:left="720" w:hanging="720"/>
      </w:pPr>
      <w:r>
        <w:t>The cash-needs method is one of the methods used to calculate revenue requirement.  16 Tex. Admin. Code §§ 24.34(c), .129(3), .135(b).</w:t>
      </w:r>
    </w:p>
    <w:p w:rsidR="003221AE" w:rsidRDefault="00661B96" w:rsidP="003221AE">
      <w:pPr>
        <w:pStyle w:val="COLNumbered"/>
        <w:ind w:left="720" w:hanging="720"/>
      </w:pPr>
      <w:r>
        <w:t>The Agency</w:t>
      </w:r>
      <w:r w:rsidR="003221AE">
        <w:t xml:space="preserve"> used the </w:t>
      </w:r>
      <w:r>
        <w:t>cash-needs method for both the prior rates and protested r</w:t>
      </w:r>
      <w:r w:rsidR="003221AE">
        <w:t>ates.</w:t>
      </w:r>
    </w:p>
    <w:p w:rsidR="003221AE" w:rsidRDefault="00661B96" w:rsidP="003221AE">
      <w:pPr>
        <w:pStyle w:val="COLNumbered"/>
        <w:ind w:left="720" w:hanging="720"/>
      </w:pPr>
      <w:r>
        <w:t>The Agency</w:t>
      </w:r>
      <w:r w:rsidR="003221AE">
        <w:t xml:space="preserve"> used the same methodology to compute </w:t>
      </w:r>
      <w:r>
        <w:t xml:space="preserve">both </w:t>
      </w:r>
      <w:r w:rsidR="003221AE">
        <w:t xml:space="preserve">the </w:t>
      </w:r>
      <w:r>
        <w:t>p</w:t>
      </w:r>
      <w:r w:rsidR="003221AE">
        <w:t xml:space="preserve">rior </w:t>
      </w:r>
      <w:r>
        <w:t>r</w:t>
      </w:r>
      <w:r w:rsidR="003221AE">
        <w:t xml:space="preserve">ates and </w:t>
      </w:r>
      <w:r>
        <w:t>protested r</w:t>
      </w:r>
      <w:r w:rsidR="003221AE">
        <w:t>ates: a monthly fee and a flat volumetric rate.</w:t>
      </w:r>
    </w:p>
    <w:p w:rsidR="003221AE" w:rsidRDefault="00661B96" w:rsidP="003221AE">
      <w:pPr>
        <w:pStyle w:val="COLNumbered"/>
        <w:ind w:left="720" w:hanging="720"/>
      </w:pPr>
      <w:r>
        <w:t>District</w:t>
      </w:r>
      <w:r w:rsidR="003221AE">
        <w:t xml:space="preserve"> 12 failed to prove that </w:t>
      </w:r>
      <w:r>
        <w:t>the Agency</w:t>
      </w:r>
      <w:r w:rsidR="003221AE">
        <w:t xml:space="preserve"> has, or LCRA previously had, disparately greater bargaining power than D</w:t>
      </w:r>
      <w:r>
        <w:t>istrict</w:t>
      </w:r>
      <w:r w:rsidR="003221AE">
        <w:t xml:space="preserve"> 12.</w:t>
      </w:r>
    </w:p>
    <w:p w:rsidR="003221AE" w:rsidRDefault="003221AE" w:rsidP="003221AE">
      <w:pPr>
        <w:pStyle w:val="COLNumbered"/>
        <w:ind w:left="720" w:hanging="720"/>
      </w:pPr>
      <w:r>
        <w:t>D</w:t>
      </w:r>
      <w:r w:rsidR="00661B96">
        <w:t>istrict</w:t>
      </w:r>
      <w:r>
        <w:t xml:space="preserve"> 12 failed to prove that </w:t>
      </w:r>
      <w:r w:rsidR="00661B96">
        <w:t>the Agency</w:t>
      </w:r>
      <w:r>
        <w:t xml:space="preserve"> changed its methodology for computing its revenue requirement or rates when it adopted the </w:t>
      </w:r>
      <w:r w:rsidR="00661B96">
        <w:t>p</w:t>
      </w:r>
      <w:r>
        <w:t xml:space="preserve">rotested </w:t>
      </w:r>
      <w:r w:rsidR="00661B96">
        <w:t>r</w:t>
      </w:r>
      <w:r>
        <w:t>ates.</w:t>
      </w:r>
    </w:p>
    <w:p w:rsidR="003221AE" w:rsidRDefault="00661B96" w:rsidP="003221AE">
      <w:pPr>
        <w:pStyle w:val="COLNumbered"/>
        <w:ind w:left="720" w:hanging="720"/>
      </w:pPr>
      <w:r>
        <w:t>District</w:t>
      </w:r>
      <w:r w:rsidR="003221AE">
        <w:t xml:space="preserve"> 12 failed to prove that </w:t>
      </w:r>
      <w:r>
        <w:t>the Agency</w:t>
      </w:r>
      <w:r w:rsidR="003221AE">
        <w:t xml:space="preserve"> had, much less abused, mono</w:t>
      </w:r>
      <w:r>
        <w:t>poly power when it adopted the p</w:t>
      </w:r>
      <w:r w:rsidR="003221AE">
        <w:t xml:space="preserve">rotested </w:t>
      </w:r>
      <w:r>
        <w:t>r</w:t>
      </w:r>
      <w:r w:rsidR="003221AE">
        <w:t>ates.</w:t>
      </w:r>
    </w:p>
    <w:p w:rsidR="003221AE" w:rsidRDefault="00661B96" w:rsidP="003221AE">
      <w:pPr>
        <w:pStyle w:val="COLNumbered"/>
        <w:ind w:left="720" w:hanging="720"/>
      </w:pPr>
      <w:r>
        <w:t>District 12 failed to prove that the protested r</w:t>
      </w:r>
      <w:r w:rsidR="003221AE">
        <w:t>ates adversely affect the public interest.</w:t>
      </w:r>
    </w:p>
    <w:p w:rsidR="003221AE" w:rsidRDefault="00661B96" w:rsidP="003221AE">
      <w:pPr>
        <w:pStyle w:val="COLNumbered"/>
        <w:ind w:left="720" w:hanging="720"/>
      </w:pPr>
      <w:r>
        <w:t>District</w:t>
      </w:r>
      <w:r w:rsidR="003221AE">
        <w:t xml:space="preserve"> 12’s peti</w:t>
      </w:r>
      <w:r>
        <w:t>tion appealing the p</w:t>
      </w:r>
      <w:r w:rsidR="003221AE">
        <w:t xml:space="preserve">rotested </w:t>
      </w:r>
      <w:r>
        <w:t>r</w:t>
      </w:r>
      <w:r w:rsidR="003221AE">
        <w:t xml:space="preserve">ates </w:t>
      </w:r>
      <w:r>
        <w:t>the Agency</w:t>
      </w:r>
      <w:r w:rsidR="003221AE">
        <w:t xml:space="preserve"> charges should be denied and dismissed with prejudice to refiling.</w:t>
      </w:r>
    </w:p>
    <w:p w:rsidR="003221AE" w:rsidRDefault="003221AE" w:rsidP="003221AE">
      <w:pPr>
        <w:pStyle w:val="COLNumbered"/>
        <w:ind w:left="720" w:hanging="720"/>
      </w:pPr>
      <w:r>
        <w:t>Nothing in chapter 13 of the Texas Water Code; the Public Utility Regulatory Act; or the Commission’s rules authorizes the Commission to allocate transcript costs among the parties.</w:t>
      </w:r>
    </w:p>
    <w:p w:rsidR="003221AE" w:rsidRDefault="00726F9A" w:rsidP="003221AE">
      <w:pPr>
        <w:pStyle w:val="COLNumbered"/>
        <w:ind w:left="720" w:hanging="720"/>
      </w:pPr>
      <w:r>
        <w:t xml:space="preserve">District </w:t>
      </w:r>
      <w:r w:rsidR="003221AE">
        <w:t xml:space="preserve">12’s request that each party to this case, with the exception of </w:t>
      </w:r>
      <w:r>
        <w:t>Commission</w:t>
      </w:r>
      <w:r w:rsidR="003221AE">
        <w:t xml:space="preserve"> Staff, be allocated an equal share of the transcription costs should be denied.</w:t>
      </w:r>
    </w:p>
    <w:p w:rsidR="00114E49" w:rsidRDefault="00114E49" w:rsidP="00114E49">
      <w:pPr>
        <w:pStyle w:val="Heading1"/>
        <w:numPr>
          <w:ilvl w:val="0"/>
          <w:numId w:val="25"/>
        </w:numPr>
      </w:pPr>
      <w:r>
        <w:lastRenderedPageBreak/>
        <w:t>Ordering Paragraphs</w:t>
      </w:r>
    </w:p>
    <w:p w:rsidR="00114E49" w:rsidRPr="00114E49" w:rsidRDefault="00114E49" w:rsidP="00114E49">
      <w:pPr>
        <w:pStyle w:val="BodyText"/>
      </w:pPr>
      <w:r w:rsidRPr="00114E49">
        <w:t>In accordance with the above findings of fact and conclusions of law, the Commission issues the following Orders:</w:t>
      </w:r>
    </w:p>
    <w:p w:rsidR="00114E49" w:rsidRDefault="00BC1D4B" w:rsidP="00114E49">
      <w:pPr>
        <w:pStyle w:val="OrderingNumbered"/>
        <w:ind w:hanging="720"/>
      </w:pPr>
      <w:r>
        <w:t>District 12</w:t>
      </w:r>
      <w:r w:rsidR="00114E49">
        <w:t xml:space="preserve">’s petition to review the wholesale water rates implemented by the Agency is denied </w:t>
      </w:r>
      <w:r w:rsidR="00726F9A">
        <w:t xml:space="preserve">and dismissed </w:t>
      </w:r>
      <w:r w:rsidR="00114E49">
        <w:t>with prejudice to refiling.</w:t>
      </w:r>
    </w:p>
    <w:p w:rsidR="00114E49" w:rsidRDefault="00114E49" w:rsidP="00114E49">
      <w:pPr>
        <w:pStyle w:val="OrderingNumbered"/>
        <w:ind w:hanging="720"/>
      </w:pPr>
      <w:r>
        <w:t>All other motions, requests for entry of specific findings of fact or conclusions of law, and any other requests for general or specific relief, if not expressly granted herein, are denied.</w:t>
      </w:r>
    </w:p>
    <w:p w:rsidR="00114E49" w:rsidRPr="00114E49" w:rsidRDefault="00114E49" w:rsidP="00114E49">
      <w:pPr>
        <w:pStyle w:val="OrderingNumbered"/>
        <w:ind w:hanging="720"/>
      </w:pPr>
      <w:r>
        <w:t>The effective date of this order is the effective date the Order is final, as provided by Texas Government Code § 2001.144.</w:t>
      </w:r>
    </w:p>
    <w:p w:rsidR="00114E49" w:rsidRDefault="00114E49" w:rsidP="006920F0">
      <w:pPr>
        <w:keepNext/>
        <w:ind w:firstLine="720"/>
        <w:rPr>
          <w:b/>
        </w:rPr>
      </w:pPr>
    </w:p>
    <w:p w:rsidR="00967322" w:rsidRDefault="00967322" w:rsidP="006920F0">
      <w:pPr>
        <w:keepNext/>
        <w:ind w:firstLine="720"/>
        <w:rPr>
          <w:b/>
        </w:rPr>
      </w:pPr>
      <w:r>
        <w:rPr>
          <w:b/>
        </w:rPr>
        <w:t xml:space="preserve">SIGNED AT AUSTIN, TEXAS the </w:t>
      </w:r>
      <w:r>
        <w:t xml:space="preserve">______ </w:t>
      </w:r>
      <w:r>
        <w:rPr>
          <w:b/>
        </w:rPr>
        <w:t xml:space="preserve">day of </w:t>
      </w:r>
      <w:r w:rsidR="00703E75">
        <w:rPr>
          <w:b/>
        </w:rPr>
        <w:t>November</w:t>
      </w:r>
      <w:r w:rsidRPr="001F7869">
        <w:rPr>
          <w:b/>
        </w:rPr>
        <w:t xml:space="preserve"> </w:t>
      </w:r>
      <w:r w:rsidR="00703E75">
        <w:rPr>
          <w:b/>
        </w:rPr>
        <w:t>2015</w:t>
      </w:r>
    </w:p>
    <w:p w:rsidR="00967322" w:rsidRDefault="00967322">
      <w:pPr>
        <w:keepNext/>
        <w:tabs>
          <w:tab w:val="left" w:pos="3600"/>
        </w:tabs>
      </w:pPr>
    </w:p>
    <w:p w:rsidR="008F66B2" w:rsidRPr="008F66B2" w:rsidRDefault="008F66B2" w:rsidP="006920F0">
      <w:pPr>
        <w:pStyle w:val="BodyText"/>
        <w:keepNext/>
        <w:ind w:left="3510" w:firstLine="0"/>
        <w:rPr>
          <w:b/>
          <w:szCs w:val="24"/>
        </w:rPr>
      </w:pPr>
      <w:r w:rsidRPr="008F66B2">
        <w:rPr>
          <w:b/>
        </w:rPr>
        <w:t>PUBLIC UTILITY COMMISSION OF TEXAS</w:t>
      </w:r>
    </w:p>
    <w:p w:rsidR="008F66B2" w:rsidRDefault="008F66B2" w:rsidP="008F66B2">
      <w:pPr>
        <w:keepNext/>
        <w:tabs>
          <w:tab w:val="left" w:pos="2880"/>
          <w:tab w:val="left" w:pos="8640"/>
        </w:tabs>
        <w:rPr>
          <w:b/>
          <w:szCs w:val="24"/>
        </w:rPr>
      </w:pPr>
    </w:p>
    <w:p w:rsidR="00FD6764" w:rsidRDefault="00FD6764" w:rsidP="008F66B2">
      <w:pPr>
        <w:keepNext/>
        <w:tabs>
          <w:tab w:val="left" w:pos="2880"/>
          <w:tab w:val="left" w:pos="8640"/>
        </w:tabs>
        <w:rPr>
          <w:b/>
          <w:szCs w:val="24"/>
        </w:rPr>
      </w:pPr>
    </w:p>
    <w:p w:rsidR="001F7869" w:rsidRDefault="001F7869" w:rsidP="008F66B2">
      <w:pPr>
        <w:keepNext/>
        <w:tabs>
          <w:tab w:val="left" w:pos="2880"/>
          <w:tab w:val="left" w:pos="8640"/>
        </w:tabs>
        <w:rPr>
          <w:b/>
          <w:szCs w:val="24"/>
        </w:rPr>
      </w:pPr>
    </w:p>
    <w:p w:rsidR="008F66B2" w:rsidRPr="00423FED" w:rsidRDefault="00FD6764" w:rsidP="006920F0">
      <w:pPr>
        <w:keepNext/>
        <w:tabs>
          <w:tab w:val="left" w:pos="3510"/>
          <w:tab w:val="left" w:pos="8370"/>
        </w:tabs>
        <w:rPr>
          <w:b/>
          <w:szCs w:val="24"/>
        </w:rPr>
      </w:pPr>
      <w:r>
        <w:rPr>
          <w:b/>
          <w:szCs w:val="24"/>
        </w:rPr>
        <w:tab/>
      </w:r>
      <w:r w:rsidR="008F66B2" w:rsidRPr="00423FED">
        <w:rPr>
          <w:b/>
          <w:szCs w:val="24"/>
          <w:u w:val="single"/>
        </w:rPr>
        <w:tab/>
      </w:r>
      <w:r w:rsidR="006920F0">
        <w:rPr>
          <w:b/>
          <w:szCs w:val="24"/>
          <w:u w:val="single"/>
        </w:rPr>
        <w:t>______</w:t>
      </w:r>
    </w:p>
    <w:p w:rsidR="008F66B2" w:rsidRPr="00423FED" w:rsidRDefault="008F66B2" w:rsidP="006920F0">
      <w:pPr>
        <w:keepNext/>
        <w:tabs>
          <w:tab w:val="left" w:pos="3510"/>
          <w:tab w:val="left" w:pos="8640"/>
        </w:tabs>
        <w:rPr>
          <w:b/>
          <w:szCs w:val="24"/>
        </w:rPr>
      </w:pPr>
      <w:r w:rsidRPr="00423FED">
        <w:rPr>
          <w:b/>
          <w:szCs w:val="24"/>
        </w:rPr>
        <w:tab/>
      </w:r>
      <w:r w:rsidR="002868A2">
        <w:rPr>
          <w:b/>
          <w:szCs w:val="24"/>
        </w:rPr>
        <w:t>DONNA L. NELSON</w:t>
      </w:r>
      <w:r w:rsidR="00680DE9">
        <w:rPr>
          <w:b/>
          <w:szCs w:val="24"/>
        </w:rPr>
        <w:t>, CHAIRMAN</w:t>
      </w:r>
    </w:p>
    <w:p w:rsidR="008F66B2" w:rsidRDefault="008F66B2" w:rsidP="008F66B2">
      <w:pPr>
        <w:keepNext/>
        <w:tabs>
          <w:tab w:val="left" w:pos="2880"/>
          <w:tab w:val="left" w:pos="8640"/>
        </w:tabs>
        <w:rPr>
          <w:b/>
          <w:szCs w:val="24"/>
        </w:rPr>
      </w:pPr>
    </w:p>
    <w:p w:rsidR="008F66B2" w:rsidRDefault="008F66B2" w:rsidP="008F66B2">
      <w:pPr>
        <w:keepNext/>
        <w:tabs>
          <w:tab w:val="left" w:pos="2880"/>
          <w:tab w:val="left" w:pos="8640"/>
        </w:tabs>
        <w:rPr>
          <w:b/>
          <w:szCs w:val="24"/>
        </w:rPr>
      </w:pPr>
    </w:p>
    <w:p w:rsidR="008F66B2" w:rsidRDefault="008F66B2" w:rsidP="008F66B2">
      <w:pPr>
        <w:keepNext/>
        <w:tabs>
          <w:tab w:val="left" w:pos="2880"/>
          <w:tab w:val="left" w:pos="8640"/>
        </w:tabs>
        <w:rPr>
          <w:b/>
          <w:szCs w:val="24"/>
        </w:rPr>
      </w:pPr>
    </w:p>
    <w:p w:rsidR="008F66B2" w:rsidRPr="007E66D7" w:rsidRDefault="008F66B2" w:rsidP="006920F0">
      <w:pPr>
        <w:keepNext/>
        <w:tabs>
          <w:tab w:val="left" w:pos="3510"/>
          <w:tab w:val="left" w:pos="8370"/>
        </w:tabs>
        <w:rPr>
          <w:b/>
          <w:szCs w:val="24"/>
        </w:rPr>
      </w:pPr>
      <w:r>
        <w:rPr>
          <w:b/>
          <w:szCs w:val="24"/>
        </w:rPr>
        <w:tab/>
      </w:r>
      <w:r>
        <w:rPr>
          <w:b/>
          <w:szCs w:val="24"/>
          <w:u w:val="single"/>
        </w:rPr>
        <w:tab/>
      </w:r>
      <w:r w:rsidR="006920F0">
        <w:rPr>
          <w:b/>
          <w:szCs w:val="24"/>
          <w:u w:val="single"/>
        </w:rPr>
        <w:t>______</w:t>
      </w:r>
    </w:p>
    <w:p w:rsidR="008F66B2" w:rsidRDefault="008F66B2" w:rsidP="006920F0">
      <w:pPr>
        <w:keepNext/>
        <w:tabs>
          <w:tab w:val="left" w:pos="3510"/>
          <w:tab w:val="left" w:pos="8640"/>
        </w:tabs>
        <w:rPr>
          <w:b/>
          <w:szCs w:val="24"/>
        </w:rPr>
      </w:pPr>
      <w:r w:rsidRPr="00423FED">
        <w:rPr>
          <w:b/>
          <w:szCs w:val="24"/>
        </w:rPr>
        <w:tab/>
      </w:r>
      <w:r w:rsidR="002A1501">
        <w:rPr>
          <w:b/>
          <w:szCs w:val="24"/>
        </w:rPr>
        <w:t>KENNETH W. ANDERSON, JR.</w:t>
      </w:r>
      <w:r w:rsidR="00C36161">
        <w:rPr>
          <w:b/>
          <w:szCs w:val="24"/>
        </w:rPr>
        <w:t>, COMMISSIONER</w:t>
      </w:r>
    </w:p>
    <w:p w:rsidR="00F46A0E" w:rsidRDefault="00F46A0E" w:rsidP="008F66B2">
      <w:pPr>
        <w:keepNext/>
        <w:tabs>
          <w:tab w:val="left" w:pos="2880"/>
          <w:tab w:val="left" w:pos="8640"/>
        </w:tabs>
        <w:rPr>
          <w:b/>
          <w:szCs w:val="24"/>
        </w:rPr>
      </w:pPr>
    </w:p>
    <w:p w:rsidR="00F46A0E" w:rsidRDefault="00F46A0E" w:rsidP="00F46A0E">
      <w:pPr>
        <w:keepNext/>
        <w:tabs>
          <w:tab w:val="left" w:pos="2880"/>
          <w:tab w:val="left" w:pos="8640"/>
        </w:tabs>
        <w:rPr>
          <w:b/>
          <w:szCs w:val="24"/>
        </w:rPr>
      </w:pPr>
    </w:p>
    <w:p w:rsidR="00F46A0E" w:rsidRDefault="00F46A0E" w:rsidP="00F46A0E">
      <w:pPr>
        <w:keepNext/>
        <w:tabs>
          <w:tab w:val="left" w:pos="2880"/>
          <w:tab w:val="left" w:pos="8640"/>
        </w:tabs>
        <w:rPr>
          <w:b/>
          <w:szCs w:val="24"/>
        </w:rPr>
      </w:pPr>
    </w:p>
    <w:p w:rsidR="00F46A0E" w:rsidRPr="007E66D7" w:rsidRDefault="00F46A0E" w:rsidP="006920F0">
      <w:pPr>
        <w:keepNext/>
        <w:tabs>
          <w:tab w:val="left" w:pos="3510"/>
          <w:tab w:val="left" w:pos="8370"/>
        </w:tabs>
        <w:rPr>
          <w:b/>
          <w:szCs w:val="24"/>
        </w:rPr>
      </w:pPr>
      <w:r>
        <w:rPr>
          <w:b/>
          <w:szCs w:val="24"/>
        </w:rPr>
        <w:tab/>
      </w:r>
      <w:r>
        <w:rPr>
          <w:b/>
          <w:szCs w:val="24"/>
          <w:u w:val="single"/>
        </w:rPr>
        <w:tab/>
      </w:r>
      <w:r w:rsidR="006920F0">
        <w:rPr>
          <w:b/>
          <w:szCs w:val="24"/>
          <w:u w:val="single"/>
        </w:rPr>
        <w:t>______</w:t>
      </w:r>
    </w:p>
    <w:p w:rsidR="00F46A0E" w:rsidRDefault="00F46A0E" w:rsidP="006920F0">
      <w:pPr>
        <w:keepNext/>
        <w:tabs>
          <w:tab w:val="left" w:pos="3510"/>
          <w:tab w:val="left" w:pos="8640"/>
        </w:tabs>
        <w:rPr>
          <w:b/>
          <w:szCs w:val="24"/>
        </w:rPr>
      </w:pPr>
      <w:r w:rsidRPr="00423FED">
        <w:rPr>
          <w:b/>
          <w:szCs w:val="24"/>
        </w:rPr>
        <w:tab/>
      </w:r>
      <w:r w:rsidR="0010502B">
        <w:rPr>
          <w:b/>
          <w:szCs w:val="24"/>
        </w:rPr>
        <w:t>BRANDY MARTY</w:t>
      </w:r>
      <w:r w:rsidR="00FB52D3">
        <w:rPr>
          <w:b/>
          <w:szCs w:val="24"/>
        </w:rPr>
        <w:t xml:space="preserve"> MARQUEZ</w:t>
      </w:r>
      <w:r>
        <w:rPr>
          <w:b/>
          <w:szCs w:val="24"/>
        </w:rPr>
        <w:t>, COMMISSIONER</w:t>
      </w:r>
    </w:p>
    <w:p w:rsidR="008F66B2" w:rsidRDefault="008F66B2">
      <w:pPr>
        <w:keepNext/>
        <w:rPr>
          <w:sz w:val="16"/>
        </w:rPr>
      </w:pPr>
    </w:p>
    <w:p w:rsidR="008F66B2" w:rsidRDefault="008F66B2">
      <w:pPr>
        <w:keepNext/>
        <w:rPr>
          <w:sz w:val="16"/>
        </w:rPr>
      </w:pPr>
    </w:p>
    <w:p w:rsidR="008F66B2" w:rsidRDefault="008F66B2">
      <w:pPr>
        <w:keepNext/>
        <w:rPr>
          <w:sz w:val="16"/>
        </w:rPr>
      </w:pPr>
    </w:p>
    <w:p w:rsidR="00AD3AF7" w:rsidRDefault="00967322" w:rsidP="00AD3AF7">
      <w:pPr>
        <w:keepNext/>
        <w:rPr>
          <w:sz w:val="16"/>
        </w:rPr>
      </w:pPr>
      <w:r>
        <w:rPr>
          <w:sz w:val="16"/>
        </w:rPr>
        <w:fldChar w:fldCharType="begin"/>
      </w:r>
      <w:r>
        <w:rPr>
          <w:sz w:val="16"/>
        </w:rPr>
        <w:instrText xml:space="preserve"> FILENAME \* Lower\p \* MERGEFORMAT </w:instrText>
      </w:r>
      <w:r>
        <w:rPr>
          <w:sz w:val="16"/>
        </w:rPr>
        <w:fldChar w:fldCharType="separate"/>
      </w:r>
      <w:r w:rsidR="006920F0">
        <w:rPr>
          <w:noProof/>
          <w:sz w:val="16"/>
        </w:rPr>
        <w:t>q:\cadm\orders\final\42000\42866fo.docx</w:t>
      </w:r>
      <w:r>
        <w:rPr>
          <w:sz w:val="16"/>
        </w:rPr>
        <w:fldChar w:fldCharType="end"/>
      </w:r>
      <w:r w:rsidR="00AD3AF7">
        <w:rPr>
          <w:sz w:val="16"/>
        </w:rPr>
        <w:t xml:space="preserve">  </w:t>
      </w:r>
    </w:p>
    <w:sectPr w:rsidR="00AD3AF7" w:rsidSect="001F7869">
      <w:head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7A94" w:rsidRDefault="00667A94">
      <w:r>
        <w:separator/>
      </w:r>
    </w:p>
  </w:endnote>
  <w:endnote w:type="continuationSeparator" w:id="0">
    <w:p w:rsidR="00667A94" w:rsidRDefault="00667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7A94" w:rsidRDefault="00667A94">
      <w:r>
        <w:separator/>
      </w:r>
    </w:p>
  </w:footnote>
  <w:footnote w:type="continuationSeparator" w:id="0">
    <w:p w:rsidR="00667A94" w:rsidRDefault="00667A94">
      <w:r>
        <w:continuationSeparator/>
      </w:r>
    </w:p>
  </w:footnote>
  <w:footnote w:id="1">
    <w:p w:rsidR="00726F9A" w:rsidRDefault="00726F9A">
      <w:pPr>
        <w:pStyle w:val="FootnoteText"/>
      </w:pPr>
      <w:r>
        <w:rPr>
          <w:rStyle w:val="FootnoteReference"/>
        </w:rPr>
        <w:footnoteRef/>
      </w:r>
      <w:r>
        <w:t xml:space="preserve"> Proposal for Decision (PFD) at 63, conclusion of law 13 (Sep. 30, 2015)</w:t>
      </w:r>
    </w:p>
  </w:footnote>
  <w:footnote w:id="2">
    <w:p w:rsidR="00667A94" w:rsidRDefault="00667A94" w:rsidP="008840ED">
      <w:pPr>
        <w:pStyle w:val="FootnoteText"/>
      </w:pPr>
      <w:r>
        <w:rPr>
          <w:rStyle w:val="FootnoteReference"/>
        </w:rPr>
        <w:footnoteRef/>
      </w:r>
      <w:r>
        <w:t xml:space="preserve"> PFD at 1, 12, 52.</w:t>
      </w:r>
    </w:p>
  </w:footnote>
  <w:footnote w:id="3">
    <w:p w:rsidR="008C16B4" w:rsidRDefault="008C16B4">
      <w:pPr>
        <w:pStyle w:val="FootnoteText"/>
      </w:pPr>
      <w:r>
        <w:rPr>
          <w:rStyle w:val="FootnoteReference"/>
        </w:rPr>
        <w:footnoteRef/>
      </w:r>
      <w:r>
        <w:t xml:space="preserve"> Texas Water Code § 13.043(f).</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A94" w:rsidRDefault="00667A94" w:rsidP="00703E75">
    <w:pPr>
      <w:pStyle w:val="Header"/>
      <w:tabs>
        <w:tab w:val="clear" w:pos="4320"/>
        <w:tab w:val="clear" w:pos="8640"/>
        <w:tab w:val="center" w:pos="4860"/>
        <w:tab w:val="right" w:pos="9360"/>
      </w:tabs>
      <w:rPr>
        <w:rStyle w:val="PageNumber"/>
      </w:rPr>
    </w:pPr>
    <w:r>
      <w:t>PUC Docket No. 42866</w:t>
    </w:r>
    <w:r>
      <w:tab/>
      <w:t>Order</w:t>
    </w:r>
    <w:r>
      <w:tab/>
      <w:t xml:space="preserve">Page </w:t>
    </w:r>
    <w:r>
      <w:rPr>
        <w:rStyle w:val="PageNumber"/>
      </w:rPr>
      <w:fldChar w:fldCharType="begin"/>
    </w:r>
    <w:r>
      <w:rPr>
        <w:rStyle w:val="PageNumber"/>
      </w:rPr>
      <w:instrText xml:space="preserve"> PAGE </w:instrText>
    </w:r>
    <w:r>
      <w:rPr>
        <w:rStyle w:val="PageNumber"/>
      </w:rPr>
      <w:fldChar w:fldCharType="separate"/>
    </w:r>
    <w:r w:rsidR="00DB5D1F">
      <w:rPr>
        <w:rStyle w:val="PageNumber"/>
        <w:noProof/>
      </w:rPr>
      <w:t>15</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DB5D1F">
      <w:rPr>
        <w:rStyle w:val="PageNumber"/>
        <w:noProof/>
      </w:rPr>
      <w:t>15</w:t>
    </w:r>
    <w:r>
      <w:rPr>
        <w:rStyle w:val="PageNumber"/>
      </w:rPr>
      <w:fldChar w:fldCharType="end"/>
    </w:r>
  </w:p>
  <w:p w:rsidR="00667A94" w:rsidRDefault="00667A94">
    <w:pPr>
      <w:pStyle w:val="Header"/>
      <w:rPr>
        <w:rStyle w:val="PageNumber"/>
      </w:rPr>
    </w:pPr>
    <w:r>
      <w:rPr>
        <w:rStyle w:val="PageNumber"/>
      </w:rPr>
      <w:t xml:space="preserve">SOAH Docket No. </w:t>
    </w:r>
    <w:r w:rsidRPr="00703E75">
      <w:t>473-14-5144.WS</w:t>
    </w:r>
  </w:p>
  <w:p w:rsidR="00667A94" w:rsidRDefault="00667A94">
    <w:pPr>
      <w:pStyle w:val="Header"/>
      <w:rPr>
        <w:rStyle w:val="PageNumber"/>
      </w:rPr>
    </w:pPr>
  </w:p>
  <w:p w:rsidR="00667A94" w:rsidRDefault="00667A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C974120C"/>
    <w:lvl w:ilvl="0">
      <w:start w:val="1"/>
      <w:numFmt w:val="decimal"/>
      <w:lvlText w:val="%1."/>
      <w:lvlJc w:val="left"/>
      <w:pPr>
        <w:tabs>
          <w:tab w:val="num" w:pos="720"/>
        </w:tabs>
        <w:ind w:left="720" w:hanging="720"/>
      </w:pPr>
    </w:lvl>
  </w:abstractNum>
  <w:abstractNum w:abstractNumId="1" w15:restartNumberingAfterBreak="0">
    <w:nsid w:val="0A8F3D5E"/>
    <w:multiLevelType w:val="singleLevel"/>
    <w:tmpl w:val="60C60354"/>
    <w:lvl w:ilvl="0">
      <w:start w:val="1"/>
      <w:numFmt w:val="decimal"/>
      <w:pStyle w:val="FOFNumbered"/>
      <w:lvlText w:val="%1."/>
      <w:lvlJc w:val="left"/>
      <w:pPr>
        <w:tabs>
          <w:tab w:val="num" w:pos="720"/>
        </w:tabs>
        <w:ind w:left="720" w:hanging="720"/>
      </w:pPr>
      <w:rPr>
        <w:rFonts w:hint="default"/>
      </w:rPr>
    </w:lvl>
  </w:abstractNum>
  <w:abstractNum w:abstractNumId="2" w15:restartNumberingAfterBreak="0">
    <w:nsid w:val="0C4D12E9"/>
    <w:multiLevelType w:val="hybridMultilevel"/>
    <w:tmpl w:val="43C8B2C2"/>
    <w:lvl w:ilvl="0" w:tplc="0409000F">
      <w:start w:val="1"/>
      <w:numFmt w:val="decimal"/>
      <w:lvlText w:val="%1."/>
      <w:lvlJc w:val="left"/>
      <w:pPr>
        <w:ind w:left="720" w:hanging="360"/>
      </w:pPr>
    </w:lvl>
    <w:lvl w:ilvl="1" w:tplc="04090019">
      <w:start w:val="1"/>
      <w:numFmt w:val="lowerLetter"/>
      <w:pStyle w:val="Heading2"/>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0651AD8"/>
    <w:multiLevelType w:val="multilevel"/>
    <w:tmpl w:val="5D502AD4"/>
    <w:lvl w:ilvl="0">
      <w:start w:val="1"/>
      <w:numFmt w:val="upperRoman"/>
      <w:lvlText w:val="%1."/>
      <w:lvlJc w:val="center"/>
      <w:pPr>
        <w:tabs>
          <w:tab w:val="num" w:pos="216"/>
        </w:tabs>
        <w:ind w:left="-144" w:firstLine="0"/>
      </w:pPr>
    </w:lvl>
    <w:lvl w:ilvl="1">
      <w:start w:val="1"/>
      <w:numFmt w:val="upperLetter"/>
      <w:lvlText w:val="%2."/>
      <w:lvlJc w:val="left"/>
      <w:pPr>
        <w:tabs>
          <w:tab w:val="num" w:pos="216"/>
        </w:tabs>
        <w:ind w:left="720" w:hanging="720"/>
      </w:pPr>
    </w:lvl>
    <w:lvl w:ilvl="2">
      <w:start w:val="1"/>
      <w:numFmt w:val="decimal"/>
      <w:lvlText w:val="%3."/>
      <w:lvlJc w:val="left"/>
      <w:pPr>
        <w:tabs>
          <w:tab w:val="num" w:pos="720"/>
        </w:tabs>
        <w:ind w:left="720" w:firstLine="0"/>
      </w:pPr>
    </w:lvl>
    <w:lvl w:ilvl="3">
      <w:start w:val="1"/>
      <w:numFmt w:val="lowerLetter"/>
      <w:lvlText w:val="%4."/>
      <w:lvlJc w:val="left"/>
      <w:pPr>
        <w:tabs>
          <w:tab w:val="num" w:pos="1440"/>
        </w:tabs>
        <w:ind w:left="1440" w:firstLine="0"/>
      </w:pPr>
    </w:lvl>
    <w:lvl w:ilvl="4">
      <w:start w:val="1"/>
      <w:numFmt w:val="lowerRoman"/>
      <w:lvlText w:val="(%5)"/>
      <w:lvlJc w:val="left"/>
      <w:pPr>
        <w:tabs>
          <w:tab w:val="num" w:pos="2160"/>
        </w:tabs>
        <w:ind w:left="2880" w:hanging="720"/>
      </w:pPr>
      <w:rPr>
        <w:rFonts w:ascii="Times New Roman" w:hAnsi="Times New Roman" w:cs="Times New Roman" w:hint="default"/>
        <w:b/>
        <w:i w:val="0"/>
        <w:caps w:val="0"/>
        <w:strike w:val="0"/>
        <w:dstrike w:val="0"/>
        <w:outline w:val="0"/>
        <w:shadow w:val="0"/>
        <w:emboss w:val="0"/>
        <w:imprint w:val="0"/>
        <w:vanish w:val="0"/>
        <w:webHidden w:val="0"/>
        <w:sz w:val="24"/>
        <w:u w:val="none"/>
        <w:effect w:val="none"/>
        <w:vertAlign w:val="baseline"/>
        <w:specVanish w:val="0"/>
      </w:rPr>
    </w:lvl>
    <w:lvl w:ilvl="5">
      <w:start w:val="1"/>
      <w:numFmt w:val="lowerLetter"/>
      <w:lvlText w:val="(%6)"/>
      <w:lvlJc w:val="left"/>
      <w:pPr>
        <w:tabs>
          <w:tab w:val="num" w:pos="3600"/>
        </w:tabs>
        <w:ind w:left="4320" w:hanging="1440"/>
      </w:pPr>
    </w:lvl>
    <w:lvl w:ilvl="6">
      <w:start w:val="1"/>
      <w:numFmt w:val="decimal"/>
      <w:lvlText w:val="%7."/>
      <w:lvlJc w:val="left"/>
      <w:pPr>
        <w:tabs>
          <w:tab w:val="num" w:pos="4320"/>
        </w:tabs>
        <w:ind w:left="5040" w:hanging="1440"/>
      </w:pPr>
    </w:lvl>
    <w:lvl w:ilvl="7">
      <w:start w:val="1"/>
      <w:numFmt w:val="lowerLetter"/>
      <w:lvlText w:val="%8."/>
      <w:lvlJc w:val="left"/>
      <w:pPr>
        <w:tabs>
          <w:tab w:val="num" w:pos="5040"/>
        </w:tabs>
        <w:ind w:left="4320" w:firstLine="0"/>
      </w:pPr>
      <w:rPr>
        <w:rFonts w:ascii="Times New Roman" w:hAnsi="Times New Roman" w:cs="Times New Roman" w:hint="default"/>
        <w:b/>
        <w:i/>
        <w:caps w:val="0"/>
        <w:strike w:val="0"/>
        <w:dstrike w:val="0"/>
        <w:outline w:val="0"/>
        <w:shadow w:val="0"/>
        <w:emboss w:val="0"/>
        <w:imprint w:val="0"/>
        <w:vanish w:val="0"/>
        <w:webHidden w:val="0"/>
        <w:sz w:val="24"/>
        <w:u w:val="none"/>
        <w:effect w:val="none"/>
        <w:vertAlign w:val="baseline"/>
        <w:specVanish w:val="0"/>
      </w:rPr>
    </w:lvl>
    <w:lvl w:ilvl="8">
      <w:start w:val="1"/>
      <w:numFmt w:val="lowerRoman"/>
      <w:lvlText w:val="(%9)"/>
      <w:lvlJc w:val="left"/>
      <w:pPr>
        <w:tabs>
          <w:tab w:val="num" w:pos="5400"/>
        </w:tabs>
        <w:ind w:left="5040" w:firstLine="0"/>
      </w:pPr>
    </w:lvl>
  </w:abstractNum>
  <w:abstractNum w:abstractNumId="4" w15:restartNumberingAfterBreak="0">
    <w:nsid w:val="182039B5"/>
    <w:multiLevelType w:val="multilevel"/>
    <w:tmpl w:val="E9202C3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pStyle w:val="Heading5"/>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5" w15:restartNumberingAfterBreak="0">
    <w:nsid w:val="1D61466F"/>
    <w:multiLevelType w:val="hybridMultilevel"/>
    <w:tmpl w:val="43C8B2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7" w15:restartNumberingAfterBreak="0">
    <w:nsid w:val="25957C9F"/>
    <w:multiLevelType w:val="hybridMultilevel"/>
    <w:tmpl w:val="4782C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D541FF"/>
    <w:multiLevelType w:val="hybridMultilevel"/>
    <w:tmpl w:val="24401FDA"/>
    <w:lvl w:ilvl="0" w:tplc="C618FD20">
      <w:start w:val="1"/>
      <w:numFmt w:val="decimal"/>
      <w:pStyle w:val="Ordering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502CE1"/>
    <w:multiLevelType w:val="singleLevel"/>
    <w:tmpl w:val="D8D86316"/>
    <w:lvl w:ilvl="0">
      <w:start w:val="1"/>
      <w:numFmt w:val="decimal"/>
      <w:lvlText w:val="%1."/>
      <w:lvlJc w:val="left"/>
      <w:pPr>
        <w:tabs>
          <w:tab w:val="num" w:pos="720"/>
        </w:tabs>
        <w:ind w:left="720" w:hanging="720"/>
      </w:pPr>
    </w:lvl>
  </w:abstractNum>
  <w:abstractNum w:abstractNumId="10" w15:restartNumberingAfterBreak="0">
    <w:nsid w:val="6F6B1C74"/>
    <w:multiLevelType w:val="multilevel"/>
    <w:tmpl w:val="52829700"/>
    <w:lvl w:ilvl="0">
      <w:start w:val="1"/>
      <w:numFmt w:val="upperRoman"/>
      <w:pStyle w:val="Heading1"/>
      <w:suff w:val="space"/>
      <w:lvlText w:val="%1."/>
      <w:lvlJc w:val="center"/>
      <w:pPr>
        <w:ind w:left="0" w:firstLine="288"/>
      </w:pPr>
    </w:lvl>
    <w:lvl w:ilvl="1">
      <w:start w:val="1"/>
      <w:numFmt w:val="upperLetter"/>
      <w:suff w:val="space"/>
      <w:lvlText w:val="%2."/>
      <w:lvlJc w:val="center"/>
      <w:pPr>
        <w:ind w:left="0" w:firstLine="0"/>
      </w:pPr>
    </w:lvl>
    <w:lvl w:ilvl="2">
      <w:start w:val="1"/>
      <w:numFmt w:val="decimal"/>
      <w:pStyle w:val="COLNumbered"/>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0"/>
  </w:num>
  <w:num w:numId="2">
    <w:abstractNumId w:val="10"/>
  </w:num>
  <w:num w:numId="3">
    <w:abstractNumId w:val="10"/>
  </w:num>
  <w:num w:numId="4">
    <w:abstractNumId w:val="10"/>
  </w:num>
  <w:num w:numId="5">
    <w:abstractNumId w:val="0"/>
  </w:num>
  <w:num w:numId="6">
    <w:abstractNumId w:val="9"/>
  </w:num>
  <w:num w:numId="7">
    <w:abstractNumId w:val="9"/>
    <w:lvlOverride w:ilvl="0">
      <w:startOverride w:val="1"/>
    </w:lvlOverride>
  </w:num>
  <w:num w:numId="8">
    <w:abstractNumId w:val="1"/>
  </w:num>
  <w:num w:numId="9">
    <w:abstractNumId w:val="4"/>
  </w:num>
  <w:num w:numId="10">
    <w:abstractNumId w:val="10"/>
  </w:num>
  <w:num w:numId="11">
    <w:abstractNumId w:val="10"/>
  </w:num>
  <w:num w:numId="12">
    <w:abstractNumId w:val="4"/>
  </w:num>
  <w:num w:numId="13">
    <w:abstractNumId w:val="10"/>
  </w:num>
  <w:num w:numId="14">
    <w:abstractNumId w:val="4"/>
  </w:num>
  <w:num w:numId="15">
    <w:abstractNumId w:val="6"/>
  </w:num>
  <w:num w:numId="16">
    <w:abstractNumId w:val="6"/>
  </w:num>
  <w:num w:numId="17">
    <w:abstractNumId w:val="6"/>
  </w:num>
  <w:num w:numId="18">
    <w:abstractNumId w:val="6"/>
  </w:num>
  <w:num w:numId="19">
    <w:abstractNumId w:val="10"/>
  </w:num>
  <w:num w:numId="20">
    <w:abstractNumId w:val="4"/>
  </w:num>
  <w:num w:numId="21">
    <w:abstractNumId w:val="6"/>
  </w:num>
  <w:num w:numId="22">
    <w:abstractNumId w:val="6"/>
  </w:num>
  <w:num w:numId="23">
    <w:abstractNumId w:val="6"/>
  </w:num>
  <w:num w:numId="24">
    <w:abstractNumId w:val="6"/>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8"/>
  </w:num>
  <w:num w:numId="31">
    <w:abstractNumId w:val="1"/>
    <w:lvlOverride w:ilvl="0">
      <w:startOverride w:val="69"/>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08E3"/>
    <w:rsid w:val="00040455"/>
    <w:rsid w:val="00077D4A"/>
    <w:rsid w:val="000812EE"/>
    <w:rsid w:val="00090E34"/>
    <w:rsid w:val="000919A8"/>
    <w:rsid w:val="000958B8"/>
    <w:rsid w:val="000C1AB7"/>
    <w:rsid w:val="000E1C22"/>
    <w:rsid w:val="0010502B"/>
    <w:rsid w:val="00114E49"/>
    <w:rsid w:val="00123524"/>
    <w:rsid w:val="00146B39"/>
    <w:rsid w:val="00170A41"/>
    <w:rsid w:val="001F7869"/>
    <w:rsid w:val="002423FB"/>
    <w:rsid w:val="002471D3"/>
    <w:rsid w:val="002868A2"/>
    <w:rsid w:val="002A1501"/>
    <w:rsid w:val="002C2B5C"/>
    <w:rsid w:val="002F36C4"/>
    <w:rsid w:val="002F45D0"/>
    <w:rsid w:val="003221AE"/>
    <w:rsid w:val="0035429F"/>
    <w:rsid w:val="00360AB9"/>
    <w:rsid w:val="0036472C"/>
    <w:rsid w:val="00376FC3"/>
    <w:rsid w:val="00386A23"/>
    <w:rsid w:val="003B45AE"/>
    <w:rsid w:val="003E1BD1"/>
    <w:rsid w:val="003E3C10"/>
    <w:rsid w:val="00415C67"/>
    <w:rsid w:val="00422C51"/>
    <w:rsid w:val="004356EC"/>
    <w:rsid w:val="00463178"/>
    <w:rsid w:val="004B1C7B"/>
    <w:rsid w:val="004B3EEE"/>
    <w:rsid w:val="004C31B3"/>
    <w:rsid w:val="00510F74"/>
    <w:rsid w:val="00517F84"/>
    <w:rsid w:val="00580522"/>
    <w:rsid w:val="005A3639"/>
    <w:rsid w:val="005C5EC6"/>
    <w:rsid w:val="006304E9"/>
    <w:rsid w:val="00661B96"/>
    <w:rsid w:val="006633C6"/>
    <w:rsid w:val="00667A94"/>
    <w:rsid w:val="00680DE9"/>
    <w:rsid w:val="006920F0"/>
    <w:rsid w:val="006D6346"/>
    <w:rsid w:val="006E2930"/>
    <w:rsid w:val="006F4051"/>
    <w:rsid w:val="00703E75"/>
    <w:rsid w:val="00726F9A"/>
    <w:rsid w:val="00740751"/>
    <w:rsid w:val="00772C9D"/>
    <w:rsid w:val="007C59E3"/>
    <w:rsid w:val="0080436C"/>
    <w:rsid w:val="008439DC"/>
    <w:rsid w:val="00852E35"/>
    <w:rsid w:val="008560EB"/>
    <w:rsid w:val="008840ED"/>
    <w:rsid w:val="00896CE7"/>
    <w:rsid w:val="0089719A"/>
    <w:rsid w:val="008A1D27"/>
    <w:rsid w:val="008C16B4"/>
    <w:rsid w:val="008D3357"/>
    <w:rsid w:val="008F66B2"/>
    <w:rsid w:val="00967322"/>
    <w:rsid w:val="00977223"/>
    <w:rsid w:val="009A287F"/>
    <w:rsid w:val="009B422E"/>
    <w:rsid w:val="009B61FA"/>
    <w:rsid w:val="00A5232A"/>
    <w:rsid w:val="00AB1C22"/>
    <w:rsid w:val="00AC53D5"/>
    <w:rsid w:val="00AD3AF7"/>
    <w:rsid w:val="00AE5734"/>
    <w:rsid w:val="00B16C4B"/>
    <w:rsid w:val="00BB22CB"/>
    <w:rsid w:val="00BC1D4B"/>
    <w:rsid w:val="00BD4D97"/>
    <w:rsid w:val="00C27FDC"/>
    <w:rsid w:val="00C36161"/>
    <w:rsid w:val="00C36761"/>
    <w:rsid w:val="00C75ECF"/>
    <w:rsid w:val="00CD0F46"/>
    <w:rsid w:val="00CD78C8"/>
    <w:rsid w:val="00CF6576"/>
    <w:rsid w:val="00D0614C"/>
    <w:rsid w:val="00D0672D"/>
    <w:rsid w:val="00D10BD6"/>
    <w:rsid w:val="00D276F2"/>
    <w:rsid w:val="00D35333"/>
    <w:rsid w:val="00D44A79"/>
    <w:rsid w:val="00DA57D2"/>
    <w:rsid w:val="00DB4B7E"/>
    <w:rsid w:val="00DB5D1F"/>
    <w:rsid w:val="00E01ED8"/>
    <w:rsid w:val="00E0317C"/>
    <w:rsid w:val="00E0440D"/>
    <w:rsid w:val="00F46A0E"/>
    <w:rsid w:val="00F533B1"/>
    <w:rsid w:val="00F85F90"/>
    <w:rsid w:val="00F908E3"/>
    <w:rsid w:val="00FA40FC"/>
    <w:rsid w:val="00FB52D3"/>
    <w:rsid w:val="00FB754A"/>
    <w:rsid w:val="00FD6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5:chartTrackingRefBased/>
  <w15:docId w15:val="{DF3BE153-3D82-4B45-B981-DA8549182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9E3"/>
    <w:rPr>
      <w:snapToGrid w:val="0"/>
      <w:sz w:val="24"/>
    </w:rPr>
  </w:style>
  <w:style w:type="paragraph" w:styleId="Heading1">
    <w:name w:val="heading 1"/>
    <w:basedOn w:val="Normal"/>
    <w:next w:val="BodyText"/>
    <w:link w:val="Heading1Char"/>
    <w:qFormat/>
    <w:rsid w:val="007C59E3"/>
    <w:pPr>
      <w:keepNext/>
      <w:numPr>
        <w:numId w:val="19"/>
      </w:numPr>
      <w:spacing w:before="480" w:after="120"/>
      <w:jc w:val="center"/>
      <w:outlineLvl w:val="0"/>
    </w:pPr>
    <w:rPr>
      <w:b/>
      <w:szCs w:val="24"/>
    </w:rPr>
  </w:style>
  <w:style w:type="paragraph" w:styleId="Heading2">
    <w:name w:val="heading 2"/>
    <w:basedOn w:val="Normal"/>
    <w:next w:val="BodyText"/>
    <w:link w:val="Heading2Char"/>
    <w:qFormat/>
    <w:rsid w:val="007C59E3"/>
    <w:pPr>
      <w:keepNext/>
      <w:numPr>
        <w:ilvl w:val="1"/>
        <w:numId w:val="26"/>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semiHidden/>
    <w:rPr>
      <w:vertAlign w:val="superscript"/>
    </w:rPr>
  </w:style>
  <w:style w:type="paragraph" w:styleId="FootnoteText">
    <w:name w:val="footnote text"/>
    <w:basedOn w:val="Normal"/>
    <w:semiHidden/>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rsid w:val="006633C6"/>
    <w:pPr>
      <w:numPr>
        <w:ilvl w:val="2"/>
        <w:numId w:val="19"/>
      </w:numPr>
      <w:tabs>
        <w:tab w:val="clear" w:pos="360"/>
      </w:tabs>
    </w:pPr>
  </w:style>
  <w:style w:type="paragraph" w:customStyle="1" w:styleId="OrderingNumbered">
    <w:name w:val="Ordering Numbered"/>
    <w:basedOn w:val="FOFNumbered"/>
    <w:pPr>
      <w:numPr>
        <w:numId w:val="30"/>
      </w:numPr>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character" w:customStyle="1" w:styleId="Heading1Char">
    <w:name w:val="Heading 1 Char"/>
    <w:basedOn w:val="DefaultParagraphFont"/>
    <w:link w:val="Heading1"/>
    <w:rsid w:val="003221AE"/>
    <w:rPr>
      <w:b/>
      <w:snapToGrid w:val="0"/>
      <w:sz w:val="24"/>
      <w:szCs w:val="24"/>
    </w:rPr>
  </w:style>
  <w:style w:type="paragraph" w:styleId="Quote">
    <w:name w:val="Quote"/>
    <w:basedOn w:val="Normal"/>
    <w:next w:val="Normal"/>
    <w:link w:val="QuoteChar"/>
    <w:uiPriority w:val="29"/>
    <w:qFormat/>
    <w:rsid w:val="003221AE"/>
    <w:pPr>
      <w:spacing w:line="360" w:lineRule="auto"/>
      <w:ind w:left="720" w:right="720"/>
      <w:jc w:val="both"/>
    </w:pPr>
    <w:rPr>
      <w:snapToGrid/>
      <w:szCs w:val="24"/>
    </w:rPr>
  </w:style>
  <w:style w:type="character" w:customStyle="1" w:styleId="QuoteChar">
    <w:name w:val="Quote Char"/>
    <w:basedOn w:val="DefaultParagraphFont"/>
    <w:link w:val="Quote"/>
    <w:uiPriority w:val="29"/>
    <w:rsid w:val="003221AE"/>
    <w:rPr>
      <w:sz w:val="24"/>
      <w:szCs w:val="24"/>
    </w:rPr>
  </w:style>
  <w:style w:type="table" w:styleId="TableGrid">
    <w:name w:val="Table Grid"/>
    <w:basedOn w:val="TableNormal"/>
    <w:rsid w:val="003221AE"/>
    <w:pPr>
      <w:widowControl w:val="0"/>
      <w:autoSpaceDE w:val="0"/>
      <w:autoSpaceDN w:val="0"/>
      <w:adjustRightInd w:val="0"/>
      <w:jc w:val="center"/>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DB5D1F"/>
    <w:rPr>
      <w:rFonts w:ascii="Segoe UI" w:hAnsi="Segoe UI" w:cs="Segoe UI"/>
      <w:sz w:val="18"/>
      <w:szCs w:val="18"/>
    </w:rPr>
  </w:style>
  <w:style w:type="character" w:customStyle="1" w:styleId="BalloonTextChar">
    <w:name w:val="Balloon Text Char"/>
    <w:basedOn w:val="DefaultParagraphFont"/>
    <w:link w:val="BalloonText"/>
    <w:rsid w:val="00DB5D1F"/>
    <w:rPr>
      <w:rFonts w:ascii="Segoe UI" w:hAnsi="Segoe UI" w:cs="Segoe UI"/>
      <w:snapToGrid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5015639">
      <w:bodyDiv w:val="1"/>
      <w:marLeft w:val="0"/>
      <w:marRight w:val="0"/>
      <w:marTop w:val="0"/>
      <w:marBottom w:val="0"/>
      <w:divBdr>
        <w:top w:val="none" w:sz="0" w:space="0" w:color="auto"/>
        <w:left w:val="none" w:sz="0" w:space="0" w:color="auto"/>
        <w:bottom w:val="none" w:sz="0" w:space="0" w:color="auto"/>
        <w:right w:val="none" w:sz="0" w:space="0" w:color="auto"/>
      </w:divBdr>
    </w:div>
    <w:div w:id="119419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29F535-6900-42C2-917E-0956B543F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Template>
  <TotalTime>120</TotalTime>
  <Pages>15</Pages>
  <Words>4388</Words>
  <Characters>22662</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PUC DOCKET NO</vt:lpstr>
    </vt:vector>
  </TitlesOfParts>
  <Company>Public Utility Commission TX</Company>
  <LinksUpToDate>false</LinksUpToDate>
  <CharactersWithSpaces>26997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PUC DOCKET NO</dc:title>
  <dc:subject/>
  <dc:creator>Wharton, Laurie</dc:creator>
  <cp:keywords/>
  <cp:lastModifiedBy>Roundtree-Williams, Keva</cp:lastModifiedBy>
  <cp:revision>50</cp:revision>
  <cp:lastPrinted>2015-11-19T17:17:00Z</cp:lastPrinted>
  <dcterms:created xsi:type="dcterms:W3CDTF">2015-09-30T18:31:00Z</dcterms:created>
  <dcterms:modified xsi:type="dcterms:W3CDTF">2015-11-19T17:17:00Z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