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266" w:rsidRPr="00250FD0" w:rsidRDefault="00276266" w:rsidP="00276266">
      <w:pPr>
        <w:widowControl w:val="0"/>
        <w:autoSpaceDE w:val="0"/>
        <w:autoSpaceDN w:val="0"/>
        <w:adjustRightInd w:val="0"/>
        <w:spacing w:line="240" w:lineRule="auto"/>
        <w:jc w:val="center"/>
        <w:rPr>
          <w:b/>
        </w:rPr>
      </w:pPr>
      <w:bookmarkStart w:id="0" w:name="_GoBack"/>
      <w:bookmarkEnd w:id="0"/>
      <w:r w:rsidRPr="00250FD0">
        <w:rPr>
          <w:b/>
        </w:rPr>
        <w:t>SOAH DOCKET NO. 473-14-5144.WS</w:t>
      </w:r>
    </w:p>
    <w:p w:rsidR="00276266" w:rsidRPr="00250FD0" w:rsidRDefault="00276266" w:rsidP="00276266">
      <w:pPr>
        <w:widowControl w:val="0"/>
        <w:autoSpaceDE w:val="0"/>
        <w:autoSpaceDN w:val="0"/>
        <w:adjustRightInd w:val="0"/>
        <w:spacing w:line="240" w:lineRule="auto"/>
        <w:jc w:val="center"/>
        <w:rPr>
          <w:b/>
        </w:rPr>
      </w:pPr>
      <w:r w:rsidRPr="00250FD0">
        <w:rPr>
          <w:b/>
        </w:rPr>
        <w:t>PUC DOCKET NO. 42866</w:t>
      </w:r>
    </w:p>
    <w:p w:rsidR="00276266" w:rsidRPr="00250FD0" w:rsidRDefault="00276266" w:rsidP="00276266">
      <w:pPr>
        <w:widowControl w:val="0"/>
        <w:autoSpaceDE w:val="0"/>
        <w:autoSpaceDN w:val="0"/>
        <w:adjustRightInd w:val="0"/>
        <w:spacing w:line="240" w:lineRule="auto"/>
        <w:jc w:val="center"/>
        <w:rPr>
          <w:b/>
        </w:rPr>
      </w:pPr>
    </w:p>
    <w:tbl>
      <w:tblPr>
        <w:tblW w:w="0" w:type="auto"/>
        <w:jc w:val="center"/>
        <w:tblLayout w:type="fixed"/>
        <w:tblLook w:val="0000" w:firstRow="0" w:lastRow="0" w:firstColumn="0" w:lastColumn="0" w:noHBand="0" w:noVBand="0"/>
      </w:tblPr>
      <w:tblGrid>
        <w:gridCol w:w="4536"/>
        <w:gridCol w:w="274"/>
        <w:gridCol w:w="4536"/>
      </w:tblGrid>
      <w:tr w:rsidR="00276266" w:rsidRPr="00250FD0" w:rsidTr="00F27476">
        <w:trPr>
          <w:cantSplit/>
          <w:jc w:val="center"/>
        </w:trPr>
        <w:tc>
          <w:tcPr>
            <w:tcW w:w="4536" w:type="dxa"/>
            <w:tcBorders>
              <w:top w:val="nil"/>
              <w:left w:val="nil"/>
              <w:bottom w:val="nil"/>
              <w:right w:val="nil"/>
            </w:tcBorders>
          </w:tcPr>
          <w:p w:rsidR="00276266" w:rsidRPr="00250FD0" w:rsidRDefault="00276266" w:rsidP="00F27476">
            <w:pPr>
              <w:widowControl w:val="0"/>
              <w:autoSpaceDE w:val="0"/>
              <w:autoSpaceDN w:val="0"/>
              <w:adjustRightInd w:val="0"/>
              <w:spacing w:line="240" w:lineRule="auto"/>
              <w:jc w:val="left"/>
              <w:rPr>
                <w:b/>
              </w:rPr>
            </w:pPr>
            <w:r w:rsidRPr="00250FD0">
              <w:rPr>
                <w:b/>
              </w:rPr>
              <w:t>PETITION OF TRAVIS COUN</w:t>
            </w:r>
            <w:r>
              <w:rPr>
                <w:b/>
              </w:rPr>
              <w:t>TY MUNICIPAL UTILITY DISTRICT NO</w:t>
            </w:r>
            <w:r w:rsidRPr="00250FD0">
              <w:rPr>
                <w:b/>
              </w:rPr>
              <w:t>. 12 APPEALING CHANGE OF WHOLESALE WATER RATES IMPLEMENTED BY WEST TRAVIS COUNTY PUBLIC UTILITY AGENCY; CITY OF BEE CAVE, TEXAS; HAYS COUNTY, TEXAS; AND WEST TRAVIS COUNTY MUNICIPAL UTILITY DISTRICT NO. 5</w:t>
            </w:r>
          </w:p>
        </w:tc>
        <w:tc>
          <w:tcPr>
            <w:tcW w:w="274" w:type="dxa"/>
            <w:tcBorders>
              <w:top w:val="nil"/>
              <w:left w:val="nil"/>
              <w:bottom w:val="nil"/>
              <w:right w:val="nil"/>
            </w:tcBorders>
          </w:tcPr>
          <w:p w:rsidR="00276266" w:rsidRPr="00250FD0" w:rsidRDefault="00276266" w:rsidP="00F27476">
            <w:pPr>
              <w:widowControl w:val="0"/>
              <w:autoSpaceDE w:val="0"/>
              <w:autoSpaceDN w:val="0"/>
              <w:adjustRightInd w:val="0"/>
              <w:spacing w:line="240" w:lineRule="auto"/>
              <w:jc w:val="center"/>
              <w:rPr>
                <w:b/>
              </w:rPr>
            </w:pPr>
            <w:r w:rsidRPr="00250FD0">
              <w:rPr>
                <w:b/>
              </w:rPr>
              <w:t>§</w:t>
            </w:r>
          </w:p>
          <w:p w:rsidR="00276266" w:rsidRPr="00250FD0" w:rsidRDefault="00276266" w:rsidP="00F27476">
            <w:pPr>
              <w:widowControl w:val="0"/>
              <w:autoSpaceDE w:val="0"/>
              <w:autoSpaceDN w:val="0"/>
              <w:adjustRightInd w:val="0"/>
              <w:spacing w:line="240" w:lineRule="auto"/>
              <w:jc w:val="center"/>
              <w:rPr>
                <w:b/>
              </w:rPr>
            </w:pPr>
            <w:r w:rsidRPr="00250FD0">
              <w:rPr>
                <w:b/>
              </w:rPr>
              <w:t>§</w:t>
            </w:r>
          </w:p>
          <w:p w:rsidR="00276266" w:rsidRPr="00250FD0" w:rsidRDefault="00276266" w:rsidP="00F27476">
            <w:pPr>
              <w:widowControl w:val="0"/>
              <w:autoSpaceDE w:val="0"/>
              <w:autoSpaceDN w:val="0"/>
              <w:adjustRightInd w:val="0"/>
              <w:spacing w:line="240" w:lineRule="auto"/>
              <w:jc w:val="center"/>
              <w:rPr>
                <w:b/>
              </w:rPr>
            </w:pPr>
            <w:r w:rsidRPr="00250FD0">
              <w:rPr>
                <w:b/>
              </w:rPr>
              <w:t>§</w:t>
            </w:r>
          </w:p>
          <w:p w:rsidR="00276266" w:rsidRPr="00250FD0" w:rsidRDefault="00276266" w:rsidP="00F27476">
            <w:pPr>
              <w:widowControl w:val="0"/>
              <w:autoSpaceDE w:val="0"/>
              <w:autoSpaceDN w:val="0"/>
              <w:adjustRightInd w:val="0"/>
              <w:spacing w:line="240" w:lineRule="auto"/>
              <w:jc w:val="center"/>
              <w:rPr>
                <w:b/>
              </w:rPr>
            </w:pPr>
            <w:r w:rsidRPr="00250FD0">
              <w:rPr>
                <w:b/>
              </w:rPr>
              <w:t>§</w:t>
            </w:r>
          </w:p>
          <w:p w:rsidR="00276266" w:rsidRPr="00250FD0" w:rsidRDefault="00276266" w:rsidP="00F27476">
            <w:pPr>
              <w:widowControl w:val="0"/>
              <w:autoSpaceDE w:val="0"/>
              <w:autoSpaceDN w:val="0"/>
              <w:adjustRightInd w:val="0"/>
              <w:spacing w:line="240" w:lineRule="auto"/>
              <w:jc w:val="center"/>
              <w:rPr>
                <w:b/>
              </w:rPr>
            </w:pPr>
            <w:r w:rsidRPr="00250FD0">
              <w:rPr>
                <w:b/>
              </w:rPr>
              <w:t>§</w:t>
            </w:r>
          </w:p>
          <w:p w:rsidR="00276266" w:rsidRPr="00250FD0" w:rsidRDefault="00276266" w:rsidP="00F27476">
            <w:pPr>
              <w:widowControl w:val="0"/>
              <w:autoSpaceDE w:val="0"/>
              <w:autoSpaceDN w:val="0"/>
              <w:adjustRightInd w:val="0"/>
              <w:spacing w:line="240" w:lineRule="auto"/>
              <w:jc w:val="center"/>
              <w:rPr>
                <w:b/>
              </w:rPr>
            </w:pPr>
            <w:r w:rsidRPr="00250FD0">
              <w:rPr>
                <w:b/>
              </w:rPr>
              <w:t>§§</w:t>
            </w:r>
          </w:p>
          <w:p w:rsidR="00276266" w:rsidRPr="00250FD0" w:rsidRDefault="00276266" w:rsidP="00F27476">
            <w:pPr>
              <w:widowControl w:val="0"/>
              <w:autoSpaceDE w:val="0"/>
              <w:autoSpaceDN w:val="0"/>
              <w:adjustRightInd w:val="0"/>
              <w:spacing w:line="240" w:lineRule="auto"/>
              <w:jc w:val="center"/>
              <w:rPr>
                <w:b/>
              </w:rPr>
            </w:pPr>
            <w:r w:rsidRPr="00250FD0">
              <w:rPr>
                <w:b/>
              </w:rPr>
              <w:t>§</w:t>
            </w:r>
          </w:p>
          <w:p w:rsidR="00276266" w:rsidRPr="00250FD0" w:rsidRDefault="00276266" w:rsidP="00F27476">
            <w:pPr>
              <w:widowControl w:val="0"/>
              <w:autoSpaceDE w:val="0"/>
              <w:autoSpaceDN w:val="0"/>
              <w:adjustRightInd w:val="0"/>
              <w:spacing w:line="240" w:lineRule="auto"/>
              <w:jc w:val="center"/>
              <w:rPr>
                <w:b/>
              </w:rPr>
            </w:pPr>
            <w:r w:rsidRPr="00250FD0">
              <w:rPr>
                <w:b/>
              </w:rPr>
              <w:t>§</w:t>
            </w:r>
          </w:p>
          <w:p w:rsidR="00276266" w:rsidRPr="00250FD0" w:rsidRDefault="00276266" w:rsidP="00F27476">
            <w:pPr>
              <w:widowControl w:val="0"/>
              <w:autoSpaceDE w:val="0"/>
              <w:autoSpaceDN w:val="0"/>
              <w:adjustRightInd w:val="0"/>
              <w:spacing w:line="240" w:lineRule="auto"/>
              <w:jc w:val="center"/>
              <w:rPr>
                <w:b/>
              </w:rPr>
            </w:pPr>
            <w:r w:rsidRPr="00250FD0">
              <w:rPr>
                <w:b/>
              </w:rPr>
              <w:t>§</w:t>
            </w:r>
          </w:p>
        </w:tc>
        <w:tc>
          <w:tcPr>
            <w:tcW w:w="4536" w:type="dxa"/>
            <w:tcBorders>
              <w:top w:val="nil"/>
              <w:left w:val="nil"/>
              <w:bottom w:val="nil"/>
              <w:right w:val="nil"/>
            </w:tcBorders>
          </w:tcPr>
          <w:p w:rsidR="00276266" w:rsidRPr="00250FD0" w:rsidRDefault="00276266" w:rsidP="00F27476">
            <w:pPr>
              <w:widowControl w:val="0"/>
              <w:autoSpaceDE w:val="0"/>
              <w:autoSpaceDN w:val="0"/>
              <w:adjustRightInd w:val="0"/>
              <w:spacing w:line="240" w:lineRule="auto"/>
              <w:jc w:val="center"/>
              <w:rPr>
                <w:b/>
              </w:rPr>
            </w:pPr>
            <w:r w:rsidRPr="00250FD0">
              <w:rPr>
                <w:b/>
              </w:rPr>
              <w:t>BEFORE THE STATE OFFICE</w:t>
            </w:r>
          </w:p>
          <w:p w:rsidR="00276266" w:rsidRPr="00250FD0" w:rsidRDefault="00276266" w:rsidP="00F27476">
            <w:pPr>
              <w:widowControl w:val="0"/>
              <w:autoSpaceDE w:val="0"/>
              <w:autoSpaceDN w:val="0"/>
              <w:adjustRightInd w:val="0"/>
              <w:spacing w:line="240" w:lineRule="auto"/>
              <w:jc w:val="center"/>
              <w:rPr>
                <w:b/>
              </w:rPr>
            </w:pPr>
          </w:p>
          <w:p w:rsidR="00276266" w:rsidRPr="00250FD0" w:rsidRDefault="00276266" w:rsidP="00F27476">
            <w:pPr>
              <w:widowControl w:val="0"/>
              <w:autoSpaceDE w:val="0"/>
              <w:autoSpaceDN w:val="0"/>
              <w:adjustRightInd w:val="0"/>
              <w:spacing w:line="240" w:lineRule="auto"/>
              <w:jc w:val="center"/>
              <w:rPr>
                <w:b/>
              </w:rPr>
            </w:pPr>
          </w:p>
          <w:p w:rsidR="00276266" w:rsidRPr="00250FD0" w:rsidRDefault="00276266" w:rsidP="00F27476">
            <w:pPr>
              <w:widowControl w:val="0"/>
              <w:autoSpaceDE w:val="0"/>
              <w:autoSpaceDN w:val="0"/>
              <w:adjustRightInd w:val="0"/>
              <w:spacing w:line="240" w:lineRule="auto"/>
              <w:jc w:val="center"/>
              <w:rPr>
                <w:b/>
              </w:rPr>
            </w:pPr>
          </w:p>
          <w:p w:rsidR="00276266" w:rsidRPr="00250FD0" w:rsidRDefault="00276266" w:rsidP="00F27476">
            <w:pPr>
              <w:widowControl w:val="0"/>
              <w:autoSpaceDE w:val="0"/>
              <w:autoSpaceDN w:val="0"/>
              <w:adjustRightInd w:val="0"/>
              <w:spacing w:line="240" w:lineRule="auto"/>
              <w:jc w:val="center"/>
              <w:rPr>
                <w:b/>
              </w:rPr>
            </w:pPr>
            <w:r w:rsidRPr="00250FD0">
              <w:rPr>
                <w:b/>
              </w:rPr>
              <w:t>OF</w:t>
            </w:r>
          </w:p>
          <w:p w:rsidR="00276266" w:rsidRPr="00250FD0" w:rsidRDefault="00276266" w:rsidP="00F27476">
            <w:pPr>
              <w:widowControl w:val="0"/>
              <w:autoSpaceDE w:val="0"/>
              <w:autoSpaceDN w:val="0"/>
              <w:adjustRightInd w:val="0"/>
              <w:spacing w:line="240" w:lineRule="auto"/>
              <w:jc w:val="center"/>
              <w:rPr>
                <w:b/>
              </w:rPr>
            </w:pPr>
          </w:p>
          <w:p w:rsidR="00276266" w:rsidRPr="00250FD0" w:rsidRDefault="00276266" w:rsidP="00F27476">
            <w:pPr>
              <w:widowControl w:val="0"/>
              <w:autoSpaceDE w:val="0"/>
              <w:autoSpaceDN w:val="0"/>
              <w:adjustRightInd w:val="0"/>
              <w:spacing w:line="240" w:lineRule="auto"/>
              <w:jc w:val="center"/>
              <w:rPr>
                <w:b/>
              </w:rPr>
            </w:pPr>
          </w:p>
          <w:p w:rsidR="00276266" w:rsidRPr="00250FD0" w:rsidRDefault="00276266" w:rsidP="00F27476">
            <w:pPr>
              <w:widowControl w:val="0"/>
              <w:autoSpaceDE w:val="0"/>
              <w:autoSpaceDN w:val="0"/>
              <w:adjustRightInd w:val="0"/>
              <w:spacing w:line="240" w:lineRule="auto"/>
              <w:jc w:val="center"/>
              <w:rPr>
                <w:b/>
              </w:rPr>
            </w:pPr>
          </w:p>
          <w:p w:rsidR="00276266" w:rsidRPr="00250FD0" w:rsidRDefault="00276266" w:rsidP="00F27476">
            <w:pPr>
              <w:widowControl w:val="0"/>
              <w:autoSpaceDE w:val="0"/>
              <w:autoSpaceDN w:val="0"/>
              <w:adjustRightInd w:val="0"/>
              <w:spacing w:line="240" w:lineRule="auto"/>
              <w:jc w:val="center"/>
              <w:rPr>
                <w:b/>
              </w:rPr>
            </w:pPr>
          </w:p>
          <w:p w:rsidR="00276266" w:rsidRPr="00250FD0" w:rsidRDefault="00276266" w:rsidP="00F27476">
            <w:pPr>
              <w:widowControl w:val="0"/>
              <w:autoSpaceDE w:val="0"/>
              <w:autoSpaceDN w:val="0"/>
              <w:adjustRightInd w:val="0"/>
              <w:spacing w:line="240" w:lineRule="auto"/>
              <w:jc w:val="center"/>
              <w:rPr>
                <w:b/>
              </w:rPr>
            </w:pPr>
            <w:r w:rsidRPr="00250FD0">
              <w:rPr>
                <w:b/>
              </w:rPr>
              <w:t>ADMINISTRATIVE HEARINGS</w:t>
            </w:r>
          </w:p>
        </w:tc>
      </w:tr>
    </w:tbl>
    <w:p w:rsidR="00276266" w:rsidRPr="00250FD0" w:rsidRDefault="00276266" w:rsidP="00276266">
      <w:pPr>
        <w:widowControl w:val="0"/>
        <w:autoSpaceDE w:val="0"/>
        <w:autoSpaceDN w:val="0"/>
        <w:adjustRightInd w:val="0"/>
        <w:spacing w:line="240" w:lineRule="auto"/>
        <w:jc w:val="center"/>
        <w:rPr>
          <w:b/>
        </w:rPr>
      </w:pPr>
    </w:p>
    <w:p w:rsidR="00276266" w:rsidRDefault="005F58F4" w:rsidP="00276266">
      <w:pPr>
        <w:widowControl w:val="0"/>
        <w:autoSpaceDE w:val="0"/>
        <w:autoSpaceDN w:val="0"/>
        <w:adjustRightInd w:val="0"/>
        <w:spacing w:line="240" w:lineRule="auto"/>
        <w:jc w:val="center"/>
        <w:rPr>
          <w:b/>
        </w:rPr>
      </w:pPr>
      <w:r>
        <w:rPr>
          <w:b/>
        </w:rPr>
        <w:t>TABLE OF CONTENTS</w:t>
      </w:r>
    </w:p>
    <w:p w:rsidR="00276266" w:rsidRDefault="00276266">
      <w:pPr>
        <w:pStyle w:val="TOC1"/>
        <w:rPr>
          <w:b w:val="0"/>
        </w:rPr>
      </w:pPr>
    </w:p>
    <w:p w:rsidR="005F58F4" w:rsidRPr="005F58F4" w:rsidRDefault="005F58F4">
      <w:pPr>
        <w:pStyle w:val="TOC1"/>
        <w:rPr>
          <w:rFonts w:asciiTheme="minorHAnsi" w:eastAsiaTheme="minorEastAsia" w:hAnsiTheme="minorHAnsi"/>
          <w:b w:val="0"/>
          <w:sz w:val="22"/>
          <w:szCs w:val="22"/>
        </w:rPr>
      </w:pPr>
      <w:r w:rsidRPr="005F58F4">
        <w:rPr>
          <w:sz w:val="22"/>
          <w:szCs w:val="22"/>
        </w:rPr>
        <w:fldChar w:fldCharType="begin"/>
      </w:r>
      <w:r w:rsidRPr="005F58F4">
        <w:rPr>
          <w:sz w:val="22"/>
          <w:szCs w:val="22"/>
        </w:rPr>
        <w:instrText xml:space="preserve"> TOC \o "1-4" \h \z \u </w:instrText>
      </w:r>
      <w:r w:rsidRPr="005F58F4">
        <w:rPr>
          <w:sz w:val="22"/>
          <w:szCs w:val="22"/>
        </w:rPr>
        <w:fldChar w:fldCharType="separate"/>
      </w:r>
      <w:hyperlink w:anchor="_Toc431366920" w:history="1">
        <w:r w:rsidRPr="005F58F4">
          <w:rPr>
            <w:rStyle w:val="Hyperlink"/>
            <w:sz w:val="22"/>
            <w:szCs w:val="22"/>
          </w:rPr>
          <w:t>I.</w:t>
        </w:r>
        <w:r w:rsidRPr="005F58F4">
          <w:rPr>
            <w:rFonts w:asciiTheme="minorHAnsi" w:eastAsiaTheme="minorEastAsia" w:hAnsiTheme="minorHAnsi"/>
            <w:b w:val="0"/>
            <w:sz w:val="22"/>
            <w:szCs w:val="22"/>
          </w:rPr>
          <w:tab/>
        </w:r>
        <w:r w:rsidRPr="005F58F4">
          <w:rPr>
            <w:rStyle w:val="Hyperlink"/>
            <w:sz w:val="22"/>
            <w:szCs w:val="22"/>
          </w:rPr>
          <w:t>INTRODUCTION</w:t>
        </w:r>
        <w:r w:rsidRPr="005F58F4">
          <w:rPr>
            <w:webHidden/>
            <w:sz w:val="22"/>
            <w:szCs w:val="22"/>
          </w:rPr>
          <w:tab/>
        </w:r>
        <w:r w:rsidRPr="005F58F4">
          <w:rPr>
            <w:webHidden/>
            <w:sz w:val="22"/>
            <w:szCs w:val="22"/>
          </w:rPr>
          <w:fldChar w:fldCharType="begin"/>
        </w:r>
        <w:r w:rsidRPr="005F58F4">
          <w:rPr>
            <w:webHidden/>
            <w:sz w:val="22"/>
            <w:szCs w:val="22"/>
          </w:rPr>
          <w:instrText xml:space="preserve"> PAGEREF _Toc431366920 \h </w:instrText>
        </w:r>
        <w:r w:rsidRPr="005F58F4">
          <w:rPr>
            <w:webHidden/>
            <w:sz w:val="22"/>
            <w:szCs w:val="22"/>
          </w:rPr>
        </w:r>
        <w:r w:rsidRPr="005F58F4">
          <w:rPr>
            <w:webHidden/>
            <w:sz w:val="22"/>
            <w:szCs w:val="22"/>
          </w:rPr>
          <w:fldChar w:fldCharType="separate"/>
        </w:r>
        <w:r w:rsidR="00F60082">
          <w:rPr>
            <w:webHidden/>
            <w:sz w:val="22"/>
            <w:szCs w:val="22"/>
          </w:rPr>
          <w:t>1</w:t>
        </w:r>
        <w:r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21" w:history="1">
        <w:r w:rsidR="005F58F4" w:rsidRPr="005F58F4">
          <w:rPr>
            <w:rStyle w:val="Hyperlink"/>
            <w:sz w:val="22"/>
            <w:szCs w:val="22"/>
          </w:rPr>
          <w:t>II.</w:t>
        </w:r>
        <w:r w:rsidR="005F58F4" w:rsidRPr="005F58F4">
          <w:rPr>
            <w:rFonts w:asciiTheme="minorHAnsi" w:eastAsiaTheme="minorEastAsia" w:hAnsiTheme="minorHAnsi"/>
            <w:b w:val="0"/>
            <w:sz w:val="22"/>
            <w:szCs w:val="22"/>
          </w:rPr>
          <w:tab/>
        </w:r>
        <w:r w:rsidR="005F58F4" w:rsidRPr="005F58F4">
          <w:rPr>
            <w:rStyle w:val="Hyperlink"/>
            <w:sz w:val="22"/>
            <w:szCs w:val="22"/>
          </w:rPr>
          <w:t>PARTIES</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_Toc431366921 \h </w:instrText>
        </w:r>
        <w:r w:rsidR="005F58F4" w:rsidRPr="005F58F4">
          <w:rPr>
            <w:webHidden/>
            <w:sz w:val="22"/>
            <w:szCs w:val="22"/>
          </w:rPr>
        </w:r>
        <w:r w:rsidR="005F58F4" w:rsidRPr="005F58F4">
          <w:rPr>
            <w:webHidden/>
            <w:sz w:val="22"/>
            <w:szCs w:val="22"/>
          </w:rPr>
          <w:fldChar w:fldCharType="separate"/>
        </w:r>
        <w:r w:rsidR="00F60082">
          <w:rPr>
            <w:webHidden/>
            <w:sz w:val="22"/>
            <w:szCs w:val="22"/>
          </w:rPr>
          <w:t>2</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22" w:history="1">
        <w:r w:rsidR="005F58F4" w:rsidRPr="005F58F4">
          <w:rPr>
            <w:rStyle w:val="Hyperlink"/>
            <w:sz w:val="22"/>
            <w:szCs w:val="22"/>
          </w:rPr>
          <w:t>III.</w:t>
        </w:r>
        <w:r w:rsidR="005F58F4" w:rsidRPr="005F58F4">
          <w:rPr>
            <w:rFonts w:asciiTheme="minorHAnsi" w:eastAsiaTheme="minorEastAsia" w:hAnsiTheme="minorHAnsi"/>
            <w:b w:val="0"/>
            <w:sz w:val="22"/>
            <w:szCs w:val="22"/>
          </w:rPr>
          <w:tab/>
        </w:r>
        <w:r w:rsidR="005F58F4" w:rsidRPr="005F58F4">
          <w:rPr>
            <w:rStyle w:val="Hyperlink"/>
            <w:sz w:val="22"/>
            <w:szCs w:val="22"/>
          </w:rPr>
          <w:t>PROCEDURAL HISTORY</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_Toc431366922 \h </w:instrText>
        </w:r>
        <w:r w:rsidR="005F58F4" w:rsidRPr="005F58F4">
          <w:rPr>
            <w:webHidden/>
            <w:sz w:val="22"/>
            <w:szCs w:val="22"/>
          </w:rPr>
        </w:r>
        <w:r w:rsidR="005F58F4" w:rsidRPr="005F58F4">
          <w:rPr>
            <w:webHidden/>
            <w:sz w:val="22"/>
            <w:szCs w:val="22"/>
          </w:rPr>
          <w:fldChar w:fldCharType="separate"/>
        </w:r>
        <w:r w:rsidR="00F60082">
          <w:rPr>
            <w:webHidden/>
            <w:sz w:val="22"/>
            <w:szCs w:val="22"/>
          </w:rPr>
          <w:t>2</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23" w:history="1">
        <w:r w:rsidR="005F58F4" w:rsidRPr="005F58F4">
          <w:rPr>
            <w:rStyle w:val="Hyperlink"/>
            <w:sz w:val="22"/>
            <w:szCs w:val="22"/>
          </w:rPr>
          <w:t>IV.</w:t>
        </w:r>
        <w:r w:rsidR="005F58F4" w:rsidRPr="005F58F4">
          <w:rPr>
            <w:rFonts w:asciiTheme="minorHAnsi" w:eastAsiaTheme="minorEastAsia" w:hAnsiTheme="minorHAnsi"/>
            <w:b w:val="0"/>
            <w:sz w:val="22"/>
            <w:szCs w:val="22"/>
          </w:rPr>
          <w:tab/>
        </w:r>
        <w:r w:rsidR="005F58F4" w:rsidRPr="005F58F4">
          <w:rPr>
            <w:rStyle w:val="Hyperlink"/>
            <w:sz w:val="22"/>
            <w:szCs w:val="22"/>
          </w:rPr>
          <w:t>BACKGROUND</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_Toc431366923 \h </w:instrText>
        </w:r>
        <w:r w:rsidR="005F58F4" w:rsidRPr="005F58F4">
          <w:rPr>
            <w:webHidden/>
            <w:sz w:val="22"/>
            <w:szCs w:val="22"/>
          </w:rPr>
        </w:r>
        <w:r w:rsidR="005F58F4" w:rsidRPr="005F58F4">
          <w:rPr>
            <w:webHidden/>
            <w:sz w:val="22"/>
            <w:szCs w:val="22"/>
          </w:rPr>
          <w:fldChar w:fldCharType="separate"/>
        </w:r>
        <w:r w:rsidR="00F60082">
          <w:rPr>
            <w:webHidden/>
            <w:sz w:val="22"/>
            <w:szCs w:val="22"/>
          </w:rPr>
          <w:t>3</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24" w:history="1">
        <w:r w:rsidR="005F58F4" w:rsidRPr="005F58F4">
          <w:rPr>
            <w:rStyle w:val="Hyperlink"/>
            <w:sz w:val="22"/>
            <w:szCs w:val="22"/>
          </w:rPr>
          <w:t>V.</w:t>
        </w:r>
        <w:r w:rsidR="005F58F4" w:rsidRPr="005F58F4">
          <w:rPr>
            <w:rFonts w:asciiTheme="minorHAnsi" w:eastAsiaTheme="minorEastAsia" w:hAnsiTheme="minorHAnsi"/>
            <w:b w:val="0"/>
            <w:sz w:val="22"/>
            <w:szCs w:val="22"/>
          </w:rPr>
          <w:tab/>
        </w:r>
        <w:r w:rsidR="005F58F4" w:rsidRPr="005F58F4">
          <w:rPr>
            <w:rStyle w:val="Hyperlink"/>
            <w:sz w:val="22"/>
            <w:szCs w:val="22"/>
          </w:rPr>
          <w:t>JURISDICTION</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_Toc431366924 \h </w:instrText>
        </w:r>
        <w:r w:rsidR="005F58F4" w:rsidRPr="005F58F4">
          <w:rPr>
            <w:webHidden/>
            <w:sz w:val="22"/>
            <w:szCs w:val="22"/>
          </w:rPr>
        </w:r>
        <w:r w:rsidR="005F58F4" w:rsidRPr="005F58F4">
          <w:rPr>
            <w:webHidden/>
            <w:sz w:val="22"/>
            <w:szCs w:val="22"/>
          </w:rPr>
          <w:fldChar w:fldCharType="separate"/>
        </w:r>
        <w:r w:rsidR="00F60082">
          <w:rPr>
            <w:webHidden/>
            <w:sz w:val="22"/>
            <w:szCs w:val="22"/>
          </w:rPr>
          <w:t>7</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25" w:history="1">
        <w:r w:rsidR="005F58F4" w:rsidRPr="005F58F4">
          <w:rPr>
            <w:rStyle w:val="Hyperlink"/>
            <w:sz w:val="22"/>
            <w:szCs w:val="22"/>
          </w:rPr>
          <w:t>VI.</w:t>
        </w:r>
        <w:r w:rsidR="005F58F4" w:rsidRPr="005F58F4">
          <w:rPr>
            <w:rFonts w:asciiTheme="minorHAnsi" w:eastAsiaTheme="minorEastAsia" w:hAnsiTheme="minorHAnsi"/>
            <w:b w:val="0"/>
            <w:sz w:val="22"/>
            <w:szCs w:val="22"/>
          </w:rPr>
          <w:tab/>
        </w:r>
        <w:r w:rsidR="005F58F4" w:rsidRPr="005F58F4">
          <w:rPr>
            <w:rStyle w:val="Hyperlink"/>
            <w:sz w:val="22"/>
            <w:szCs w:val="22"/>
          </w:rPr>
          <w:t>BURDEN OF PROOF</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_Toc431366925 \h </w:instrText>
        </w:r>
        <w:r w:rsidR="005F58F4" w:rsidRPr="005F58F4">
          <w:rPr>
            <w:webHidden/>
            <w:sz w:val="22"/>
            <w:szCs w:val="22"/>
          </w:rPr>
        </w:r>
        <w:r w:rsidR="005F58F4" w:rsidRPr="005F58F4">
          <w:rPr>
            <w:webHidden/>
            <w:sz w:val="22"/>
            <w:szCs w:val="22"/>
          </w:rPr>
          <w:fldChar w:fldCharType="separate"/>
        </w:r>
        <w:r w:rsidR="00F60082">
          <w:rPr>
            <w:webHidden/>
            <w:sz w:val="22"/>
            <w:szCs w:val="22"/>
          </w:rPr>
          <w:t>9</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26" w:history="1">
        <w:r w:rsidR="005F58F4" w:rsidRPr="005F58F4">
          <w:rPr>
            <w:rStyle w:val="Hyperlink"/>
            <w:sz w:val="22"/>
            <w:szCs w:val="22"/>
          </w:rPr>
          <w:t>VII.</w:t>
        </w:r>
        <w:r w:rsidR="005F58F4" w:rsidRPr="005F58F4">
          <w:rPr>
            <w:rFonts w:asciiTheme="minorHAnsi" w:eastAsiaTheme="minorEastAsia" w:hAnsiTheme="minorHAnsi"/>
            <w:b w:val="0"/>
            <w:sz w:val="22"/>
            <w:szCs w:val="22"/>
          </w:rPr>
          <w:tab/>
        </w:r>
        <w:r w:rsidR="005F58F4" w:rsidRPr="005F58F4">
          <w:rPr>
            <w:rStyle w:val="Hyperlink"/>
            <w:sz w:val="22"/>
            <w:szCs w:val="22"/>
          </w:rPr>
          <w:t>THE PUBLIC INTEREST DETERMINATION</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_Toc431366926 \h </w:instrText>
        </w:r>
        <w:r w:rsidR="005F58F4" w:rsidRPr="005F58F4">
          <w:rPr>
            <w:webHidden/>
            <w:sz w:val="22"/>
            <w:szCs w:val="22"/>
          </w:rPr>
        </w:r>
        <w:r w:rsidR="005F58F4" w:rsidRPr="005F58F4">
          <w:rPr>
            <w:webHidden/>
            <w:sz w:val="22"/>
            <w:szCs w:val="22"/>
          </w:rPr>
          <w:fldChar w:fldCharType="separate"/>
        </w:r>
        <w:r w:rsidR="00F60082">
          <w:rPr>
            <w:webHidden/>
            <w:sz w:val="22"/>
            <w:szCs w:val="22"/>
          </w:rPr>
          <w:t>9</w:t>
        </w:r>
        <w:r w:rsidR="005F58F4" w:rsidRPr="005F58F4">
          <w:rPr>
            <w:webHidden/>
            <w:sz w:val="22"/>
            <w:szCs w:val="22"/>
          </w:rPr>
          <w:fldChar w:fldCharType="end"/>
        </w:r>
      </w:hyperlink>
    </w:p>
    <w:p w:rsidR="005F58F4" w:rsidRPr="005F58F4" w:rsidRDefault="008F1CD5">
      <w:pPr>
        <w:pStyle w:val="TOC2"/>
        <w:rPr>
          <w:rFonts w:asciiTheme="minorHAnsi" w:eastAsiaTheme="minorEastAsia" w:hAnsiTheme="minorHAnsi"/>
          <w:b w:val="0"/>
          <w:sz w:val="22"/>
          <w:szCs w:val="22"/>
        </w:rPr>
      </w:pPr>
      <w:hyperlink w:anchor="_Toc431366927" w:history="1">
        <w:r w:rsidR="005F58F4" w:rsidRPr="005F58F4">
          <w:rPr>
            <w:rStyle w:val="Hyperlink"/>
            <w:sz w:val="22"/>
            <w:szCs w:val="22"/>
          </w:rPr>
          <w:t>A.</w:t>
        </w:r>
        <w:r w:rsidR="005F58F4" w:rsidRPr="005F58F4">
          <w:rPr>
            <w:rFonts w:asciiTheme="minorHAnsi" w:eastAsiaTheme="minorEastAsia" w:hAnsiTheme="minorHAnsi"/>
            <w:b w:val="0"/>
            <w:sz w:val="22"/>
            <w:szCs w:val="22"/>
          </w:rPr>
          <w:tab/>
        </w:r>
        <w:r w:rsidR="005F58F4" w:rsidRPr="005F58F4">
          <w:rPr>
            <w:rStyle w:val="Hyperlink"/>
            <w:sz w:val="22"/>
            <w:szCs w:val="22"/>
          </w:rPr>
          <w:t>Requirement for an Initial Public Interest Determination</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_Toc431366927 \h </w:instrText>
        </w:r>
        <w:r w:rsidR="005F58F4" w:rsidRPr="005F58F4">
          <w:rPr>
            <w:webHidden/>
            <w:sz w:val="22"/>
            <w:szCs w:val="22"/>
          </w:rPr>
        </w:r>
        <w:r w:rsidR="005F58F4" w:rsidRPr="005F58F4">
          <w:rPr>
            <w:webHidden/>
            <w:sz w:val="22"/>
            <w:szCs w:val="22"/>
          </w:rPr>
          <w:fldChar w:fldCharType="separate"/>
        </w:r>
        <w:r w:rsidR="00F60082">
          <w:rPr>
            <w:webHidden/>
            <w:sz w:val="22"/>
            <w:szCs w:val="22"/>
          </w:rPr>
          <w:t>9</w:t>
        </w:r>
        <w:r w:rsidR="005F58F4" w:rsidRPr="005F58F4">
          <w:rPr>
            <w:webHidden/>
            <w:sz w:val="22"/>
            <w:szCs w:val="22"/>
          </w:rPr>
          <w:fldChar w:fldCharType="end"/>
        </w:r>
      </w:hyperlink>
    </w:p>
    <w:p w:rsidR="005F58F4" w:rsidRPr="005F58F4" w:rsidRDefault="008F1CD5">
      <w:pPr>
        <w:pStyle w:val="TOC2"/>
        <w:rPr>
          <w:rFonts w:asciiTheme="minorHAnsi" w:eastAsiaTheme="minorEastAsia" w:hAnsiTheme="minorHAnsi"/>
          <w:b w:val="0"/>
          <w:sz w:val="22"/>
          <w:szCs w:val="22"/>
        </w:rPr>
      </w:pPr>
      <w:hyperlink w:anchor="_Toc431366928" w:history="1">
        <w:r w:rsidR="005F58F4" w:rsidRPr="005F58F4">
          <w:rPr>
            <w:rStyle w:val="Hyperlink"/>
            <w:sz w:val="22"/>
            <w:szCs w:val="22"/>
          </w:rPr>
          <w:t>B.</w:t>
        </w:r>
        <w:r w:rsidR="005F58F4" w:rsidRPr="005F58F4">
          <w:rPr>
            <w:rFonts w:asciiTheme="minorHAnsi" w:eastAsiaTheme="minorEastAsia" w:hAnsiTheme="minorHAnsi"/>
            <w:b w:val="0"/>
            <w:sz w:val="22"/>
            <w:szCs w:val="22"/>
          </w:rPr>
          <w:tab/>
        </w:r>
        <w:r w:rsidR="005F58F4" w:rsidRPr="005F58F4">
          <w:rPr>
            <w:rStyle w:val="Hyperlink"/>
            <w:sz w:val="22"/>
            <w:szCs w:val="22"/>
          </w:rPr>
          <w:t>Determining Whether Public Interest Is Adversely Affected</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_Toc431366928 \h </w:instrText>
        </w:r>
        <w:r w:rsidR="005F58F4" w:rsidRPr="005F58F4">
          <w:rPr>
            <w:webHidden/>
            <w:sz w:val="22"/>
            <w:szCs w:val="22"/>
          </w:rPr>
        </w:r>
        <w:r w:rsidR="005F58F4" w:rsidRPr="005F58F4">
          <w:rPr>
            <w:webHidden/>
            <w:sz w:val="22"/>
            <w:szCs w:val="22"/>
          </w:rPr>
          <w:fldChar w:fldCharType="separate"/>
        </w:r>
        <w:r w:rsidR="00F60082">
          <w:rPr>
            <w:webHidden/>
            <w:sz w:val="22"/>
            <w:szCs w:val="22"/>
          </w:rPr>
          <w:t>10</w:t>
        </w:r>
        <w:r w:rsidR="005F58F4" w:rsidRPr="005F58F4">
          <w:rPr>
            <w:webHidden/>
            <w:sz w:val="22"/>
            <w:szCs w:val="22"/>
          </w:rPr>
          <w:fldChar w:fldCharType="end"/>
        </w:r>
      </w:hyperlink>
    </w:p>
    <w:p w:rsidR="005F58F4" w:rsidRPr="005F58F4" w:rsidRDefault="008F1CD5">
      <w:pPr>
        <w:pStyle w:val="TOC1"/>
        <w:tabs>
          <w:tab w:val="left" w:pos="1152"/>
        </w:tabs>
        <w:rPr>
          <w:rFonts w:asciiTheme="minorHAnsi" w:eastAsiaTheme="minorEastAsia" w:hAnsiTheme="minorHAnsi"/>
          <w:b w:val="0"/>
          <w:sz w:val="22"/>
          <w:szCs w:val="22"/>
        </w:rPr>
      </w:pPr>
      <w:hyperlink w:anchor="_Toc431366929" w:history="1">
        <w:r w:rsidR="005F58F4" w:rsidRPr="005F58F4">
          <w:rPr>
            <w:rStyle w:val="Hyperlink"/>
            <w:sz w:val="22"/>
            <w:szCs w:val="22"/>
          </w:rPr>
          <w:t>VIII.</w:t>
        </w:r>
        <w:r w:rsidR="005F58F4" w:rsidRPr="005F58F4">
          <w:rPr>
            <w:rFonts w:asciiTheme="minorHAnsi" w:eastAsiaTheme="minorEastAsia" w:hAnsiTheme="minorHAnsi"/>
            <w:b w:val="0"/>
            <w:sz w:val="22"/>
            <w:szCs w:val="22"/>
          </w:rPr>
          <w:tab/>
        </w:r>
        <w:r w:rsidR="005F58F4" w:rsidRPr="005F58F4">
          <w:rPr>
            <w:rStyle w:val="Hyperlink"/>
            <w:sz w:val="22"/>
            <w:szCs w:val="22"/>
          </w:rPr>
          <w:t>ALLEGED ABUSE OF MONOPOLY POWER</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_Toc431366929 \h </w:instrText>
        </w:r>
        <w:r w:rsidR="005F58F4" w:rsidRPr="005F58F4">
          <w:rPr>
            <w:webHidden/>
            <w:sz w:val="22"/>
            <w:szCs w:val="22"/>
          </w:rPr>
        </w:r>
        <w:r w:rsidR="005F58F4" w:rsidRPr="005F58F4">
          <w:rPr>
            <w:webHidden/>
            <w:sz w:val="22"/>
            <w:szCs w:val="22"/>
          </w:rPr>
          <w:fldChar w:fldCharType="separate"/>
        </w:r>
        <w:r w:rsidR="00F60082">
          <w:rPr>
            <w:webHidden/>
            <w:sz w:val="22"/>
            <w:szCs w:val="22"/>
          </w:rPr>
          <w:t>11</w:t>
        </w:r>
        <w:r w:rsidR="005F58F4" w:rsidRPr="005F58F4">
          <w:rPr>
            <w:webHidden/>
            <w:sz w:val="22"/>
            <w:szCs w:val="22"/>
          </w:rPr>
          <w:fldChar w:fldCharType="end"/>
        </w:r>
      </w:hyperlink>
    </w:p>
    <w:p w:rsidR="005F58F4" w:rsidRPr="005F58F4" w:rsidRDefault="008F1CD5">
      <w:pPr>
        <w:pStyle w:val="TOC2"/>
        <w:rPr>
          <w:rFonts w:asciiTheme="minorHAnsi" w:eastAsiaTheme="minorEastAsia" w:hAnsiTheme="minorHAnsi"/>
          <w:b w:val="0"/>
          <w:sz w:val="22"/>
          <w:szCs w:val="22"/>
        </w:rPr>
      </w:pPr>
      <w:hyperlink w:anchor="_Toc431366930" w:history="1">
        <w:r w:rsidR="005F58F4" w:rsidRPr="005F58F4">
          <w:rPr>
            <w:rStyle w:val="Hyperlink"/>
            <w:sz w:val="22"/>
            <w:szCs w:val="22"/>
          </w:rPr>
          <w:t>A.</w:t>
        </w:r>
        <w:r w:rsidR="005F58F4" w:rsidRPr="005F58F4">
          <w:rPr>
            <w:rFonts w:asciiTheme="minorHAnsi" w:eastAsiaTheme="minorEastAsia" w:hAnsiTheme="minorHAnsi"/>
            <w:b w:val="0"/>
            <w:sz w:val="22"/>
            <w:szCs w:val="22"/>
          </w:rPr>
          <w:tab/>
        </w:r>
        <w:r w:rsidR="005F58F4" w:rsidRPr="005F58F4">
          <w:rPr>
            <w:rStyle w:val="Hyperlink"/>
            <w:sz w:val="22"/>
            <w:szCs w:val="22"/>
          </w:rPr>
          <w:t>Bargaining Power of the Parties</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_Toc431366930 \h </w:instrText>
        </w:r>
        <w:r w:rsidR="005F58F4" w:rsidRPr="005F58F4">
          <w:rPr>
            <w:webHidden/>
            <w:sz w:val="22"/>
            <w:szCs w:val="22"/>
          </w:rPr>
        </w:r>
        <w:r w:rsidR="005F58F4" w:rsidRPr="005F58F4">
          <w:rPr>
            <w:webHidden/>
            <w:sz w:val="22"/>
            <w:szCs w:val="22"/>
          </w:rPr>
          <w:fldChar w:fldCharType="separate"/>
        </w:r>
        <w:r w:rsidR="00F60082">
          <w:rPr>
            <w:webHidden/>
            <w:sz w:val="22"/>
            <w:szCs w:val="22"/>
          </w:rPr>
          <w:t>12</w:t>
        </w:r>
        <w:r w:rsidR="005F58F4" w:rsidRPr="005F58F4">
          <w:rPr>
            <w:webHidden/>
            <w:sz w:val="22"/>
            <w:szCs w:val="22"/>
          </w:rPr>
          <w:fldChar w:fldCharType="end"/>
        </w:r>
      </w:hyperlink>
    </w:p>
    <w:p w:rsidR="005F58F4" w:rsidRPr="005F58F4" w:rsidRDefault="008F1CD5">
      <w:pPr>
        <w:pStyle w:val="TOC3"/>
        <w:rPr>
          <w:rFonts w:asciiTheme="minorHAnsi" w:eastAsiaTheme="minorEastAsia" w:hAnsiTheme="minorHAnsi"/>
          <w:b w:val="0"/>
          <w:noProof/>
          <w:sz w:val="22"/>
          <w:szCs w:val="22"/>
        </w:rPr>
      </w:pPr>
      <w:hyperlink w:anchor="_Toc431366931" w:history="1">
        <w:r w:rsidR="005F58F4" w:rsidRPr="005F58F4">
          <w:rPr>
            <w:rStyle w:val="Hyperlink"/>
            <w:noProof/>
            <w:sz w:val="22"/>
            <w:szCs w:val="22"/>
          </w:rPr>
          <w:t>1.</w:t>
        </w:r>
        <w:r w:rsidR="005F58F4" w:rsidRPr="005F58F4">
          <w:rPr>
            <w:rFonts w:asciiTheme="minorHAnsi" w:eastAsiaTheme="minorEastAsia" w:hAnsiTheme="minorHAnsi"/>
            <w:b w:val="0"/>
            <w:noProof/>
            <w:sz w:val="22"/>
            <w:szCs w:val="22"/>
          </w:rPr>
          <w:tab/>
        </w:r>
        <w:r w:rsidR="005F58F4" w:rsidRPr="005F58F4">
          <w:rPr>
            <w:rStyle w:val="Hyperlink"/>
            <w:noProof/>
            <w:sz w:val="22"/>
            <w:szCs w:val="22"/>
          </w:rPr>
          <w:t>Alternative Means of Service and Problems in Obtaining Alternative Service</w:t>
        </w:r>
        <w:r w:rsidR="005F58F4" w:rsidRPr="005F58F4">
          <w:rPr>
            <w:noProof/>
            <w:webHidden/>
            <w:sz w:val="22"/>
            <w:szCs w:val="22"/>
          </w:rPr>
          <w:tab/>
        </w:r>
        <w:r w:rsidR="005F58F4" w:rsidRPr="005F58F4">
          <w:rPr>
            <w:noProof/>
            <w:webHidden/>
            <w:sz w:val="22"/>
            <w:szCs w:val="22"/>
          </w:rPr>
          <w:fldChar w:fldCharType="begin"/>
        </w:r>
        <w:r w:rsidR="005F58F4" w:rsidRPr="005F58F4">
          <w:rPr>
            <w:noProof/>
            <w:webHidden/>
            <w:sz w:val="22"/>
            <w:szCs w:val="22"/>
          </w:rPr>
          <w:instrText xml:space="preserve"> PAGEREF _Toc431366931 \h </w:instrText>
        </w:r>
        <w:r w:rsidR="005F58F4" w:rsidRPr="005F58F4">
          <w:rPr>
            <w:noProof/>
            <w:webHidden/>
            <w:sz w:val="22"/>
            <w:szCs w:val="22"/>
          </w:rPr>
        </w:r>
        <w:r w:rsidR="005F58F4" w:rsidRPr="005F58F4">
          <w:rPr>
            <w:noProof/>
            <w:webHidden/>
            <w:sz w:val="22"/>
            <w:szCs w:val="22"/>
          </w:rPr>
          <w:fldChar w:fldCharType="separate"/>
        </w:r>
        <w:r w:rsidR="00F60082">
          <w:rPr>
            <w:noProof/>
            <w:webHidden/>
            <w:sz w:val="22"/>
            <w:szCs w:val="22"/>
          </w:rPr>
          <w:t>12</w:t>
        </w:r>
        <w:r w:rsidR="005F58F4" w:rsidRPr="005F58F4">
          <w:rPr>
            <w:noProof/>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32" w:history="1">
        <w:r w:rsidR="005F58F4" w:rsidRPr="005F58F4">
          <w:rPr>
            <w:rStyle w:val="Hyperlink"/>
            <w:sz w:val="22"/>
            <w:szCs w:val="22"/>
          </w:rPr>
          <w:t>a.</w:t>
        </w:r>
        <w:r w:rsidR="005F58F4" w:rsidRPr="005F58F4">
          <w:rPr>
            <w:rFonts w:asciiTheme="minorHAnsi" w:eastAsiaTheme="minorEastAsia" w:hAnsiTheme="minorHAnsi"/>
            <w:b w:val="0"/>
            <w:sz w:val="22"/>
            <w:szCs w:val="22"/>
          </w:rPr>
          <w:tab/>
        </w:r>
        <w:r w:rsidR="005F58F4" w:rsidRPr="005F58F4">
          <w:rPr>
            <w:rStyle w:val="Hyperlink"/>
            <w:sz w:val="22"/>
            <w:szCs w:val="22"/>
          </w:rPr>
          <w:t>TCMUD 12 Is Free To Seek An Alternative</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_Toc431366932 \h </w:instrText>
        </w:r>
        <w:r w:rsidR="005F58F4" w:rsidRPr="005F58F4">
          <w:rPr>
            <w:webHidden/>
            <w:sz w:val="22"/>
            <w:szCs w:val="22"/>
          </w:rPr>
        </w:r>
        <w:r w:rsidR="005F58F4" w:rsidRPr="005F58F4">
          <w:rPr>
            <w:webHidden/>
            <w:sz w:val="22"/>
            <w:szCs w:val="22"/>
          </w:rPr>
          <w:fldChar w:fldCharType="separate"/>
        </w:r>
        <w:r w:rsidR="00F60082">
          <w:rPr>
            <w:webHidden/>
            <w:sz w:val="22"/>
            <w:szCs w:val="22"/>
          </w:rPr>
          <w:t>12</w:t>
        </w:r>
        <w:r w:rsidR="005F58F4" w:rsidRPr="005F58F4">
          <w:rPr>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33" w:history="1">
        <w:r w:rsidR="005F58F4" w:rsidRPr="005F58F4">
          <w:rPr>
            <w:rStyle w:val="Hyperlink"/>
            <w:sz w:val="22"/>
            <w:szCs w:val="22"/>
          </w:rPr>
          <w:t>b.</w:t>
        </w:r>
        <w:r w:rsidR="005F58F4" w:rsidRPr="005F58F4">
          <w:rPr>
            <w:rFonts w:asciiTheme="minorHAnsi" w:eastAsiaTheme="minorEastAsia" w:hAnsiTheme="minorHAnsi"/>
            <w:b w:val="0"/>
            <w:sz w:val="22"/>
            <w:szCs w:val="22"/>
          </w:rPr>
          <w:tab/>
        </w:r>
        <w:r w:rsidR="005F58F4" w:rsidRPr="005F58F4">
          <w:rPr>
            <w:rStyle w:val="Hyperlink"/>
            <w:sz w:val="22"/>
            <w:szCs w:val="22"/>
          </w:rPr>
          <w:t>Treatment Capacity Needed</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_Toc431366933 \h </w:instrText>
        </w:r>
        <w:r w:rsidR="005F58F4" w:rsidRPr="005F58F4">
          <w:rPr>
            <w:webHidden/>
            <w:sz w:val="22"/>
            <w:szCs w:val="22"/>
          </w:rPr>
        </w:r>
        <w:r w:rsidR="005F58F4" w:rsidRPr="005F58F4">
          <w:rPr>
            <w:webHidden/>
            <w:sz w:val="22"/>
            <w:szCs w:val="22"/>
          </w:rPr>
          <w:fldChar w:fldCharType="separate"/>
        </w:r>
        <w:r w:rsidR="00F60082">
          <w:rPr>
            <w:webHidden/>
            <w:sz w:val="22"/>
            <w:szCs w:val="22"/>
          </w:rPr>
          <w:t>14</w:t>
        </w:r>
        <w:r w:rsidR="005F58F4" w:rsidRPr="005F58F4">
          <w:rPr>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34" w:history="1">
        <w:r w:rsidR="005F58F4" w:rsidRPr="005F58F4">
          <w:rPr>
            <w:rStyle w:val="Hyperlink"/>
            <w:sz w:val="22"/>
            <w:szCs w:val="22"/>
          </w:rPr>
          <w:t>c.</w:t>
        </w:r>
        <w:r w:rsidR="005F58F4" w:rsidRPr="005F58F4">
          <w:rPr>
            <w:rFonts w:asciiTheme="minorHAnsi" w:eastAsiaTheme="minorEastAsia" w:hAnsiTheme="minorHAnsi"/>
            <w:b w:val="0"/>
            <w:sz w:val="22"/>
            <w:szCs w:val="22"/>
          </w:rPr>
          <w:tab/>
        </w:r>
        <w:r w:rsidR="005F58F4" w:rsidRPr="005F58F4">
          <w:rPr>
            <w:rStyle w:val="Hyperlink"/>
            <w:sz w:val="22"/>
            <w:szCs w:val="22"/>
          </w:rPr>
          <w:t>Available Alternatives</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_Toc431366934 \h </w:instrText>
        </w:r>
        <w:r w:rsidR="005F58F4" w:rsidRPr="005F58F4">
          <w:rPr>
            <w:webHidden/>
            <w:sz w:val="22"/>
            <w:szCs w:val="22"/>
          </w:rPr>
        </w:r>
        <w:r w:rsidR="005F58F4" w:rsidRPr="005F58F4">
          <w:rPr>
            <w:webHidden/>
            <w:sz w:val="22"/>
            <w:szCs w:val="22"/>
          </w:rPr>
          <w:fldChar w:fldCharType="separate"/>
        </w:r>
        <w:r w:rsidR="00F60082">
          <w:rPr>
            <w:webHidden/>
            <w:sz w:val="22"/>
            <w:szCs w:val="22"/>
          </w:rPr>
          <w:t>15</w:t>
        </w:r>
        <w:r w:rsidR="005F58F4" w:rsidRPr="005F58F4">
          <w:rPr>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35" w:history="1">
        <w:r w:rsidR="005F58F4" w:rsidRPr="005F58F4">
          <w:rPr>
            <w:rStyle w:val="Hyperlink"/>
            <w:sz w:val="22"/>
            <w:szCs w:val="22"/>
          </w:rPr>
          <w:t>d.</w:t>
        </w:r>
        <w:r w:rsidR="005F58F4" w:rsidRPr="005F58F4">
          <w:rPr>
            <w:rFonts w:asciiTheme="minorHAnsi" w:eastAsiaTheme="minorEastAsia" w:hAnsiTheme="minorHAnsi"/>
            <w:b w:val="0"/>
            <w:sz w:val="22"/>
            <w:szCs w:val="22"/>
          </w:rPr>
          <w:tab/>
        </w:r>
        <w:r w:rsidR="005F58F4" w:rsidRPr="005F58F4">
          <w:rPr>
            <w:rStyle w:val="Hyperlink"/>
            <w:sz w:val="22"/>
            <w:szCs w:val="22"/>
          </w:rPr>
          <w:t>Costs of Alternatives</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_Toc431366935 \h </w:instrText>
        </w:r>
        <w:r w:rsidR="005F58F4" w:rsidRPr="005F58F4">
          <w:rPr>
            <w:webHidden/>
            <w:sz w:val="22"/>
            <w:szCs w:val="22"/>
          </w:rPr>
        </w:r>
        <w:r w:rsidR="005F58F4" w:rsidRPr="005F58F4">
          <w:rPr>
            <w:webHidden/>
            <w:sz w:val="22"/>
            <w:szCs w:val="22"/>
          </w:rPr>
          <w:fldChar w:fldCharType="separate"/>
        </w:r>
        <w:r w:rsidR="00F60082">
          <w:rPr>
            <w:webHidden/>
            <w:sz w:val="22"/>
            <w:szCs w:val="22"/>
          </w:rPr>
          <w:t>20</w:t>
        </w:r>
        <w:r w:rsidR="005F58F4" w:rsidRPr="005F58F4">
          <w:rPr>
            <w:webHidden/>
            <w:sz w:val="22"/>
            <w:szCs w:val="22"/>
          </w:rPr>
          <w:fldChar w:fldCharType="end"/>
        </w:r>
      </w:hyperlink>
    </w:p>
    <w:p w:rsidR="005F58F4" w:rsidRPr="005F58F4" w:rsidRDefault="008F1CD5">
      <w:pPr>
        <w:pStyle w:val="TOC3"/>
        <w:rPr>
          <w:rFonts w:asciiTheme="minorHAnsi" w:eastAsiaTheme="minorEastAsia" w:hAnsiTheme="minorHAnsi"/>
          <w:b w:val="0"/>
          <w:noProof/>
          <w:sz w:val="22"/>
          <w:szCs w:val="22"/>
        </w:rPr>
      </w:pPr>
      <w:hyperlink w:anchor="_Toc431366936" w:history="1">
        <w:r w:rsidR="005F58F4" w:rsidRPr="005F58F4">
          <w:rPr>
            <w:rStyle w:val="Hyperlink"/>
            <w:noProof/>
            <w:sz w:val="22"/>
            <w:szCs w:val="22"/>
          </w:rPr>
          <w:t>2.</w:t>
        </w:r>
        <w:r w:rsidR="005F58F4" w:rsidRPr="005F58F4">
          <w:rPr>
            <w:rFonts w:asciiTheme="minorHAnsi" w:eastAsiaTheme="minorEastAsia" w:hAnsiTheme="minorHAnsi"/>
            <w:b w:val="0"/>
            <w:noProof/>
            <w:sz w:val="22"/>
            <w:szCs w:val="22"/>
          </w:rPr>
          <w:tab/>
        </w:r>
        <w:r w:rsidR="005F58F4" w:rsidRPr="005F58F4">
          <w:rPr>
            <w:rStyle w:val="Hyperlink"/>
            <w:noProof/>
            <w:sz w:val="22"/>
            <w:szCs w:val="22"/>
          </w:rPr>
          <w:t>Other Bargaining Power Factors</w:t>
        </w:r>
        <w:r w:rsidR="005F58F4" w:rsidRPr="005F58F4">
          <w:rPr>
            <w:noProof/>
            <w:webHidden/>
            <w:sz w:val="22"/>
            <w:szCs w:val="22"/>
          </w:rPr>
          <w:tab/>
        </w:r>
        <w:r w:rsidR="005F58F4" w:rsidRPr="005F58F4">
          <w:rPr>
            <w:noProof/>
            <w:webHidden/>
            <w:sz w:val="22"/>
            <w:szCs w:val="22"/>
          </w:rPr>
          <w:fldChar w:fldCharType="begin"/>
        </w:r>
        <w:r w:rsidR="005F58F4" w:rsidRPr="005F58F4">
          <w:rPr>
            <w:noProof/>
            <w:webHidden/>
            <w:sz w:val="22"/>
            <w:szCs w:val="22"/>
          </w:rPr>
          <w:instrText xml:space="preserve"> PAGEREF _Toc431366936 \h </w:instrText>
        </w:r>
        <w:r w:rsidR="005F58F4" w:rsidRPr="005F58F4">
          <w:rPr>
            <w:noProof/>
            <w:webHidden/>
            <w:sz w:val="22"/>
            <w:szCs w:val="22"/>
          </w:rPr>
        </w:r>
        <w:r w:rsidR="005F58F4" w:rsidRPr="005F58F4">
          <w:rPr>
            <w:noProof/>
            <w:webHidden/>
            <w:sz w:val="22"/>
            <w:szCs w:val="22"/>
          </w:rPr>
          <w:fldChar w:fldCharType="separate"/>
        </w:r>
        <w:r w:rsidR="00F60082">
          <w:rPr>
            <w:noProof/>
            <w:webHidden/>
            <w:sz w:val="22"/>
            <w:szCs w:val="22"/>
          </w:rPr>
          <w:t>23</w:t>
        </w:r>
        <w:r w:rsidR="005F58F4" w:rsidRPr="005F58F4">
          <w:rPr>
            <w:noProof/>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37" w:history="1">
        <w:r w:rsidR="005F58F4" w:rsidRPr="005F58F4">
          <w:rPr>
            <w:rStyle w:val="Hyperlink"/>
            <w:sz w:val="22"/>
            <w:szCs w:val="22"/>
          </w:rPr>
          <w:t>a.</w:t>
        </w:r>
        <w:r w:rsidR="005F58F4" w:rsidRPr="005F58F4">
          <w:rPr>
            <w:rFonts w:asciiTheme="minorHAnsi" w:eastAsiaTheme="minorEastAsia" w:hAnsiTheme="minorHAnsi"/>
            <w:b w:val="0"/>
            <w:sz w:val="22"/>
            <w:szCs w:val="22"/>
          </w:rPr>
          <w:tab/>
        </w:r>
        <w:r w:rsidR="005F58F4" w:rsidRPr="005F58F4">
          <w:rPr>
            <w:rStyle w:val="Hyperlink"/>
            <w:sz w:val="22"/>
            <w:szCs w:val="22"/>
          </w:rPr>
          <w:t>Connection Fee in Prior Rates</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_Toc431366937 \h </w:instrText>
        </w:r>
        <w:r w:rsidR="005F58F4" w:rsidRPr="005F58F4">
          <w:rPr>
            <w:webHidden/>
            <w:sz w:val="22"/>
            <w:szCs w:val="22"/>
          </w:rPr>
        </w:r>
        <w:r w:rsidR="005F58F4" w:rsidRPr="005F58F4">
          <w:rPr>
            <w:webHidden/>
            <w:sz w:val="22"/>
            <w:szCs w:val="22"/>
          </w:rPr>
          <w:fldChar w:fldCharType="separate"/>
        </w:r>
        <w:r w:rsidR="00F60082">
          <w:rPr>
            <w:webHidden/>
            <w:sz w:val="22"/>
            <w:szCs w:val="22"/>
          </w:rPr>
          <w:t>23</w:t>
        </w:r>
        <w:r w:rsidR="005F58F4" w:rsidRPr="005F58F4">
          <w:rPr>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38" w:history="1">
        <w:r w:rsidR="005F58F4" w:rsidRPr="005F58F4">
          <w:rPr>
            <w:rStyle w:val="Hyperlink"/>
            <w:sz w:val="22"/>
            <w:szCs w:val="22"/>
          </w:rPr>
          <w:t>b.</w:t>
        </w:r>
        <w:r w:rsidR="005F58F4" w:rsidRPr="005F58F4">
          <w:rPr>
            <w:rFonts w:asciiTheme="minorHAnsi" w:eastAsiaTheme="minorEastAsia" w:hAnsiTheme="minorHAnsi"/>
            <w:b w:val="0"/>
            <w:sz w:val="22"/>
            <w:szCs w:val="22"/>
          </w:rPr>
          <w:tab/>
        </w:r>
        <w:r w:rsidR="005F58F4" w:rsidRPr="005F58F4">
          <w:rPr>
            <w:rStyle w:val="Hyperlink"/>
            <w:sz w:val="22"/>
            <w:szCs w:val="22"/>
          </w:rPr>
          <w:t>Option to Amend Contract</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_Toc431366938 \h </w:instrText>
        </w:r>
        <w:r w:rsidR="005F58F4" w:rsidRPr="005F58F4">
          <w:rPr>
            <w:webHidden/>
            <w:sz w:val="22"/>
            <w:szCs w:val="22"/>
          </w:rPr>
        </w:r>
        <w:r w:rsidR="005F58F4" w:rsidRPr="005F58F4">
          <w:rPr>
            <w:webHidden/>
            <w:sz w:val="22"/>
            <w:szCs w:val="22"/>
          </w:rPr>
          <w:fldChar w:fldCharType="separate"/>
        </w:r>
        <w:r w:rsidR="00F60082">
          <w:rPr>
            <w:webHidden/>
            <w:sz w:val="22"/>
            <w:szCs w:val="22"/>
          </w:rPr>
          <w:t>24</w:t>
        </w:r>
        <w:r w:rsidR="005F58F4" w:rsidRPr="005F58F4">
          <w:rPr>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39" w:history="1">
        <w:r w:rsidR="005F58F4" w:rsidRPr="005F58F4">
          <w:rPr>
            <w:rStyle w:val="Hyperlink"/>
            <w:sz w:val="22"/>
            <w:szCs w:val="22"/>
          </w:rPr>
          <w:t>c.</w:t>
        </w:r>
        <w:r w:rsidR="005F58F4" w:rsidRPr="005F58F4">
          <w:rPr>
            <w:rFonts w:asciiTheme="minorHAnsi" w:eastAsiaTheme="minorEastAsia" w:hAnsiTheme="minorHAnsi"/>
            <w:b w:val="0"/>
            <w:sz w:val="22"/>
            <w:szCs w:val="22"/>
          </w:rPr>
          <w:tab/>
        </w:r>
        <w:r w:rsidR="005F58F4" w:rsidRPr="005F58F4">
          <w:rPr>
            <w:rStyle w:val="Hyperlink"/>
            <w:sz w:val="22"/>
            <w:szCs w:val="22"/>
          </w:rPr>
          <w:t>Input before Protested Rates Implemented</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_Toc431366939 \h </w:instrText>
        </w:r>
        <w:r w:rsidR="005F58F4" w:rsidRPr="005F58F4">
          <w:rPr>
            <w:webHidden/>
            <w:sz w:val="22"/>
            <w:szCs w:val="22"/>
          </w:rPr>
        </w:r>
        <w:r w:rsidR="005F58F4" w:rsidRPr="005F58F4">
          <w:rPr>
            <w:webHidden/>
            <w:sz w:val="22"/>
            <w:szCs w:val="22"/>
          </w:rPr>
          <w:fldChar w:fldCharType="separate"/>
        </w:r>
        <w:r w:rsidR="00F60082">
          <w:rPr>
            <w:webHidden/>
            <w:sz w:val="22"/>
            <w:szCs w:val="22"/>
          </w:rPr>
          <w:t>26</w:t>
        </w:r>
        <w:r w:rsidR="005F58F4" w:rsidRPr="005F58F4">
          <w:rPr>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40" w:history="1">
        <w:r w:rsidR="005F58F4" w:rsidRPr="005F58F4">
          <w:rPr>
            <w:rStyle w:val="Hyperlink"/>
            <w:sz w:val="22"/>
            <w:szCs w:val="22"/>
          </w:rPr>
          <w:t>d.</w:t>
        </w:r>
        <w:r w:rsidR="005F58F4" w:rsidRPr="005F58F4">
          <w:rPr>
            <w:rFonts w:asciiTheme="minorHAnsi" w:eastAsiaTheme="minorEastAsia" w:hAnsiTheme="minorHAnsi"/>
            <w:b w:val="0"/>
            <w:sz w:val="22"/>
            <w:szCs w:val="22"/>
          </w:rPr>
          <w:tab/>
        </w:r>
        <w:r w:rsidR="005F58F4" w:rsidRPr="005F58F4">
          <w:rPr>
            <w:rStyle w:val="Hyperlink"/>
            <w:sz w:val="22"/>
            <w:szCs w:val="22"/>
          </w:rPr>
          <w:t>WTCPUA’s Risk of Losing TCMUD 12 as a Customer</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_Toc431366940 \h </w:instrText>
        </w:r>
        <w:r w:rsidR="005F58F4" w:rsidRPr="005F58F4">
          <w:rPr>
            <w:webHidden/>
            <w:sz w:val="22"/>
            <w:szCs w:val="22"/>
          </w:rPr>
        </w:r>
        <w:r w:rsidR="005F58F4" w:rsidRPr="005F58F4">
          <w:rPr>
            <w:webHidden/>
            <w:sz w:val="22"/>
            <w:szCs w:val="22"/>
          </w:rPr>
          <w:fldChar w:fldCharType="separate"/>
        </w:r>
        <w:r w:rsidR="00F60082">
          <w:rPr>
            <w:webHidden/>
            <w:sz w:val="22"/>
            <w:szCs w:val="22"/>
          </w:rPr>
          <w:t>27</w:t>
        </w:r>
        <w:r w:rsidR="005F58F4" w:rsidRPr="005F58F4">
          <w:rPr>
            <w:webHidden/>
            <w:sz w:val="22"/>
            <w:szCs w:val="22"/>
          </w:rPr>
          <w:fldChar w:fldCharType="end"/>
        </w:r>
      </w:hyperlink>
    </w:p>
    <w:p w:rsidR="005F58F4" w:rsidRPr="005F58F4" w:rsidRDefault="008F1CD5">
      <w:pPr>
        <w:pStyle w:val="TOC4"/>
        <w:rPr>
          <w:rFonts w:asciiTheme="minorHAnsi" w:eastAsiaTheme="minorEastAsia" w:hAnsiTheme="minorHAnsi"/>
          <w:b w:val="0"/>
          <w:sz w:val="22"/>
          <w:szCs w:val="22"/>
        </w:rPr>
      </w:pPr>
      <w:hyperlink w:anchor="_Toc431366941" w:history="1">
        <w:r w:rsidR="005F58F4" w:rsidRPr="005F58F4">
          <w:rPr>
            <w:rStyle w:val="Hyperlink"/>
            <w:sz w:val="22"/>
            <w:szCs w:val="22"/>
          </w:rPr>
          <w:t>e.</w:t>
        </w:r>
        <w:r w:rsidR="005F58F4" w:rsidRPr="005F58F4">
          <w:rPr>
            <w:rFonts w:asciiTheme="minorHAnsi" w:eastAsiaTheme="minorEastAsia" w:hAnsiTheme="minorHAnsi"/>
            <w:b w:val="0"/>
            <w:sz w:val="22"/>
            <w:szCs w:val="22"/>
          </w:rPr>
          <w:tab/>
        </w:r>
        <w:r w:rsidR="005F58F4" w:rsidRPr="005F58F4">
          <w:rPr>
            <w:rStyle w:val="Hyperlink"/>
            <w:sz w:val="22"/>
            <w:szCs w:val="22"/>
          </w:rPr>
          <w:t>ALJ’s Conclusion Concerning Disparate Bargaining Power</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_Toc431366941 \h </w:instrText>
        </w:r>
        <w:r w:rsidR="005F58F4" w:rsidRPr="005F58F4">
          <w:rPr>
            <w:webHidden/>
            <w:sz w:val="22"/>
            <w:szCs w:val="22"/>
          </w:rPr>
        </w:r>
        <w:r w:rsidR="005F58F4" w:rsidRPr="005F58F4">
          <w:rPr>
            <w:webHidden/>
            <w:sz w:val="22"/>
            <w:szCs w:val="22"/>
          </w:rPr>
          <w:fldChar w:fldCharType="separate"/>
        </w:r>
        <w:r w:rsidR="00F60082">
          <w:rPr>
            <w:webHidden/>
            <w:sz w:val="22"/>
            <w:szCs w:val="22"/>
          </w:rPr>
          <w:t>28</w:t>
        </w:r>
        <w:r w:rsidR="005F58F4" w:rsidRPr="005F58F4">
          <w:rPr>
            <w:webHidden/>
            <w:sz w:val="22"/>
            <w:szCs w:val="22"/>
          </w:rPr>
          <w:fldChar w:fldCharType="end"/>
        </w:r>
      </w:hyperlink>
    </w:p>
    <w:p w:rsidR="005F58F4" w:rsidRPr="005F58F4" w:rsidRDefault="008F1CD5">
      <w:pPr>
        <w:pStyle w:val="TOC2"/>
        <w:rPr>
          <w:rFonts w:asciiTheme="minorHAnsi" w:eastAsiaTheme="minorEastAsia" w:hAnsiTheme="minorHAnsi"/>
          <w:b w:val="0"/>
          <w:sz w:val="22"/>
          <w:szCs w:val="22"/>
        </w:rPr>
      </w:pPr>
      <w:hyperlink w:anchor="_Toc431366942" w:history="1">
        <w:r w:rsidR="005F58F4" w:rsidRPr="005F58F4">
          <w:rPr>
            <w:rStyle w:val="Hyperlink"/>
            <w:sz w:val="22"/>
            <w:szCs w:val="22"/>
          </w:rPr>
          <w:t>B.</w:t>
        </w:r>
        <w:r w:rsidR="005F58F4" w:rsidRPr="005F58F4">
          <w:rPr>
            <w:rFonts w:asciiTheme="minorHAnsi" w:eastAsiaTheme="minorEastAsia" w:hAnsiTheme="minorHAnsi"/>
            <w:b w:val="0"/>
            <w:sz w:val="22"/>
            <w:szCs w:val="22"/>
          </w:rPr>
          <w:tab/>
        </w:r>
        <w:r w:rsidR="005F58F4" w:rsidRPr="005F58F4">
          <w:rPr>
            <w:rStyle w:val="Hyperlink"/>
            <w:sz w:val="22"/>
            <w:szCs w:val="22"/>
          </w:rPr>
          <w:t>Methodologies for Computation of Revenue Requirement and Rates</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_Toc431366942 \h </w:instrText>
        </w:r>
        <w:r w:rsidR="005F58F4" w:rsidRPr="005F58F4">
          <w:rPr>
            <w:webHidden/>
            <w:sz w:val="22"/>
            <w:szCs w:val="22"/>
          </w:rPr>
        </w:r>
        <w:r w:rsidR="005F58F4" w:rsidRPr="005F58F4">
          <w:rPr>
            <w:webHidden/>
            <w:sz w:val="22"/>
            <w:szCs w:val="22"/>
          </w:rPr>
          <w:fldChar w:fldCharType="separate"/>
        </w:r>
        <w:r w:rsidR="00F60082">
          <w:rPr>
            <w:webHidden/>
            <w:sz w:val="22"/>
            <w:szCs w:val="22"/>
          </w:rPr>
          <w:t>30</w:t>
        </w:r>
        <w:r w:rsidR="005F58F4" w:rsidRPr="005F58F4">
          <w:rPr>
            <w:webHidden/>
            <w:sz w:val="22"/>
            <w:szCs w:val="22"/>
          </w:rPr>
          <w:fldChar w:fldCharType="end"/>
        </w:r>
      </w:hyperlink>
    </w:p>
    <w:p w:rsidR="005F58F4" w:rsidRPr="005F58F4" w:rsidRDefault="008F1CD5">
      <w:pPr>
        <w:pStyle w:val="TOC3"/>
        <w:rPr>
          <w:rFonts w:asciiTheme="minorHAnsi" w:eastAsiaTheme="minorEastAsia" w:hAnsiTheme="minorHAnsi"/>
          <w:b w:val="0"/>
          <w:noProof/>
          <w:sz w:val="22"/>
          <w:szCs w:val="22"/>
        </w:rPr>
      </w:pPr>
      <w:hyperlink w:anchor="_Toc431366943" w:history="1">
        <w:r w:rsidR="005F58F4" w:rsidRPr="005F58F4">
          <w:rPr>
            <w:rStyle w:val="Hyperlink"/>
            <w:noProof/>
            <w:sz w:val="22"/>
            <w:szCs w:val="22"/>
          </w:rPr>
          <w:t>1.</w:t>
        </w:r>
        <w:r w:rsidR="005F58F4" w:rsidRPr="005F58F4">
          <w:rPr>
            <w:rFonts w:asciiTheme="minorHAnsi" w:eastAsiaTheme="minorEastAsia" w:hAnsiTheme="minorHAnsi"/>
            <w:b w:val="0"/>
            <w:noProof/>
            <w:sz w:val="22"/>
            <w:szCs w:val="22"/>
          </w:rPr>
          <w:tab/>
        </w:r>
        <w:r w:rsidR="005F58F4" w:rsidRPr="005F58F4">
          <w:rPr>
            <w:rStyle w:val="Hyperlink"/>
            <w:noProof/>
            <w:sz w:val="22"/>
            <w:szCs w:val="22"/>
          </w:rPr>
          <w:t>Alleged Change in Revenue-requirement Computation Methodology</w:t>
        </w:r>
        <w:r w:rsidR="005F58F4" w:rsidRPr="005F58F4">
          <w:rPr>
            <w:noProof/>
            <w:webHidden/>
            <w:sz w:val="22"/>
            <w:szCs w:val="22"/>
          </w:rPr>
          <w:tab/>
        </w:r>
        <w:r w:rsidR="005F58F4" w:rsidRPr="005F58F4">
          <w:rPr>
            <w:noProof/>
            <w:webHidden/>
            <w:sz w:val="22"/>
            <w:szCs w:val="22"/>
          </w:rPr>
          <w:fldChar w:fldCharType="begin"/>
        </w:r>
        <w:r w:rsidR="005F58F4" w:rsidRPr="005F58F4">
          <w:rPr>
            <w:noProof/>
            <w:webHidden/>
            <w:sz w:val="22"/>
            <w:szCs w:val="22"/>
          </w:rPr>
          <w:instrText xml:space="preserve"> PAGEREF _Toc431366943 \h </w:instrText>
        </w:r>
        <w:r w:rsidR="005F58F4" w:rsidRPr="005F58F4">
          <w:rPr>
            <w:noProof/>
            <w:webHidden/>
            <w:sz w:val="22"/>
            <w:szCs w:val="22"/>
          </w:rPr>
        </w:r>
        <w:r w:rsidR="005F58F4" w:rsidRPr="005F58F4">
          <w:rPr>
            <w:noProof/>
            <w:webHidden/>
            <w:sz w:val="22"/>
            <w:szCs w:val="22"/>
          </w:rPr>
          <w:fldChar w:fldCharType="separate"/>
        </w:r>
        <w:r w:rsidR="00F60082">
          <w:rPr>
            <w:noProof/>
            <w:webHidden/>
            <w:sz w:val="22"/>
            <w:szCs w:val="22"/>
          </w:rPr>
          <w:t>30</w:t>
        </w:r>
        <w:r w:rsidR="005F58F4" w:rsidRPr="005F58F4">
          <w:rPr>
            <w:noProof/>
            <w:webHidden/>
            <w:sz w:val="22"/>
            <w:szCs w:val="22"/>
          </w:rPr>
          <w:fldChar w:fldCharType="end"/>
        </w:r>
      </w:hyperlink>
    </w:p>
    <w:p w:rsidR="005F58F4" w:rsidRPr="005F58F4" w:rsidRDefault="008F1CD5">
      <w:pPr>
        <w:pStyle w:val="TOC3"/>
        <w:rPr>
          <w:rFonts w:asciiTheme="minorHAnsi" w:eastAsiaTheme="minorEastAsia" w:hAnsiTheme="minorHAnsi"/>
          <w:b w:val="0"/>
          <w:noProof/>
          <w:sz w:val="22"/>
          <w:szCs w:val="22"/>
        </w:rPr>
      </w:pPr>
      <w:hyperlink w:anchor="_Toc431366944" w:history="1">
        <w:r w:rsidR="005F58F4" w:rsidRPr="005F58F4">
          <w:rPr>
            <w:rStyle w:val="Hyperlink"/>
            <w:noProof/>
            <w:sz w:val="22"/>
            <w:szCs w:val="22"/>
          </w:rPr>
          <w:t>2.</w:t>
        </w:r>
        <w:r w:rsidR="005F58F4" w:rsidRPr="005F58F4">
          <w:rPr>
            <w:rFonts w:asciiTheme="minorHAnsi" w:eastAsiaTheme="minorEastAsia" w:hAnsiTheme="minorHAnsi"/>
            <w:b w:val="0"/>
            <w:noProof/>
            <w:sz w:val="22"/>
            <w:szCs w:val="22"/>
          </w:rPr>
          <w:tab/>
        </w:r>
        <w:r w:rsidR="005F58F4" w:rsidRPr="005F58F4">
          <w:rPr>
            <w:rStyle w:val="Hyperlink"/>
            <w:noProof/>
            <w:sz w:val="22"/>
            <w:szCs w:val="22"/>
          </w:rPr>
          <w:t>Computation Methodology and Cost-of-Service Analysis</w:t>
        </w:r>
        <w:r w:rsidR="005F58F4" w:rsidRPr="005F58F4">
          <w:rPr>
            <w:noProof/>
            <w:webHidden/>
            <w:sz w:val="22"/>
            <w:szCs w:val="22"/>
          </w:rPr>
          <w:tab/>
        </w:r>
        <w:r w:rsidR="005F58F4" w:rsidRPr="005F58F4">
          <w:rPr>
            <w:noProof/>
            <w:webHidden/>
            <w:sz w:val="22"/>
            <w:szCs w:val="22"/>
          </w:rPr>
          <w:fldChar w:fldCharType="begin"/>
        </w:r>
        <w:r w:rsidR="005F58F4" w:rsidRPr="005F58F4">
          <w:rPr>
            <w:noProof/>
            <w:webHidden/>
            <w:sz w:val="22"/>
            <w:szCs w:val="22"/>
          </w:rPr>
          <w:instrText xml:space="preserve"> PAGEREF _Toc431366944 \h </w:instrText>
        </w:r>
        <w:r w:rsidR="005F58F4" w:rsidRPr="005F58F4">
          <w:rPr>
            <w:noProof/>
            <w:webHidden/>
            <w:sz w:val="22"/>
            <w:szCs w:val="22"/>
          </w:rPr>
        </w:r>
        <w:r w:rsidR="005F58F4" w:rsidRPr="005F58F4">
          <w:rPr>
            <w:noProof/>
            <w:webHidden/>
            <w:sz w:val="22"/>
            <w:szCs w:val="22"/>
          </w:rPr>
          <w:fldChar w:fldCharType="separate"/>
        </w:r>
        <w:r w:rsidR="00F60082">
          <w:rPr>
            <w:noProof/>
            <w:webHidden/>
            <w:sz w:val="22"/>
            <w:szCs w:val="22"/>
          </w:rPr>
          <w:t>31</w:t>
        </w:r>
        <w:r w:rsidR="005F58F4" w:rsidRPr="005F58F4">
          <w:rPr>
            <w:noProof/>
            <w:webHidden/>
            <w:sz w:val="22"/>
            <w:szCs w:val="22"/>
          </w:rPr>
          <w:fldChar w:fldCharType="end"/>
        </w:r>
      </w:hyperlink>
    </w:p>
    <w:p w:rsidR="005F58F4" w:rsidRPr="005F58F4" w:rsidRDefault="008F1CD5">
      <w:pPr>
        <w:pStyle w:val="TOC3"/>
        <w:rPr>
          <w:rFonts w:asciiTheme="minorHAnsi" w:eastAsiaTheme="minorEastAsia" w:hAnsiTheme="minorHAnsi"/>
          <w:b w:val="0"/>
          <w:noProof/>
          <w:sz w:val="22"/>
          <w:szCs w:val="22"/>
        </w:rPr>
      </w:pPr>
      <w:hyperlink w:anchor="_Toc431366945" w:history="1">
        <w:r w:rsidR="005F58F4" w:rsidRPr="005F58F4">
          <w:rPr>
            <w:rStyle w:val="Hyperlink"/>
            <w:noProof/>
            <w:sz w:val="22"/>
            <w:szCs w:val="22"/>
          </w:rPr>
          <w:t>3.</w:t>
        </w:r>
        <w:r w:rsidR="005F58F4" w:rsidRPr="005F58F4">
          <w:rPr>
            <w:rFonts w:asciiTheme="minorHAnsi" w:eastAsiaTheme="minorEastAsia" w:hAnsiTheme="minorHAnsi"/>
            <w:b w:val="0"/>
            <w:noProof/>
            <w:sz w:val="22"/>
            <w:szCs w:val="22"/>
          </w:rPr>
          <w:tab/>
        </w:r>
        <w:r w:rsidR="005F58F4" w:rsidRPr="005F58F4">
          <w:rPr>
            <w:rStyle w:val="Hyperlink"/>
            <w:noProof/>
            <w:sz w:val="22"/>
            <w:szCs w:val="22"/>
          </w:rPr>
          <w:t>Evidence Does Not Show WTCPUA Changed its Revenue Requirement Computation Methodology</w:t>
        </w:r>
        <w:r w:rsidR="005F58F4" w:rsidRPr="005F58F4">
          <w:rPr>
            <w:noProof/>
            <w:webHidden/>
            <w:sz w:val="22"/>
            <w:szCs w:val="22"/>
          </w:rPr>
          <w:tab/>
        </w:r>
        <w:r w:rsidR="005F58F4" w:rsidRPr="005F58F4">
          <w:rPr>
            <w:noProof/>
            <w:webHidden/>
            <w:sz w:val="22"/>
            <w:szCs w:val="22"/>
          </w:rPr>
          <w:fldChar w:fldCharType="begin"/>
        </w:r>
        <w:r w:rsidR="005F58F4" w:rsidRPr="005F58F4">
          <w:rPr>
            <w:noProof/>
            <w:webHidden/>
            <w:sz w:val="22"/>
            <w:szCs w:val="22"/>
          </w:rPr>
          <w:instrText xml:space="preserve"> PAGEREF _Toc431366945 \h </w:instrText>
        </w:r>
        <w:r w:rsidR="005F58F4" w:rsidRPr="005F58F4">
          <w:rPr>
            <w:noProof/>
            <w:webHidden/>
            <w:sz w:val="22"/>
            <w:szCs w:val="22"/>
          </w:rPr>
        </w:r>
        <w:r w:rsidR="005F58F4" w:rsidRPr="005F58F4">
          <w:rPr>
            <w:noProof/>
            <w:webHidden/>
            <w:sz w:val="22"/>
            <w:szCs w:val="22"/>
          </w:rPr>
          <w:fldChar w:fldCharType="separate"/>
        </w:r>
        <w:r w:rsidR="00F60082">
          <w:rPr>
            <w:noProof/>
            <w:webHidden/>
            <w:sz w:val="22"/>
            <w:szCs w:val="22"/>
          </w:rPr>
          <w:t>37</w:t>
        </w:r>
        <w:r w:rsidR="005F58F4" w:rsidRPr="005F58F4">
          <w:rPr>
            <w:noProof/>
            <w:webHidden/>
            <w:sz w:val="22"/>
            <w:szCs w:val="22"/>
          </w:rPr>
          <w:fldChar w:fldCharType="end"/>
        </w:r>
      </w:hyperlink>
    </w:p>
    <w:p w:rsidR="005F58F4" w:rsidRPr="005F58F4" w:rsidRDefault="008F1CD5">
      <w:pPr>
        <w:pStyle w:val="TOC3"/>
        <w:rPr>
          <w:rFonts w:asciiTheme="minorHAnsi" w:eastAsiaTheme="minorEastAsia" w:hAnsiTheme="minorHAnsi"/>
          <w:b w:val="0"/>
          <w:noProof/>
          <w:sz w:val="22"/>
          <w:szCs w:val="22"/>
        </w:rPr>
      </w:pPr>
      <w:hyperlink w:anchor="_Toc431366946" w:history="1">
        <w:r w:rsidR="005F58F4" w:rsidRPr="005F58F4">
          <w:rPr>
            <w:rStyle w:val="Hyperlink"/>
            <w:noProof/>
            <w:sz w:val="22"/>
            <w:szCs w:val="22"/>
          </w:rPr>
          <w:t>4.</w:t>
        </w:r>
        <w:r w:rsidR="005F58F4" w:rsidRPr="005F58F4">
          <w:rPr>
            <w:rFonts w:asciiTheme="minorHAnsi" w:eastAsiaTheme="minorEastAsia" w:hAnsiTheme="minorHAnsi"/>
            <w:b w:val="0"/>
            <w:noProof/>
            <w:sz w:val="22"/>
            <w:szCs w:val="22"/>
          </w:rPr>
          <w:tab/>
        </w:r>
        <w:r w:rsidR="005F58F4" w:rsidRPr="005F58F4">
          <w:rPr>
            <w:rStyle w:val="Hyperlink"/>
            <w:noProof/>
            <w:sz w:val="22"/>
            <w:szCs w:val="22"/>
          </w:rPr>
          <w:t>Alleged Changes in Rate Computation Methodology</w:t>
        </w:r>
        <w:r w:rsidR="005F58F4" w:rsidRPr="005F58F4">
          <w:rPr>
            <w:noProof/>
            <w:webHidden/>
            <w:sz w:val="22"/>
            <w:szCs w:val="22"/>
          </w:rPr>
          <w:tab/>
        </w:r>
        <w:r w:rsidR="005F58F4" w:rsidRPr="005F58F4">
          <w:rPr>
            <w:noProof/>
            <w:webHidden/>
            <w:sz w:val="22"/>
            <w:szCs w:val="22"/>
          </w:rPr>
          <w:fldChar w:fldCharType="begin"/>
        </w:r>
        <w:r w:rsidR="005F58F4" w:rsidRPr="005F58F4">
          <w:rPr>
            <w:noProof/>
            <w:webHidden/>
            <w:sz w:val="22"/>
            <w:szCs w:val="22"/>
          </w:rPr>
          <w:instrText xml:space="preserve"> PAGEREF _Toc431366946 \h </w:instrText>
        </w:r>
        <w:r w:rsidR="005F58F4" w:rsidRPr="005F58F4">
          <w:rPr>
            <w:noProof/>
            <w:webHidden/>
            <w:sz w:val="22"/>
            <w:szCs w:val="22"/>
          </w:rPr>
        </w:r>
        <w:r w:rsidR="005F58F4" w:rsidRPr="005F58F4">
          <w:rPr>
            <w:noProof/>
            <w:webHidden/>
            <w:sz w:val="22"/>
            <w:szCs w:val="22"/>
          </w:rPr>
          <w:fldChar w:fldCharType="separate"/>
        </w:r>
        <w:r w:rsidR="00F60082">
          <w:rPr>
            <w:noProof/>
            <w:webHidden/>
            <w:sz w:val="22"/>
            <w:szCs w:val="22"/>
          </w:rPr>
          <w:t>42</w:t>
        </w:r>
        <w:r w:rsidR="005F58F4" w:rsidRPr="005F58F4">
          <w:rPr>
            <w:noProof/>
            <w:webHidden/>
            <w:sz w:val="22"/>
            <w:szCs w:val="22"/>
          </w:rPr>
          <w:fldChar w:fldCharType="end"/>
        </w:r>
      </w:hyperlink>
    </w:p>
    <w:p w:rsidR="005F58F4" w:rsidRPr="005F58F4" w:rsidRDefault="008F1CD5">
      <w:pPr>
        <w:pStyle w:val="TOC3"/>
        <w:rPr>
          <w:rFonts w:asciiTheme="minorHAnsi" w:eastAsiaTheme="minorEastAsia" w:hAnsiTheme="minorHAnsi"/>
          <w:b w:val="0"/>
          <w:noProof/>
          <w:sz w:val="22"/>
          <w:szCs w:val="22"/>
        </w:rPr>
      </w:pPr>
      <w:hyperlink w:anchor="_Toc431366947" w:history="1">
        <w:r w:rsidR="005F58F4" w:rsidRPr="005F58F4">
          <w:rPr>
            <w:rStyle w:val="Hyperlink"/>
            <w:noProof/>
            <w:sz w:val="22"/>
            <w:szCs w:val="22"/>
          </w:rPr>
          <w:t>5.</w:t>
        </w:r>
        <w:r w:rsidR="005F58F4" w:rsidRPr="005F58F4">
          <w:rPr>
            <w:rFonts w:asciiTheme="minorHAnsi" w:eastAsiaTheme="minorEastAsia" w:hAnsiTheme="minorHAnsi"/>
            <w:b w:val="0"/>
            <w:noProof/>
            <w:sz w:val="22"/>
            <w:szCs w:val="22"/>
          </w:rPr>
          <w:tab/>
        </w:r>
        <w:r w:rsidR="005F58F4" w:rsidRPr="005F58F4">
          <w:rPr>
            <w:rStyle w:val="Hyperlink"/>
            <w:noProof/>
            <w:sz w:val="22"/>
            <w:szCs w:val="22"/>
          </w:rPr>
          <w:t>Evidence Does Not Show WTCPUA Changed it Rate Computation Methodology</w:t>
        </w:r>
        <w:r w:rsidR="005F58F4" w:rsidRPr="005F58F4">
          <w:rPr>
            <w:noProof/>
            <w:webHidden/>
            <w:sz w:val="22"/>
            <w:szCs w:val="22"/>
          </w:rPr>
          <w:tab/>
        </w:r>
        <w:r w:rsidR="005F58F4" w:rsidRPr="005F58F4">
          <w:rPr>
            <w:noProof/>
            <w:webHidden/>
            <w:sz w:val="22"/>
            <w:szCs w:val="22"/>
          </w:rPr>
          <w:fldChar w:fldCharType="begin"/>
        </w:r>
        <w:r w:rsidR="005F58F4" w:rsidRPr="005F58F4">
          <w:rPr>
            <w:noProof/>
            <w:webHidden/>
            <w:sz w:val="22"/>
            <w:szCs w:val="22"/>
          </w:rPr>
          <w:instrText xml:space="preserve"> PAGEREF _Toc431366947 \h </w:instrText>
        </w:r>
        <w:r w:rsidR="005F58F4" w:rsidRPr="005F58F4">
          <w:rPr>
            <w:noProof/>
            <w:webHidden/>
            <w:sz w:val="22"/>
            <w:szCs w:val="22"/>
          </w:rPr>
        </w:r>
        <w:r w:rsidR="005F58F4" w:rsidRPr="005F58F4">
          <w:rPr>
            <w:noProof/>
            <w:webHidden/>
            <w:sz w:val="22"/>
            <w:szCs w:val="22"/>
          </w:rPr>
          <w:fldChar w:fldCharType="separate"/>
        </w:r>
        <w:r w:rsidR="00F60082">
          <w:rPr>
            <w:noProof/>
            <w:webHidden/>
            <w:sz w:val="22"/>
            <w:szCs w:val="22"/>
          </w:rPr>
          <w:t>44</w:t>
        </w:r>
        <w:r w:rsidR="005F58F4" w:rsidRPr="005F58F4">
          <w:rPr>
            <w:noProof/>
            <w:webHidden/>
            <w:sz w:val="22"/>
            <w:szCs w:val="22"/>
          </w:rPr>
          <w:fldChar w:fldCharType="end"/>
        </w:r>
      </w:hyperlink>
    </w:p>
    <w:p w:rsidR="005F58F4" w:rsidRPr="005F58F4" w:rsidRDefault="008F1CD5">
      <w:pPr>
        <w:pStyle w:val="TOC2"/>
        <w:rPr>
          <w:rFonts w:asciiTheme="minorHAnsi" w:eastAsiaTheme="minorEastAsia" w:hAnsiTheme="minorHAnsi"/>
          <w:b w:val="0"/>
          <w:sz w:val="22"/>
          <w:szCs w:val="22"/>
        </w:rPr>
      </w:pPr>
      <w:hyperlink w:anchor="_Toc431366948" w:history="1">
        <w:r w:rsidR="005F58F4" w:rsidRPr="005F58F4">
          <w:rPr>
            <w:rStyle w:val="Hyperlink"/>
            <w:sz w:val="22"/>
            <w:szCs w:val="22"/>
          </w:rPr>
          <w:t>C.</w:t>
        </w:r>
        <w:r w:rsidR="005F58F4" w:rsidRPr="005F58F4">
          <w:rPr>
            <w:rFonts w:asciiTheme="minorHAnsi" w:eastAsiaTheme="minorEastAsia" w:hAnsiTheme="minorHAnsi"/>
            <w:b w:val="0"/>
            <w:sz w:val="22"/>
            <w:szCs w:val="22"/>
          </w:rPr>
          <w:tab/>
        </w:r>
        <w:r w:rsidR="005F58F4" w:rsidRPr="005F58F4">
          <w:rPr>
            <w:rStyle w:val="Hyperlink"/>
            <w:sz w:val="22"/>
            <w:szCs w:val="22"/>
          </w:rPr>
          <w:t>Evidence Does Not Show That WTCPUA Is a Monopoly or Has Abused Any Monopoly Power It Might Have</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_Toc431366948 \h </w:instrText>
        </w:r>
        <w:r w:rsidR="005F58F4" w:rsidRPr="005F58F4">
          <w:rPr>
            <w:webHidden/>
            <w:sz w:val="22"/>
            <w:szCs w:val="22"/>
          </w:rPr>
        </w:r>
        <w:r w:rsidR="005F58F4" w:rsidRPr="005F58F4">
          <w:rPr>
            <w:webHidden/>
            <w:sz w:val="22"/>
            <w:szCs w:val="22"/>
          </w:rPr>
          <w:fldChar w:fldCharType="separate"/>
        </w:r>
        <w:r w:rsidR="00F60082">
          <w:rPr>
            <w:webHidden/>
            <w:sz w:val="22"/>
            <w:szCs w:val="22"/>
          </w:rPr>
          <w:t>47</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49" w:history="1">
        <w:r w:rsidR="005F58F4" w:rsidRPr="005F58F4">
          <w:rPr>
            <w:rStyle w:val="Hyperlink"/>
            <w:sz w:val="22"/>
            <w:szCs w:val="22"/>
          </w:rPr>
          <w:t>IX.</w:t>
        </w:r>
        <w:r w:rsidR="005F58F4" w:rsidRPr="005F58F4">
          <w:rPr>
            <w:rFonts w:asciiTheme="minorHAnsi" w:eastAsiaTheme="minorEastAsia" w:hAnsiTheme="minorHAnsi"/>
            <w:b w:val="0"/>
            <w:sz w:val="22"/>
            <w:szCs w:val="22"/>
          </w:rPr>
          <w:tab/>
        </w:r>
        <w:r w:rsidR="005F58F4" w:rsidRPr="005F58F4">
          <w:rPr>
            <w:rStyle w:val="Hyperlink"/>
            <w:sz w:val="22"/>
            <w:szCs w:val="22"/>
          </w:rPr>
          <w:t>EVIDENCE DOES NOT SHOW THAT THE PROTESTED RATES ADVERSELY AFFECT THE PUBLIC INTEREST</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_Toc431366949 \h </w:instrText>
        </w:r>
        <w:r w:rsidR="005F58F4" w:rsidRPr="005F58F4">
          <w:rPr>
            <w:webHidden/>
            <w:sz w:val="22"/>
            <w:szCs w:val="22"/>
          </w:rPr>
        </w:r>
        <w:r w:rsidR="005F58F4" w:rsidRPr="005F58F4">
          <w:rPr>
            <w:webHidden/>
            <w:sz w:val="22"/>
            <w:szCs w:val="22"/>
          </w:rPr>
          <w:fldChar w:fldCharType="separate"/>
        </w:r>
        <w:r w:rsidR="00F60082">
          <w:rPr>
            <w:webHidden/>
            <w:sz w:val="22"/>
            <w:szCs w:val="22"/>
          </w:rPr>
          <w:t>51</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50" w:history="1">
        <w:r w:rsidR="005F58F4" w:rsidRPr="005F58F4">
          <w:rPr>
            <w:rStyle w:val="Hyperlink"/>
            <w:sz w:val="22"/>
            <w:szCs w:val="22"/>
          </w:rPr>
          <w:t>X.</w:t>
        </w:r>
        <w:r w:rsidR="005F58F4" w:rsidRPr="005F58F4">
          <w:rPr>
            <w:rFonts w:asciiTheme="minorHAnsi" w:eastAsiaTheme="minorEastAsia" w:hAnsiTheme="minorHAnsi"/>
            <w:b w:val="0"/>
            <w:sz w:val="22"/>
            <w:szCs w:val="22"/>
          </w:rPr>
          <w:tab/>
        </w:r>
        <w:r w:rsidR="005F58F4" w:rsidRPr="005F58F4">
          <w:rPr>
            <w:rStyle w:val="Hyperlink"/>
            <w:sz w:val="22"/>
            <w:szCs w:val="22"/>
          </w:rPr>
          <w:t>TRANSCRIPTION COSTS</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_Toc431366950 \h </w:instrText>
        </w:r>
        <w:r w:rsidR="005F58F4" w:rsidRPr="005F58F4">
          <w:rPr>
            <w:webHidden/>
            <w:sz w:val="22"/>
            <w:szCs w:val="22"/>
          </w:rPr>
        </w:r>
        <w:r w:rsidR="005F58F4" w:rsidRPr="005F58F4">
          <w:rPr>
            <w:webHidden/>
            <w:sz w:val="22"/>
            <w:szCs w:val="22"/>
          </w:rPr>
          <w:fldChar w:fldCharType="separate"/>
        </w:r>
        <w:r w:rsidR="00F60082">
          <w:rPr>
            <w:webHidden/>
            <w:sz w:val="22"/>
            <w:szCs w:val="22"/>
          </w:rPr>
          <w:t>51</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51" w:history="1">
        <w:r w:rsidR="005F58F4" w:rsidRPr="005F58F4">
          <w:rPr>
            <w:rStyle w:val="Hyperlink"/>
            <w:sz w:val="22"/>
            <w:szCs w:val="22"/>
          </w:rPr>
          <w:t>XI.</w:t>
        </w:r>
        <w:r w:rsidR="005F58F4" w:rsidRPr="005F58F4">
          <w:rPr>
            <w:rFonts w:asciiTheme="minorHAnsi" w:eastAsiaTheme="minorEastAsia" w:hAnsiTheme="minorHAnsi"/>
            <w:b w:val="0"/>
            <w:sz w:val="22"/>
            <w:szCs w:val="22"/>
          </w:rPr>
          <w:tab/>
        </w:r>
        <w:r w:rsidR="005F58F4" w:rsidRPr="005F58F4">
          <w:rPr>
            <w:rStyle w:val="Hyperlink"/>
            <w:sz w:val="22"/>
            <w:szCs w:val="22"/>
          </w:rPr>
          <w:t>RECOMMENDATION</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_Toc431366951 \h </w:instrText>
        </w:r>
        <w:r w:rsidR="005F58F4" w:rsidRPr="005F58F4">
          <w:rPr>
            <w:webHidden/>
            <w:sz w:val="22"/>
            <w:szCs w:val="22"/>
          </w:rPr>
        </w:r>
        <w:r w:rsidR="005F58F4" w:rsidRPr="005F58F4">
          <w:rPr>
            <w:webHidden/>
            <w:sz w:val="22"/>
            <w:szCs w:val="22"/>
          </w:rPr>
          <w:fldChar w:fldCharType="separate"/>
        </w:r>
        <w:r w:rsidR="00F60082">
          <w:rPr>
            <w:webHidden/>
            <w:sz w:val="22"/>
            <w:szCs w:val="22"/>
          </w:rPr>
          <w:t>52</w:t>
        </w:r>
        <w:r w:rsidR="005F58F4" w:rsidRPr="005F58F4">
          <w:rPr>
            <w:webHidden/>
            <w:sz w:val="22"/>
            <w:szCs w:val="22"/>
          </w:rPr>
          <w:fldChar w:fldCharType="end"/>
        </w:r>
      </w:hyperlink>
    </w:p>
    <w:p w:rsidR="005F58F4" w:rsidRPr="005F58F4" w:rsidRDefault="008F1CD5">
      <w:pPr>
        <w:pStyle w:val="TOC1"/>
        <w:rPr>
          <w:rFonts w:asciiTheme="minorHAnsi" w:eastAsiaTheme="minorEastAsia" w:hAnsiTheme="minorHAnsi"/>
          <w:b w:val="0"/>
          <w:sz w:val="22"/>
          <w:szCs w:val="22"/>
        </w:rPr>
      </w:pPr>
      <w:hyperlink w:anchor="_Toc431366952" w:history="1">
        <w:r w:rsidR="005F58F4" w:rsidRPr="005F58F4">
          <w:rPr>
            <w:rStyle w:val="Hyperlink"/>
            <w:sz w:val="22"/>
            <w:szCs w:val="22"/>
          </w:rPr>
          <w:t>XII.</w:t>
        </w:r>
        <w:r w:rsidR="005F58F4" w:rsidRPr="005F58F4">
          <w:rPr>
            <w:rFonts w:asciiTheme="minorHAnsi" w:eastAsiaTheme="minorEastAsia" w:hAnsiTheme="minorHAnsi"/>
            <w:b w:val="0"/>
            <w:sz w:val="22"/>
            <w:szCs w:val="22"/>
          </w:rPr>
          <w:tab/>
        </w:r>
        <w:r w:rsidR="005F58F4" w:rsidRPr="005F58F4">
          <w:rPr>
            <w:rStyle w:val="Hyperlink"/>
            <w:sz w:val="22"/>
            <w:szCs w:val="22"/>
          </w:rPr>
          <w:t>FINDINGS OF FACT</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_Toc431366952 \h </w:instrText>
        </w:r>
        <w:r w:rsidR="005F58F4" w:rsidRPr="005F58F4">
          <w:rPr>
            <w:webHidden/>
            <w:sz w:val="22"/>
            <w:szCs w:val="22"/>
          </w:rPr>
        </w:r>
        <w:r w:rsidR="005F58F4" w:rsidRPr="005F58F4">
          <w:rPr>
            <w:webHidden/>
            <w:sz w:val="22"/>
            <w:szCs w:val="22"/>
          </w:rPr>
          <w:fldChar w:fldCharType="separate"/>
        </w:r>
        <w:r w:rsidR="00F60082">
          <w:rPr>
            <w:webHidden/>
            <w:sz w:val="22"/>
            <w:szCs w:val="22"/>
          </w:rPr>
          <w:t>52</w:t>
        </w:r>
        <w:r w:rsidR="005F58F4" w:rsidRPr="005F58F4">
          <w:rPr>
            <w:webHidden/>
            <w:sz w:val="22"/>
            <w:szCs w:val="22"/>
          </w:rPr>
          <w:fldChar w:fldCharType="end"/>
        </w:r>
      </w:hyperlink>
    </w:p>
    <w:p w:rsidR="005F58F4" w:rsidRPr="005F58F4" w:rsidRDefault="008F1CD5">
      <w:pPr>
        <w:pStyle w:val="TOC1"/>
        <w:tabs>
          <w:tab w:val="left" w:pos="1152"/>
        </w:tabs>
        <w:rPr>
          <w:rFonts w:asciiTheme="minorHAnsi" w:eastAsiaTheme="minorEastAsia" w:hAnsiTheme="minorHAnsi"/>
          <w:b w:val="0"/>
          <w:sz w:val="22"/>
          <w:szCs w:val="22"/>
        </w:rPr>
      </w:pPr>
      <w:hyperlink w:anchor="_Toc431366953" w:history="1">
        <w:r w:rsidR="005F58F4" w:rsidRPr="005F58F4">
          <w:rPr>
            <w:rStyle w:val="Hyperlink"/>
            <w:sz w:val="22"/>
            <w:szCs w:val="22"/>
          </w:rPr>
          <w:t>XIII.</w:t>
        </w:r>
        <w:r w:rsidR="005F58F4" w:rsidRPr="005F58F4">
          <w:rPr>
            <w:rFonts w:asciiTheme="minorHAnsi" w:eastAsiaTheme="minorEastAsia" w:hAnsiTheme="minorHAnsi"/>
            <w:b w:val="0"/>
            <w:sz w:val="22"/>
            <w:szCs w:val="22"/>
          </w:rPr>
          <w:tab/>
        </w:r>
        <w:r w:rsidR="005F58F4" w:rsidRPr="005F58F4">
          <w:rPr>
            <w:rStyle w:val="Hyperlink"/>
            <w:sz w:val="22"/>
            <w:szCs w:val="22"/>
          </w:rPr>
          <w:t>CONCLUSIONS OF LAW</w:t>
        </w:r>
        <w:r w:rsidR="005F58F4" w:rsidRPr="005F58F4">
          <w:rPr>
            <w:webHidden/>
            <w:sz w:val="22"/>
            <w:szCs w:val="22"/>
          </w:rPr>
          <w:tab/>
        </w:r>
        <w:r w:rsidR="005F58F4" w:rsidRPr="005F58F4">
          <w:rPr>
            <w:webHidden/>
            <w:sz w:val="22"/>
            <w:szCs w:val="22"/>
          </w:rPr>
          <w:fldChar w:fldCharType="begin"/>
        </w:r>
        <w:r w:rsidR="005F58F4" w:rsidRPr="005F58F4">
          <w:rPr>
            <w:webHidden/>
            <w:sz w:val="22"/>
            <w:szCs w:val="22"/>
          </w:rPr>
          <w:instrText xml:space="preserve"> PAGEREF _Toc431366953 \h </w:instrText>
        </w:r>
        <w:r w:rsidR="005F58F4" w:rsidRPr="005F58F4">
          <w:rPr>
            <w:webHidden/>
            <w:sz w:val="22"/>
            <w:szCs w:val="22"/>
          </w:rPr>
        </w:r>
        <w:r w:rsidR="005F58F4" w:rsidRPr="005F58F4">
          <w:rPr>
            <w:webHidden/>
            <w:sz w:val="22"/>
            <w:szCs w:val="22"/>
          </w:rPr>
          <w:fldChar w:fldCharType="separate"/>
        </w:r>
        <w:r w:rsidR="00F60082">
          <w:rPr>
            <w:webHidden/>
            <w:sz w:val="22"/>
            <w:szCs w:val="22"/>
          </w:rPr>
          <w:t>62</w:t>
        </w:r>
        <w:r w:rsidR="005F58F4" w:rsidRPr="005F58F4">
          <w:rPr>
            <w:webHidden/>
            <w:sz w:val="22"/>
            <w:szCs w:val="22"/>
          </w:rPr>
          <w:fldChar w:fldCharType="end"/>
        </w:r>
      </w:hyperlink>
    </w:p>
    <w:p w:rsidR="00276266" w:rsidRDefault="005F58F4" w:rsidP="00183A59">
      <w:pPr>
        <w:widowControl w:val="0"/>
        <w:autoSpaceDE w:val="0"/>
        <w:autoSpaceDN w:val="0"/>
        <w:adjustRightInd w:val="0"/>
        <w:spacing w:line="240" w:lineRule="auto"/>
        <w:jc w:val="center"/>
        <w:rPr>
          <w:b/>
        </w:rPr>
      </w:pPr>
      <w:r w:rsidRPr="005F58F4">
        <w:rPr>
          <w:rFonts w:eastAsiaTheme="minorHAnsi" w:cstheme="minorBidi"/>
          <w:noProof/>
          <w:sz w:val="22"/>
          <w:szCs w:val="22"/>
        </w:rPr>
        <w:fldChar w:fldCharType="end"/>
      </w:r>
    </w:p>
    <w:p w:rsidR="00276266" w:rsidRDefault="00276266" w:rsidP="00183A59">
      <w:pPr>
        <w:widowControl w:val="0"/>
        <w:autoSpaceDE w:val="0"/>
        <w:autoSpaceDN w:val="0"/>
        <w:adjustRightInd w:val="0"/>
        <w:spacing w:line="240" w:lineRule="auto"/>
        <w:jc w:val="center"/>
        <w:rPr>
          <w:b/>
        </w:rPr>
      </w:pPr>
    </w:p>
    <w:p w:rsidR="00C12710" w:rsidRDefault="00C12710" w:rsidP="00183A59">
      <w:pPr>
        <w:widowControl w:val="0"/>
        <w:autoSpaceDE w:val="0"/>
        <w:autoSpaceDN w:val="0"/>
        <w:adjustRightInd w:val="0"/>
        <w:spacing w:line="240" w:lineRule="auto"/>
        <w:jc w:val="center"/>
        <w:rPr>
          <w:b/>
        </w:rPr>
        <w:sectPr w:rsidR="00C12710" w:rsidSect="00250FD0">
          <w:headerReference w:type="default" r:id="rId8"/>
          <w:pgSz w:w="12240" w:h="15840"/>
          <w:pgMar w:top="1440" w:right="1440" w:bottom="1440" w:left="1440" w:header="720" w:footer="720" w:gutter="0"/>
          <w:cols w:space="720"/>
          <w:titlePg/>
          <w:docGrid w:linePitch="360"/>
        </w:sectPr>
      </w:pPr>
    </w:p>
    <w:p w:rsidR="00250FD0" w:rsidRPr="00250FD0" w:rsidRDefault="00250FD0" w:rsidP="00183A59">
      <w:pPr>
        <w:widowControl w:val="0"/>
        <w:autoSpaceDE w:val="0"/>
        <w:autoSpaceDN w:val="0"/>
        <w:adjustRightInd w:val="0"/>
        <w:spacing w:line="240" w:lineRule="auto"/>
        <w:jc w:val="center"/>
        <w:rPr>
          <w:b/>
        </w:rPr>
      </w:pPr>
      <w:r w:rsidRPr="00250FD0">
        <w:rPr>
          <w:b/>
        </w:rPr>
        <w:lastRenderedPageBreak/>
        <w:t>SOAH DOCKET NO. 473-14-5144.WS</w:t>
      </w:r>
    </w:p>
    <w:p w:rsidR="00250FD0" w:rsidRPr="00250FD0" w:rsidRDefault="00250FD0" w:rsidP="00183A59">
      <w:pPr>
        <w:widowControl w:val="0"/>
        <w:autoSpaceDE w:val="0"/>
        <w:autoSpaceDN w:val="0"/>
        <w:adjustRightInd w:val="0"/>
        <w:spacing w:line="240" w:lineRule="auto"/>
        <w:jc w:val="center"/>
        <w:rPr>
          <w:b/>
        </w:rPr>
      </w:pPr>
      <w:r w:rsidRPr="00250FD0">
        <w:rPr>
          <w:b/>
        </w:rPr>
        <w:t>PUC DOCKET NO. 42866</w:t>
      </w:r>
    </w:p>
    <w:p w:rsidR="00250FD0" w:rsidRPr="00250FD0" w:rsidRDefault="00250FD0" w:rsidP="00183A59">
      <w:pPr>
        <w:widowControl w:val="0"/>
        <w:autoSpaceDE w:val="0"/>
        <w:autoSpaceDN w:val="0"/>
        <w:adjustRightInd w:val="0"/>
        <w:spacing w:line="240" w:lineRule="auto"/>
        <w:jc w:val="center"/>
        <w:rPr>
          <w:b/>
        </w:rPr>
      </w:pPr>
    </w:p>
    <w:tbl>
      <w:tblPr>
        <w:tblW w:w="0" w:type="auto"/>
        <w:jc w:val="center"/>
        <w:tblLayout w:type="fixed"/>
        <w:tblLook w:val="0000" w:firstRow="0" w:lastRow="0" w:firstColumn="0" w:lastColumn="0" w:noHBand="0" w:noVBand="0"/>
      </w:tblPr>
      <w:tblGrid>
        <w:gridCol w:w="4536"/>
        <w:gridCol w:w="274"/>
        <w:gridCol w:w="4536"/>
      </w:tblGrid>
      <w:tr w:rsidR="00250FD0" w:rsidRPr="00250FD0" w:rsidTr="002924BE">
        <w:trPr>
          <w:cantSplit/>
          <w:jc w:val="center"/>
        </w:trPr>
        <w:tc>
          <w:tcPr>
            <w:tcW w:w="4536" w:type="dxa"/>
            <w:tcBorders>
              <w:top w:val="nil"/>
              <w:left w:val="nil"/>
              <w:bottom w:val="nil"/>
              <w:right w:val="nil"/>
            </w:tcBorders>
          </w:tcPr>
          <w:p w:rsidR="00250FD0" w:rsidRPr="00250FD0" w:rsidRDefault="00250FD0" w:rsidP="00183A59">
            <w:pPr>
              <w:widowControl w:val="0"/>
              <w:autoSpaceDE w:val="0"/>
              <w:autoSpaceDN w:val="0"/>
              <w:adjustRightInd w:val="0"/>
              <w:spacing w:line="240" w:lineRule="auto"/>
              <w:jc w:val="left"/>
              <w:rPr>
                <w:b/>
              </w:rPr>
            </w:pPr>
            <w:r w:rsidRPr="00250FD0">
              <w:rPr>
                <w:b/>
              </w:rPr>
              <w:t>PETITION OF TRAVIS COUN</w:t>
            </w:r>
            <w:r>
              <w:rPr>
                <w:b/>
              </w:rPr>
              <w:t>TY MUNICIPAL UTILITY DISTRICT NO</w:t>
            </w:r>
            <w:r w:rsidRPr="00250FD0">
              <w:rPr>
                <w:b/>
              </w:rPr>
              <w:t>. 12 APPEALING CHANGE OF WHOLESALE WATER RATES IMPLEMENTED BY WEST TRAVIS COUNTY PUBLIC UTILITY AGENCY; CITY OF BEE CAVE, TEXAS; HAYS COUNTY, TEXAS; AND WEST TRAVIS COUNTY MUNICIPAL UTILITY DISTRICT NO. 5</w:t>
            </w:r>
          </w:p>
        </w:tc>
        <w:tc>
          <w:tcPr>
            <w:tcW w:w="274" w:type="dxa"/>
            <w:tcBorders>
              <w:top w:val="nil"/>
              <w:left w:val="nil"/>
              <w:bottom w:val="nil"/>
              <w:right w:val="nil"/>
            </w:tcBorders>
          </w:tcPr>
          <w:p w:rsidR="00250FD0" w:rsidRPr="00250FD0" w:rsidRDefault="00250FD0" w:rsidP="00183A59">
            <w:pPr>
              <w:widowControl w:val="0"/>
              <w:autoSpaceDE w:val="0"/>
              <w:autoSpaceDN w:val="0"/>
              <w:adjustRightInd w:val="0"/>
              <w:spacing w:line="240" w:lineRule="auto"/>
              <w:jc w:val="center"/>
              <w:rPr>
                <w:b/>
              </w:rPr>
            </w:pPr>
            <w:r w:rsidRPr="00250FD0">
              <w:rPr>
                <w:b/>
              </w:rPr>
              <w:t>§</w:t>
            </w:r>
          </w:p>
          <w:p w:rsidR="00250FD0" w:rsidRPr="00250FD0" w:rsidRDefault="00250FD0" w:rsidP="00183A59">
            <w:pPr>
              <w:widowControl w:val="0"/>
              <w:autoSpaceDE w:val="0"/>
              <w:autoSpaceDN w:val="0"/>
              <w:adjustRightInd w:val="0"/>
              <w:spacing w:line="240" w:lineRule="auto"/>
              <w:jc w:val="center"/>
              <w:rPr>
                <w:b/>
              </w:rPr>
            </w:pPr>
            <w:r w:rsidRPr="00250FD0">
              <w:rPr>
                <w:b/>
              </w:rPr>
              <w:t>§</w:t>
            </w:r>
          </w:p>
          <w:p w:rsidR="00250FD0" w:rsidRPr="00250FD0" w:rsidRDefault="00250FD0" w:rsidP="00183A59">
            <w:pPr>
              <w:widowControl w:val="0"/>
              <w:autoSpaceDE w:val="0"/>
              <w:autoSpaceDN w:val="0"/>
              <w:adjustRightInd w:val="0"/>
              <w:spacing w:line="240" w:lineRule="auto"/>
              <w:jc w:val="center"/>
              <w:rPr>
                <w:b/>
              </w:rPr>
            </w:pPr>
            <w:r w:rsidRPr="00250FD0">
              <w:rPr>
                <w:b/>
              </w:rPr>
              <w:t>§</w:t>
            </w:r>
          </w:p>
          <w:p w:rsidR="00250FD0" w:rsidRPr="00250FD0" w:rsidRDefault="00250FD0" w:rsidP="00183A59">
            <w:pPr>
              <w:widowControl w:val="0"/>
              <w:autoSpaceDE w:val="0"/>
              <w:autoSpaceDN w:val="0"/>
              <w:adjustRightInd w:val="0"/>
              <w:spacing w:line="240" w:lineRule="auto"/>
              <w:jc w:val="center"/>
              <w:rPr>
                <w:b/>
              </w:rPr>
            </w:pPr>
            <w:r w:rsidRPr="00250FD0">
              <w:rPr>
                <w:b/>
              </w:rPr>
              <w:t>§</w:t>
            </w:r>
          </w:p>
          <w:p w:rsidR="00250FD0" w:rsidRPr="00250FD0" w:rsidRDefault="00250FD0" w:rsidP="00183A59">
            <w:pPr>
              <w:widowControl w:val="0"/>
              <w:autoSpaceDE w:val="0"/>
              <w:autoSpaceDN w:val="0"/>
              <w:adjustRightInd w:val="0"/>
              <w:spacing w:line="240" w:lineRule="auto"/>
              <w:jc w:val="center"/>
              <w:rPr>
                <w:b/>
              </w:rPr>
            </w:pPr>
            <w:r w:rsidRPr="00250FD0">
              <w:rPr>
                <w:b/>
              </w:rPr>
              <w:t>§</w:t>
            </w:r>
          </w:p>
          <w:p w:rsidR="00250FD0" w:rsidRPr="00250FD0" w:rsidRDefault="00250FD0" w:rsidP="00183A59">
            <w:pPr>
              <w:widowControl w:val="0"/>
              <w:autoSpaceDE w:val="0"/>
              <w:autoSpaceDN w:val="0"/>
              <w:adjustRightInd w:val="0"/>
              <w:spacing w:line="240" w:lineRule="auto"/>
              <w:jc w:val="center"/>
              <w:rPr>
                <w:b/>
              </w:rPr>
            </w:pPr>
            <w:r w:rsidRPr="00250FD0">
              <w:rPr>
                <w:b/>
              </w:rPr>
              <w:t>§§</w:t>
            </w:r>
          </w:p>
          <w:p w:rsidR="00250FD0" w:rsidRPr="00250FD0" w:rsidRDefault="00250FD0" w:rsidP="00183A59">
            <w:pPr>
              <w:widowControl w:val="0"/>
              <w:autoSpaceDE w:val="0"/>
              <w:autoSpaceDN w:val="0"/>
              <w:adjustRightInd w:val="0"/>
              <w:spacing w:line="240" w:lineRule="auto"/>
              <w:jc w:val="center"/>
              <w:rPr>
                <w:b/>
              </w:rPr>
            </w:pPr>
            <w:r w:rsidRPr="00250FD0">
              <w:rPr>
                <w:b/>
              </w:rPr>
              <w:t>§</w:t>
            </w:r>
          </w:p>
          <w:p w:rsidR="00250FD0" w:rsidRPr="00250FD0" w:rsidRDefault="00250FD0" w:rsidP="00183A59">
            <w:pPr>
              <w:widowControl w:val="0"/>
              <w:autoSpaceDE w:val="0"/>
              <w:autoSpaceDN w:val="0"/>
              <w:adjustRightInd w:val="0"/>
              <w:spacing w:line="240" w:lineRule="auto"/>
              <w:jc w:val="center"/>
              <w:rPr>
                <w:b/>
              </w:rPr>
            </w:pPr>
            <w:r w:rsidRPr="00250FD0">
              <w:rPr>
                <w:b/>
              </w:rPr>
              <w:t>§</w:t>
            </w:r>
          </w:p>
          <w:p w:rsidR="00250FD0" w:rsidRPr="00250FD0" w:rsidRDefault="00250FD0" w:rsidP="00183A59">
            <w:pPr>
              <w:widowControl w:val="0"/>
              <w:autoSpaceDE w:val="0"/>
              <w:autoSpaceDN w:val="0"/>
              <w:adjustRightInd w:val="0"/>
              <w:spacing w:line="240" w:lineRule="auto"/>
              <w:jc w:val="center"/>
              <w:rPr>
                <w:b/>
              </w:rPr>
            </w:pPr>
            <w:r w:rsidRPr="00250FD0">
              <w:rPr>
                <w:b/>
              </w:rPr>
              <w:t>§</w:t>
            </w:r>
          </w:p>
        </w:tc>
        <w:tc>
          <w:tcPr>
            <w:tcW w:w="4536" w:type="dxa"/>
            <w:tcBorders>
              <w:top w:val="nil"/>
              <w:left w:val="nil"/>
              <w:bottom w:val="nil"/>
              <w:right w:val="nil"/>
            </w:tcBorders>
          </w:tcPr>
          <w:p w:rsidR="00250FD0" w:rsidRPr="00250FD0" w:rsidRDefault="00250FD0" w:rsidP="00183A59">
            <w:pPr>
              <w:widowControl w:val="0"/>
              <w:autoSpaceDE w:val="0"/>
              <w:autoSpaceDN w:val="0"/>
              <w:adjustRightInd w:val="0"/>
              <w:spacing w:line="240" w:lineRule="auto"/>
              <w:jc w:val="center"/>
              <w:rPr>
                <w:b/>
              </w:rPr>
            </w:pPr>
            <w:r w:rsidRPr="00250FD0">
              <w:rPr>
                <w:b/>
              </w:rPr>
              <w:t>BEFORE THE STATE OFFICE</w:t>
            </w:r>
          </w:p>
          <w:p w:rsidR="00250FD0" w:rsidRPr="00250FD0" w:rsidRDefault="00250FD0" w:rsidP="00183A59">
            <w:pPr>
              <w:widowControl w:val="0"/>
              <w:autoSpaceDE w:val="0"/>
              <w:autoSpaceDN w:val="0"/>
              <w:adjustRightInd w:val="0"/>
              <w:spacing w:line="240" w:lineRule="auto"/>
              <w:jc w:val="center"/>
              <w:rPr>
                <w:b/>
              </w:rPr>
            </w:pPr>
          </w:p>
          <w:p w:rsidR="00250FD0" w:rsidRPr="00250FD0" w:rsidRDefault="00250FD0" w:rsidP="00183A59">
            <w:pPr>
              <w:widowControl w:val="0"/>
              <w:autoSpaceDE w:val="0"/>
              <w:autoSpaceDN w:val="0"/>
              <w:adjustRightInd w:val="0"/>
              <w:spacing w:line="240" w:lineRule="auto"/>
              <w:jc w:val="center"/>
              <w:rPr>
                <w:b/>
              </w:rPr>
            </w:pPr>
          </w:p>
          <w:p w:rsidR="00250FD0" w:rsidRPr="00250FD0" w:rsidRDefault="00250FD0" w:rsidP="00183A59">
            <w:pPr>
              <w:widowControl w:val="0"/>
              <w:autoSpaceDE w:val="0"/>
              <w:autoSpaceDN w:val="0"/>
              <w:adjustRightInd w:val="0"/>
              <w:spacing w:line="240" w:lineRule="auto"/>
              <w:jc w:val="center"/>
              <w:rPr>
                <w:b/>
              </w:rPr>
            </w:pPr>
          </w:p>
          <w:p w:rsidR="00250FD0" w:rsidRPr="00250FD0" w:rsidRDefault="00250FD0" w:rsidP="00183A59">
            <w:pPr>
              <w:widowControl w:val="0"/>
              <w:autoSpaceDE w:val="0"/>
              <w:autoSpaceDN w:val="0"/>
              <w:adjustRightInd w:val="0"/>
              <w:spacing w:line="240" w:lineRule="auto"/>
              <w:jc w:val="center"/>
              <w:rPr>
                <w:b/>
              </w:rPr>
            </w:pPr>
            <w:r w:rsidRPr="00250FD0">
              <w:rPr>
                <w:b/>
              </w:rPr>
              <w:t>OF</w:t>
            </w:r>
          </w:p>
          <w:p w:rsidR="00250FD0" w:rsidRPr="00250FD0" w:rsidRDefault="00250FD0" w:rsidP="00183A59">
            <w:pPr>
              <w:widowControl w:val="0"/>
              <w:autoSpaceDE w:val="0"/>
              <w:autoSpaceDN w:val="0"/>
              <w:adjustRightInd w:val="0"/>
              <w:spacing w:line="240" w:lineRule="auto"/>
              <w:jc w:val="center"/>
              <w:rPr>
                <w:b/>
              </w:rPr>
            </w:pPr>
          </w:p>
          <w:p w:rsidR="00250FD0" w:rsidRPr="00250FD0" w:rsidRDefault="00250FD0" w:rsidP="00183A59">
            <w:pPr>
              <w:widowControl w:val="0"/>
              <w:autoSpaceDE w:val="0"/>
              <w:autoSpaceDN w:val="0"/>
              <w:adjustRightInd w:val="0"/>
              <w:spacing w:line="240" w:lineRule="auto"/>
              <w:jc w:val="center"/>
              <w:rPr>
                <w:b/>
              </w:rPr>
            </w:pPr>
          </w:p>
          <w:p w:rsidR="00250FD0" w:rsidRPr="00250FD0" w:rsidRDefault="00250FD0" w:rsidP="00183A59">
            <w:pPr>
              <w:widowControl w:val="0"/>
              <w:autoSpaceDE w:val="0"/>
              <w:autoSpaceDN w:val="0"/>
              <w:adjustRightInd w:val="0"/>
              <w:spacing w:line="240" w:lineRule="auto"/>
              <w:jc w:val="center"/>
              <w:rPr>
                <w:b/>
              </w:rPr>
            </w:pPr>
          </w:p>
          <w:p w:rsidR="00250FD0" w:rsidRPr="00250FD0" w:rsidRDefault="00250FD0" w:rsidP="00183A59">
            <w:pPr>
              <w:widowControl w:val="0"/>
              <w:autoSpaceDE w:val="0"/>
              <w:autoSpaceDN w:val="0"/>
              <w:adjustRightInd w:val="0"/>
              <w:spacing w:line="240" w:lineRule="auto"/>
              <w:jc w:val="center"/>
              <w:rPr>
                <w:b/>
              </w:rPr>
            </w:pPr>
          </w:p>
          <w:p w:rsidR="00250FD0" w:rsidRPr="00250FD0" w:rsidRDefault="00250FD0" w:rsidP="00183A59">
            <w:pPr>
              <w:widowControl w:val="0"/>
              <w:autoSpaceDE w:val="0"/>
              <w:autoSpaceDN w:val="0"/>
              <w:adjustRightInd w:val="0"/>
              <w:spacing w:line="240" w:lineRule="auto"/>
              <w:jc w:val="center"/>
              <w:rPr>
                <w:b/>
              </w:rPr>
            </w:pPr>
            <w:r w:rsidRPr="00250FD0">
              <w:rPr>
                <w:b/>
              </w:rPr>
              <w:t>ADMINISTRATIVE HEARINGS</w:t>
            </w:r>
          </w:p>
        </w:tc>
      </w:tr>
    </w:tbl>
    <w:p w:rsidR="00250FD0" w:rsidRPr="00250FD0" w:rsidRDefault="00250FD0" w:rsidP="00183A59">
      <w:pPr>
        <w:widowControl w:val="0"/>
        <w:autoSpaceDE w:val="0"/>
        <w:autoSpaceDN w:val="0"/>
        <w:adjustRightInd w:val="0"/>
        <w:spacing w:line="240" w:lineRule="auto"/>
        <w:jc w:val="center"/>
        <w:rPr>
          <w:b/>
        </w:rPr>
      </w:pPr>
    </w:p>
    <w:p w:rsidR="00250FD0" w:rsidRDefault="00F45D2D" w:rsidP="00183A59">
      <w:pPr>
        <w:widowControl w:val="0"/>
        <w:autoSpaceDE w:val="0"/>
        <w:autoSpaceDN w:val="0"/>
        <w:adjustRightInd w:val="0"/>
        <w:spacing w:line="240" w:lineRule="auto"/>
        <w:jc w:val="center"/>
        <w:rPr>
          <w:b/>
        </w:rPr>
      </w:pPr>
      <w:r>
        <w:rPr>
          <w:b/>
        </w:rPr>
        <w:t>PROPOSAL FOR DECISION</w:t>
      </w:r>
    </w:p>
    <w:p w:rsidR="00250FD0" w:rsidRDefault="00250FD0" w:rsidP="00183A59">
      <w:pPr>
        <w:spacing w:line="240" w:lineRule="auto"/>
      </w:pPr>
    </w:p>
    <w:p w:rsidR="00F45D2D" w:rsidRPr="00F45D2D" w:rsidRDefault="00F45D2D" w:rsidP="00183A59">
      <w:pPr>
        <w:pStyle w:val="Heading1"/>
        <w:spacing w:line="240" w:lineRule="auto"/>
      </w:pPr>
      <w:bookmarkStart w:id="1" w:name="_Toc431366920"/>
      <w:r w:rsidRPr="00F45D2D">
        <w:t>INTRODUCTION</w:t>
      </w:r>
      <w:bookmarkEnd w:id="1"/>
    </w:p>
    <w:p w:rsidR="00E1382E" w:rsidRDefault="00E1382E" w:rsidP="00250FD0"/>
    <w:p w:rsidR="00250FD0" w:rsidRDefault="00E1382E" w:rsidP="00250FD0">
      <w:r>
        <w:tab/>
      </w:r>
      <w:r w:rsidRPr="00E1382E">
        <w:t>Travis County Municipal Utility Distr</w:t>
      </w:r>
      <w:r>
        <w:t>ict No. 12 (TCMUD 12), on behalf of itself and Travis County Municipal Utility District Nos. 11 and 13</w:t>
      </w:r>
      <w:r w:rsidR="006D6C09">
        <w:t xml:space="preserve"> (TCMUD</w:t>
      </w:r>
      <w:r w:rsidR="00896508">
        <w:t>s</w:t>
      </w:r>
      <w:r w:rsidR="006D6C09">
        <w:t xml:space="preserve"> 11 and 13)</w:t>
      </w:r>
      <w:r>
        <w:t xml:space="preserve">, asks the Public Utility Commission of Texas (PUC or Commission) to find that the rates </w:t>
      </w:r>
      <w:r w:rsidR="007A1B1E">
        <w:t xml:space="preserve">(Protested Rates) </w:t>
      </w:r>
      <w:r>
        <w:t xml:space="preserve">they are charged </w:t>
      </w:r>
      <w:r w:rsidR="007A1B1E">
        <w:t xml:space="preserve">by </w:t>
      </w:r>
      <w:r w:rsidR="007A1B1E" w:rsidRPr="008B3D7A">
        <w:t>West Travis County Public Utility Agency</w:t>
      </w:r>
      <w:r w:rsidR="007A1B1E">
        <w:t xml:space="preserve"> (WTCPUA) </w:t>
      </w:r>
      <w:r>
        <w:t xml:space="preserve">pursuant to a contract for wholesale water treatment service adversely affect the public interest.  TCMUD 12 asks the Commission, after making that finding, to remand this case to the Administrative Law Judge (ALJ) </w:t>
      </w:r>
      <w:r w:rsidR="006D6C09">
        <w:t>for further hearing so that the Commission can set the rates TCMUD</w:t>
      </w:r>
      <w:r w:rsidR="00202355">
        <w:t>s</w:t>
      </w:r>
      <w:r w:rsidR="006D6C09">
        <w:t xml:space="preserve"> 11</w:t>
      </w:r>
      <w:r w:rsidR="007A1B1E">
        <w:t xml:space="preserve">, 12, </w:t>
      </w:r>
      <w:r w:rsidR="006D6C09">
        <w:t>and 13 should pay WTCPUA for the service.</w:t>
      </w:r>
    </w:p>
    <w:p w:rsidR="006D6C09" w:rsidRDefault="006D6C09" w:rsidP="00250FD0"/>
    <w:p w:rsidR="006D6C09" w:rsidRDefault="006D6C09" w:rsidP="00250FD0">
      <w:r>
        <w:tab/>
        <w:t xml:space="preserve">The other parties contend that TCMUD 12 has failed to prove that the Protested Rates adversely affect the public interest.  They </w:t>
      </w:r>
      <w:r w:rsidR="00E570B1">
        <w:t>ask the Commission to dismiss TCMUD 12</w:t>
      </w:r>
      <w:r w:rsidR="00B71573">
        <w:t>’</w:t>
      </w:r>
      <w:r w:rsidR="00E570B1">
        <w:t xml:space="preserve">s </w:t>
      </w:r>
      <w:r>
        <w:t>petition.  The ALJ agree</w:t>
      </w:r>
      <w:r w:rsidR="007A1B1E">
        <w:t>s</w:t>
      </w:r>
      <w:r>
        <w:t xml:space="preserve"> with the other parties and recommends that the Commission dismiss the petition with prejudice to refiling.</w:t>
      </w:r>
    </w:p>
    <w:p w:rsidR="006D6C09" w:rsidRPr="00250FD0" w:rsidRDefault="006D6C09" w:rsidP="00250FD0"/>
    <w:p w:rsidR="00885B8D" w:rsidRDefault="00885B8D" w:rsidP="00202355">
      <w:pPr>
        <w:pStyle w:val="Heading1"/>
      </w:pPr>
      <w:bookmarkStart w:id="2" w:name="_Toc431366921"/>
      <w:r>
        <w:lastRenderedPageBreak/>
        <w:t>PARTIES</w:t>
      </w:r>
      <w:bookmarkEnd w:id="2"/>
    </w:p>
    <w:p w:rsidR="003D2513" w:rsidRDefault="003D2513" w:rsidP="00202355">
      <w:pPr>
        <w:keepNext/>
      </w:pPr>
    </w:p>
    <w:p w:rsidR="003D2513" w:rsidRPr="004733ED" w:rsidRDefault="003D2513" w:rsidP="00202355">
      <w:pPr>
        <w:keepNext/>
      </w:pPr>
      <w:r>
        <w:tab/>
      </w:r>
      <w:r w:rsidRPr="004733ED">
        <w:rPr>
          <w:lang w:val="en-CA"/>
        </w:rPr>
        <w:fldChar w:fldCharType="begin"/>
      </w:r>
      <w:r w:rsidRPr="004733ED">
        <w:rPr>
          <w:lang w:val="en-CA"/>
        </w:rPr>
        <w:instrText xml:space="preserve"> SEQ CHAPTER \h \r 1</w:instrText>
      </w:r>
      <w:r w:rsidRPr="004733ED">
        <w:rPr>
          <w:lang w:val="en-CA"/>
        </w:rPr>
        <w:fldChar w:fldCharType="end"/>
      </w:r>
      <w:r w:rsidRPr="004733ED">
        <w:t xml:space="preserve">The following </w:t>
      </w:r>
      <w:r>
        <w:t xml:space="preserve">are </w:t>
      </w:r>
      <w:r w:rsidR="00F66BE6">
        <w:t xml:space="preserve">the </w:t>
      </w:r>
      <w:r w:rsidRPr="004733ED">
        <w:t>parties</w:t>
      </w:r>
      <w:r>
        <w:t xml:space="preserve"> in this case</w:t>
      </w:r>
      <w:r w:rsidRPr="004733ED">
        <w:t>:</w:t>
      </w:r>
    </w:p>
    <w:p w:rsidR="003D2513" w:rsidRPr="004733ED" w:rsidRDefault="003D2513" w:rsidP="00202355">
      <w:pPr>
        <w:keepNext/>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78"/>
        <w:gridCol w:w="4482"/>
      </w:tblGrid>
      <w:tr w:rsidR="003D2513" w:rsidRPr="004733ED" w:rsidTr="002924BE">
        <w:trPr>
          <w:cantSplit/>
          <w:tblHeader/>
        </w:trPr>
        <w:tc>
          <w:tcPr>
            <w:tcW w:w="4878" w:type="dxa"/>
            <w:shd w:val="clear" w:color="auto" w:fill="auto"/>
          </w:tcPr>
          <w:p w:rsidR="003D2513" w:rsidRPr="005C2220" w:rsidRDefault="003D2513" w:rsidP="006D6C09">
            <w:pPr>
              <w:spacing w:line="240" w:lineRule="auto"/>
              <w:rPr>
                <w:b/>
              </w:rPr>
            </w:pPr>
            <w:r w:rsidRPr="005C2220">
              <w:rPr>
                <w:b/>
              </w:rPr>
              <w:t>PARTY</w:t>
            </w:r>
          </w:p>
        </w:tc>
        <w:tc>
          <w:tcPr>
            <w:tcW w:w="4482" w:type="dxa"/>
            <w:shd w:val="clear" w:color="auto" w:fill="auto"/>
          </w:tcPr>
          <w:p w:rsidR="003D2513" w:rsidRPr="005C2220" w:rsidRDefault="003D2513" w:rsidP="006D6C09">
            <w:pPr>
              <w:spacing w:line="240" w:lineRule="auto"/>
              <w:rPr>
                <w:b/>
              </w:rPr>
            </w:pPr>
            <w:r w:rsidRPr="005C2220">
              <w:rPr>
                <w:b/>
              </w:rPr>
              <w:t>REPRESENTATIVE</w:t>
            </w:r>
          </w:p>
        </w:tc>
      </w:tr>
      <w:tr w:rsidR="003D2513" w:rsidRPr="004733ED" w:rsidTr="002924BE">
        <w:trPr>
          <w:cantSplit/>
        </w:trPr>
        <w:tc>
          <w:tcPr>
            <w:tcW w:w="4878" w:type="dxa"/>
            <w:shd w:val="clear" w:color="auto" w:fill="auto"/>
          </w:tcPr>
          <w:p w:rsidR="003D2513" w:rsidRPr="004733ED" w:rsidRDefault="007E01B6" w:rsidP="00202355">
            <w:pPr>
              <w:spacing w:line="240" w:lineRule="auto"/>
            </w:pPr>
            <w:r>
              <w:t>TCMUDs 11</w:t>
            </w:r>
            <w:r w:rsidR="006D6C09">
              <w:t xml:space="preserve">, 12, and </w:t>
            </w:r>
            <w:r w:rsidR="003D2513">
              <w:t>1</w:t>
            </w:r>
            <w:r w:rsidR="006D6C09">
              <w:t>3 (collectively, TCMUD</w:t>
            </w:r>
            <w:r w:rsidR="00951A8F">
              <w:t> </w:t>
            </w:r>
            <w:r w:rsidR="006D6C09">
              <w:t>12)</w:t>
            </w:r>
          </w:p>
        </w:tc>
        <w:tc>
          <w:tcPr>
            <w:tcW w:w="4482" w:type="dxa"/>
            <w:shd w:val="clear" w:color="auto" w:fill="auto"/>
          </w:tcPr>
          <w:p w:rsidR="003D2513" w:rsidRPr="004733ED" w:rsidRDefault="003D2513" w:rsidP="006D6C09">
            <w:pPr>
              <w:spacing w:line="240" w:lineRule="auto"/>
            </w:pPr>
            <w:r>
              <w:t xml:space="preserve">Kay Trostle &amp; </w:t>
            </w:r>
            <w:r w:rsidRPr="001F34D3">
              <w:t>Miguel Huerta</w:t>
            </w:r>
          </w:p>
        </w:tc>
      </w:tr>
      <w:tr w:rsidR="003D2513" w:rsidRPr="004733ED" w:rsidTr="002924BE">
        <w:trPr>
          <w:cantSplit/>
        </w:trPr>
        <w:tc>
          <w:tcPr>
            <w:tcW w:w="4878" w:type="dxa"/>
            <w:shd w:val="clear" w:color="auto" w:fill="auto"/>
          </w:tcPr>
          <w:p w:rsidR="003D2513" w:rsidRPr="004733ED" w:rsidRDefault="00E1382E" w:rsidP="006D6C09">
            <w:pPr>
              <w:spacing w:line="240" w:lineRule="auto"/>
            </w:pPr>
            <w:r>
              <w:t>WTC</w:t>
            </w:r>
            <w:r w:rsidR="003D2513">
              <w:t>PUA</w:t>
            </w:r>
          </w:p>
        </w:tc>
        <w:tc>
          <w:tcPr>
            <w:tcW w:w="4482" w:type="dxa"/>
            <w:shd w:val="clear" w:color="auto" w:fill="auto"/>
          </w:tcPr>
          <w:p w:rsidR="003D2513" w:rsidRPr="004733ED" w:rsidRDefault="003D2513" w:rsidP="006D6C09">
            <w:pPr>
              <w:spacing w:line="240" w:lineRule="auto"/>
            </w:pPr>
            <w:r>
              <w:t>David Klein</w:t>
            </w:r>
            <w:r w:rsidR="00D67C85">
              <w:t xml:space="preserve">, Georgia Krump, </w:t>
            </w:r>
            <w:r>
              <w:t xml:space="preserve">&amp; </w:t>
            </w:r>
            <w:r w:rsidR="00D67C85">
              <w:t>Melissa Long</w:t>
            </w:r>
          </w:p>
        </w:tc>
      </w:tr>
      <w:tr w:rsidR="003D2513" w:rsidRPr="004733ED" w:rsidTr="002924BE">
        <w:trPr>
          <w:cantSplit/>
        </w:trPr>
        <w:tc>
          <w:tcPr>
            <w:tcW w:w="4878" w:type="dxa"/>
            <w:shd w:val="clear" w:color="auto" w:fill="auto"/>
          </w:tcPr>
          <w:p w:rsidR="003D2513" w:rsidRPr="004733ED" w:rsidRDefault="003D2513" w:rsidP="006D6C09">
            <w:pPr>
              <w:spacing w:line="240" w:lineRule="auto"/>
            </w:pPr>
            <w:r w:rsidRPr="008B3D7A">
              <w:t xml:space="preserve">City </w:t>
            </w:r>
            <w:r w:rsidR="00202355" w:rsidRPr="008B3D7A">
              <w:t xml:space="preserve">of </w:t>
            </w:r>
            <w:r w:rsidRPr="008B3D7A">
              <w:t>Bee Cave, Texas</w:t>
            </w:r>
            <w:r>
              <w:t xml:space="preserve"> (</w:t>
            </w:r>
            <w:r w:rsidR="00E1382E">
              <w:t>Bee Cave</w:t>
            </w:r>
            <w:r>
              <w:t>)</w:t>
            </w:r>
          </w:p>
        </w:tc>
        <w:tc>
          <w:tcPr>
            <w:tcW w:w="4482" w:type="dxa"/>
            <w:shd w:val="clear" w:color="auto" w:fill="auto"/>
          </w:tcPr>
          <w:p w:rsidR="003D2513" w:rsidRPr="004733ED" w:rsidRDefault="003D2513" w:rsidP="006D6C09">
            <w:pPr>
              <w:spacing w:line="240" w:lineRule="auto"/>
            </w:pPr>
            <w:r>
              <w:t>Jim Haley</w:t>
            </w:r>
          </w:p>
        </w:tc>
      </w:tr>
      <w:tr w:rsidR="003D2513" w:rsidRPr="004733ED" w:rsidTr="002924BE">
        <w:trPr>
          <w:cantSplit/>
        </w:trPr>
        <w:tc>
          <w:tcPr>
            <w:tcW w:w="4878" w:type="dxa"/>
            <w:shd w:val="clear" w:color="auto" w:fill="auto"/>
          </w:tcPr>
          <w:p w:rsidR="003D2513" w:rsidRPr="004733ED" w:rsidRDefault="003D2513" w:rsidP="006D6C09">
            <w:pPr>
              <w:spacing w:line="240" w:lineRule="auto"/>
            </w:pPr>
            <w:r w:rsidRPr="008B3D7A">
              <w:t>Hays County, Texas</w:t>
            </w:r>
            <w:r w:rsidR="00E1382E">
              <w:t xml:space="preserve"> (Hays Count</w:t>
            </w:r>
            <w:r w:rsidR="008C279E">
              <w:t>y</w:t>
            </w:r>
            <w:r>
              <w:t>)</w:t>
            </w:r>
          </w:p>
        </w:tc>
        <w:tc>
          <w:tcPr>
            <w:tcW w:w="4482" w:type="dxa"/>
            <w:shd w:val="clear" w:color="auto" w:fill="auto"/>
          </w:tcPr>
          <w:p w:rsidR="003D2513" w:rsidRPr="004733ED" w:rsidRDefault="003D2513" w:rsidP="006D6C09">
            <w:pPr>
              <w:spacing w:line="240" w:lineRule="auto"/>
            </w:pPr>
            <w:r w:rsidRPr="003D2513">
              <w:t>Mark D. Kennedy</w:t>
            </w:r>
          </w:p>
        </w:tc>
      </w:tr>
      <w:tr w:rsidR="003D2513" w:rsidRPr="004733ED" w:rsidTr="002924BE">
        <w:trPr>
          <w:cantSplit/>
        </w:trPr>
        <w:tc>
          <w:tcPr>
            <w:tcW w:w="4878" w:type="dxa"/>
            <w:shd w:val="clear" w:color="auto" w:fill="auto"/>
          </w:tcPr>
          <w:p w:rsidR="003D2513" w:rsidRPr="004733ED" w:rsidRDefault="003D2513" w:rsidP="006D6C09">
            <w:pPr>
              <w:spacing w:line="240" w:lineRule="auto"/>
            </w:pPr>
            <w:r w:rsidRPr="008B3D7A">
              <w:t>West Travis County Municipal Utility District No. 5</w:t>
            </w:r>
            <w:r>
              <w:t xml:space="preserve"> (District 5)</w:t>
            </w:r>
          </w:p>
        </w:tc>
        <w:tc>
          <w:tcPr>
            <w:tcW w:w="4482" w:type="dxa"/>
            <w:shd w:val="clear" w:color="auto" w:fill="auto"/>
          </w:tcPr>
          <w:p w:rsidR="003D2513" w:rsidRPr="004733ED" w:rsidRDefault="003D2513" w:rsidP="006D6C09">
            <w:pPr>
              <w:spacing w:line="240" w:lineRule="auto"/>
            </w:pPr>
            <w:r>
              <w:t>Randy Wilburn</w:t>
            </w:r>
          </w:p>
        </w:tc>
      </w:tr>
      <w:tr w:rsidR="003D2513" w:rsidRPr="004733ED" w:rsidTr="002924BE">
        <w:trPr>
          <w:cantSplit/>
        </w:trPr>
        <w:tc>
          <w:tcPr>
            <w:tcW w:w="4878" w:type="dxa"/>
            <w:shd w:val="clear" w:color="auto" w:fill="auto"/>
          </w:tcPr>
          <w:p w:rsidR="003D2513" w:rsidRPr="008B3D7A" w:rsidRDefault="003D2513" w:rsidP="006D6C09">
            <w:pPr>
              <w:spacing w:line="240" w:lineRule="auto"/>
            </w:pPr>
            <w:r>
              <w:t>PUC Staff</w:t>
            </w:r>
          </w:p>
        </w:tc>
        <w:tc>
          <w:tcPr>
            <w:tcW w:w="4482" w:type="dxa"/>
            <w:shd w:val="clear" w:color="auto" w:fill="auto"/>
          </w:tcPr>
          <w:p w:rsidR="003D2513" w:rsidRPr="004733ED" w:rsidRDefault="003D2513" w:rsidP="006D6C09">
            <w:pPr>
              <w:spacing w:line="240" w:lineRule="auto"/>
            </w:pPr>
            <w:r>
              <w:t>Jessica Gray &amp; Sam Chang</w:t>
            </w:r>
          </w:p>
        </w:tc>
      </w:tr>
      <w:tr w:rsidR="003D2513" w:rsidRPr="004733ED" w:rsidTr="002924BE">
        <w:trPr>
          <w:cantSplit/>
        </w:trPr>
        <w:tc>
          <w:tcPr>
            <w:tcW w:w="4878" w:type="dxa"/>
            <w:shd w:val="clear" w:color="auto" w:fill="auto"/>
          </w:tcPr>
          <w:p w:rsidR="003D2513" w:rsidRPr="008B3D7A" w:rsidRDefault="00A552E3" w:rsidP="006D6C09">
            <w:pPr>
              <w:spacing w:line="240" w:lineRule="auto"/>
            </w:pPr>
            <w:r>
              <w:t xml:space="preserve">Texas Commission on Environmental Quality (TCEQ), </w:t>
            </w:r>
            <w:r w:rsidR="003D2513">
              <w:t>Office of Public Interest Counsel (OPIC)</w:t>
            </w:r>
            <w:r w:rsidR="006D6C09">
              <w:rPr>
                <w:rStyle w:val="FootnoteReference"/>
              </w:rPr>
              <w:footnoteReference w:id="1"/>
            </w:r>
          </w:p>
        </w:tc>
        <w:tc>
          <w:tcPr>
            <w:tcW w:w="4482" w:type="dxa"/>
            <w:shd w:val="clear" w:color="auto" w:fill="auto"/>
          </w:tcPr>
          <w:p w:rsidR="003D2513" w:rsidRPr="004733ED" w:rsidRDefault="003D2513" w:rsidP="006D6C09">
            <w:pPr>
              <w:spacing w:line="240" w:lineRule="auto"/>
            </w:pPr>
            <w:r>
              <w:t>Rudy Calderon</w:t>
            </w:r>
          </w:p>
        </w:tc>
      </w:tr>
    </w:tbl>
    <w:p w:rsidR="003D2513" w:rsidRPr="004733ED" w:rsidRDefault="003D2513" w:rsidP="003D2513"/>
    <w:p w:rsidR="00885B8D" w:rsidRDefault="00885B8D" w:rsidP="00503377">
      <w:pPr>
        <w:pStyle w:val="Heading1"/>
      </w:pPr>
      <w:bookmarkStart w:id="3" w:name="_Toc431366922"/>
      <w:r>
        <w:t>PROCEDURAL HISTORY</w:t>
      </w:r>
      <w:bookmarkEnd w:id="3"/>
    </w:p>
    <w:p w:rsidR="0064491C" w:rsidRDefault="0064491C" w:rsidP="00885B8D"/>
    <w:p w:rsidR="00503377" w:rsidRDefault="00503377" w:rsidP="00885B8D">
      <w:r>
        <w:tab/>
        <w:t>The following are the major procedural events in this case:</w:t>
      </w:r>
    </w:p>
    <w:p w:rsidR="00503377" w:rsidRDefault="00503377" w:rsidP="00885B8D"/>
    <w:tbl>
      <w:tblPr>
        <w:tblStyle w:val="TableGrid"/>
        <w:tblW w:w="0" w:type="auto"/>
        <w:tblLook w:val="04A0" w:firstRow="1" w:lastRow="0" w:firstColumn="1" w:lastColumn="0" w:noHBand="0" w:noVBand="1"/>
      </w:tblPr>
      <w:tblGrid>
        <w:gridCol w:w="2358"/>
        <w:gridCol w:w="7218"/>
      </w:tblGrid>
      <w:tr w:rsidR="00503377" w:rsidRPr="00503377" w:rsidTr="00503377">
        <w:trPr>
          <w:cantSplit/>
          <w:tblHeader/>
        </w:trPr>
        <w:tc>
          <w:tcPr>
            <w:tcW w:w="2358" w:type="dxa"/>
            <w:vAlign w:val="center"/>
          </w:tcPr>
          <w:p w:rsidR="00503377" w:rsidRPr="00503377" w:rsidRDefault="00503377" w:rsidP="00503377">
            <w:pPr>
              <w:spacing w:line="240" w:lineRule="auto"/>
              <w:rPr>
                <w:b/>
              </w:rPr>
            </w:pPr>
            <w:r w:rsidRPr="00503377">
              <w:rPr>
                <w:b/>
              </w:rPr>
              <w:t>DATE</w:t>
            </w:r>
          </w:p>
        </w:tc>
        <w:tc>
          <w:tcPr>
            <w:tcW w:w="7218" w:type="dxa"/>
            <w:vAlign w:val="center"/>
          </w:tcPr>
          <w:p w:rsidR="00503377" w:rsidRPr="00503377" w:rsidRDefault="00503377" w:rsidP="00503377">
            <w:pPr>
              <w:spacing w:line="240" w:lineRule="auto"/>
              <w:rPr>
                <w:b/>
              </w:rPr>
            </w:pPr>
            <w:r w:rsidRPr="00503377">
              <w:rPr>
                <w:b/>
              </w:rPr>
              <w:t>EVENT</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March 6, 2014</w:t>
            </w:r>
          </w:p>
        </w:tc>
        <w:tc>
          <w:tcPr>
            <w:tcW w:w="7218" w:type="dxa"/>
            <w:vAlign w:val="center"/>
          </w:tcPr>
          <w:p w:rsidR="00503377" w:rsidRPr="00503377" w:rsidRDefault="00E570B1" w:rsidP="00503377">
            <w:pPr>
              <w:spacing w:line="240" w:lineRule="auto"/>
            </w:pPr>
            <w:r>
              <w:t>TCMUD 12</w:t>
            </w:r>
            <w:r w:rsidR="00B71573">
              <w:t>’</w:t>
            </w:r>
            <w:r>
              <w:t>s petition</w:t>
            </w:r>
            <w:r w:rsidR="00FD5FD9">
              <w:t xml:space="preserve"> filed with TCEQ</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April 11, 2014</w:t>
            </w:r>
          </w:p>
        </w:tc>
        <w:tc>
          <w:tcPr>
            <w:tcW w:w="7218" w:type="dxa"/>
            <w:vAlign w:val="center"/>
          </w:tcPr>
          <w:p w:rsidR="00503377" w:rsidRPr="00503377" w:rsidRDefault="00503377" w:rsidP="00503377">
            <w:pPr>
              <w:spacing w:line="240" w:lineRule="auto"/>
            </w:pPr>
            <w:r w:rsidRPr="00503377">
              <w:t xml:space="preserve">WTCPUA </w:t>
            </w:r>
            <w:r w:rsidR="00E570B1" w:rsidRPr="00503377">
              <w:t xml:space="preserve">response </w:t>
            </w:r>
            <w:r w:rsidRPr="00503377">
              <w:t xml:space="preserve">to </w:t>
            </w:r>
            <w:r w:rsidR="00E570B1" w:rsidRPr="00503377">
              <w:t>petition</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April 28, 2014</w:t>
            </w:r>
          </w:p>
        </w:tc>
        <w:tc>
          <w:tcPr>
            <w:tcW w:w="7218" w:type="dxa"/>
            <w:vAlign w:val="center"/>
          </w:tcPr>
          <w:p w:rsidR="00FD5FD9" w:rsidRPr="00503377" w:rsidRDefault="00FD5FD9" w:rsidP="00FD5FD9">
            <w:pPr>
              <w:spacing w:line="240" w:lineRule="auto"/>
            </w:pPr>
            <w:r>
              <w:t xml:space="preserve">TCEQ referral to </w:t>
            </w:r>
            <w:r w:rsidR="00503377" w:rsidRPr="00503377">
              <w:t>SOAH</w:t>
            </w:r>
          </w:p>
        </w:tc>
      </w:tr>
      <w:tr w:rsidR="00E570B1" w:rsidRPr="00503377" w:rsidTr="00503377">
        <w:trPr>
          <w:cantSplit/>
        </w:trPr>
        <w:tc>
          <w:tcPr>
            <w:tcW w:w="2358" w:type="dxa"/>
            <w:vAlign w:val="center"/>
          </w:tcPr>
          <w:p w:rsidR="00E570B1" w:rsidRPr="00503377" w:rsidRDefault="00E570B1" w:rsidP="00503377">
            <w:pPr>
              <w:spacing w:line="240" w:lineRule="auto"/>
            </w:pPr>
            <w:r>
              <w:t>May 9, 2014</w:t>
            </w:r>
          </w:p>
        </w:tc>
        <w:tc>
          <w:tcPr>
            <w:tcW w:w="7218" w:type="dxa"/>
            <w:vAlign w:val="center"/>
          </w:tcPr>
          <w:p w:rsidR="00E570B1" w:rsidRDefault="00E570B1" w:rsidP="008C279E">
            <w:pPr>
              <w:spacing w:line="240" w:lineRule="auto"/>
            </w:pPr>
            <w:r>
              <w:t>TCEQ notice of preliminary hearing</w:t>
            </w:r>
            <w:r>
              <w:rPr>
                <w:rStyle w:val="FootnoteReference"/>
              </w:rPr>
              <w:footnoteReference w:id="2"/>
            </w:r>
          </w:p>
        </w:tc>
      </w:tr>
      <w:tr w:rsidR="00FD5FD9" w:rsidRPr="00503377" w:rsidTr="00503377">
        <w:trPr>
          <w:cantSplit/>
        </w:trPr>
        <w:tc>
          <w:tcPr>
            <w:tcW w:w="2358" w:type="dxa"/>
            <w:vAlign w:val="center"/>
          </w:tcPr>
          <w:p w:rsidR="00FD5FD9" w:rsidRPr="00503377" w:rsidRDefault="00FD5FD9" w:rsidP="00503377">
            <w:pPr>
              <w:spacing w:line="240" w:lineRule="auto"/>
            </w:pPr>
            <w:r>
              <w:t>June 11, 2014</w:t>
            </w:r>
          </w:p>
        </w:tc>
        <w:tc>
          <w:tcPr>
            <w:tcW w:w="7218" w:type="dxa"/>
            <w:vAlign w:val="center"/>
          </w:tcPr>
          <w:p w:rsidR="00FD5FD9" w:rsidRDefault="00FD5FD9" w:rsidP="00FD5FD9">
            <w:pPr>
              <w:spacing w:line="240" w:lineRule="auto"/>
            </w:pPr>
            <w:r>
              <w:t>Preliminary hearing by SOAH for TCEQ</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July 14, 2014</w:t>
            </w:r>
          </w:p>
        </w:tc>
        <w:tc>
          <w:tcPr>
            <w:tcW w:w="7218" w:type="dxa"/>
            <w:vAlign w:val="center"/>
          </w:tcPr>
          <w:p w:rsidR="00503377" w:rsidRPr="00503377" w:rsidRDefault="00FD5FD9" w:rsidP="00503377">
            <w:pPr>
              <w:spacing w:line="240" w:lineRule="auto"/>
            </w:pPr>
            <w:r>
              <w:t>Discovery began</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August 15, 2014</w:t>
            </w:r>
          </w:p>
        </w:tc>
        <w:tc>
          <w:tcPr>
            <w:tcW w:w="7218" w:type="dxa"/>
            <w:vAlign w:val="center"/>
          </w:tcPr>
          <w:p w:rsidR="00503377" w:rsidRPr="00503377" w:rsidRDefault="00503377" w:rsidP="00503377">
            <w:pPr>
              <w:spacing w:line="240" w:lineRule="auto"/>
            </w:pPr>
            <w:r w:rsidRPr="00503377">
              <w:t>Deadline for requests for disclosure</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September 1, 2014</w:t>
            </w:r>
          </w:p>
        </w:tc>
        <w:tc>
          <w:tcPr>
            <w:tcW w:w="7218" w:type="dxa"/>
            <w:vAlign w:val="center"/>
          </w:tcPr>
          <w:p w:rsidR="00503377" w:rsidRPr="00503377" w:rsidRDefault="00503377" w:rsidP="00FD5FD9">
            <w:pPr>
              <w:spacing w:line="240" w:lineRule="auto"/>
            </w:pPr>
            <w:r w:rsidRPr="00503377">
              <w:t xml:space="preserve">Jurisdiction transferred from </w:t>
            </w:r>
            <w:r w:rsidR="00FD5FD9">
              <w:t>TCEQ to PUC</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September 11, 2014</w:t>
            </w:r>
          </w:p>
        </w:tc>
        <w:tc>
          <w:tcPr>
            <w:tcW w:w="7218" w:type="dxa"/>
            <w:vAlign w:val="center"/>
          </w:tcPr>
          <w:p w:rsidR="00503377" w:rsidRPr="00503377" w:rsidRDefault="00503377" w:rsidP="00503377">
            <w:pPr>
              <w:spacing w:line="240" w:lineRule="auto"/>
            </w:pPr>
            <w:r w:rsidRPr="00503377">
              <w:t>Prehearing conference to consider necessary adjustments due to transfer of jurisdiction</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September 12, 2014</w:t>
            </w:r>
          </w:p>
        </w:tc>
        <w:tc>
          <w:tcPr>
            <w:tcW w:w="7218" w:type="dxa"/>
            <w:vAlign w:val="center"/>
          </w:tcPr>
          <w:p w:rsidR="00503377" w:rsidRPr="00503377" w:rsidRDefault="00503377" w:rsidP="007A1B1E">
            <w:pPr>
              <w:spacing w:line="240" w:lineRule="auto"/>
            </w:pPr>
            <w:r w:rsidRPr="00503377">
              <w:t xml:space="preserve">TCMUD 12 Motion Amending Jurisdictional Claim &amp; </w:t>
            </w:r>
            <w:r w:rsidR="00202355">
              <w:t xml:space="preserve">TCEQ </w:t>
            </w:r>
            <w:r w:rsidR="00482799">
              <w:t>Executive</w:t>
            </w:r>
            <w:r w:rsidR="00202355">
              <w:t xml:space="preserve"> </w:t>
            </w:r>
            <w:r w:rsidR="007A1B1E">
              <w:t>D</w:t>
            </w:r>
            <w:r w:rsidR="00202355">
              <w:t>irector</w:t>
            </w:r>
            <w:r w:rsidR="00B71573">
              <w:t>’</w:t>
            </w:r>
            <w:r w:rsidRPr="00503377">
              <w:t>s Motion to Withdraw</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lastRenderedPageBreak/>
              <w:t>September 18, 2014</w:t>
            </w:r>
          </w:p>
        </w:tc>
        <w:tc>
          <w:tcPr>
            <w:tcW w:w="7218" w:type="dxa"/>
            <w:vAlign w:val="center"/>
          </w:tcPr>
          <w:p w:rsidR="00503377" w:rsidRPr="00503377" w:rsidRDefault="00503377" w:rsidP="00503377">
            <w:pPr>
              <w:spacing w:line="240" w:lineRule="auto"/>
            </w:pPr>
            <w:r w:rsidRPr="00503377">
              <w:t>SOAH Order 4 – Memorializing PHC, Granting Motion to Amend Jurisdictional Claim, and Granting Motion to Withdraw</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September 30, 2014</w:t>
            </w:r>
          </w:p>
        </w:tc>
        <w:tc>
          <w:tcPr>
            <w:tcW w:w="7218" w:type="dxa"/>
            <w:vAlign w:val="center"/>
          </w:tcPr>
          <w:p w:rsidR="00503377" w:rsidRPr="00503377" w:rsidRDefault="00503377" w:rsidP="00503377">
            <w:pPr>
              <w:spacing w:line="240" w:lineRule="auto"/>
            </w:pPr>
            <w:r w:rsidRPr="00503377">
              <w:t>SOAH Order 6 – Granting In Part &amp; Denying in Part Motion to Compel</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October 10, 2014</w:t>
            </w:r>
          </w:p>
        </w:tc>
        <w:tc>
          <w:tcPr>
            <w:tcW w:w="7218" w:type="dxa"/>
            <w:vAlign w:val="center"/>
          </w:tcPr>
          <w:p w:rsidR="00503377" w:rsidRPr="00503377" w:rsidRDefault="00503377" w:rsidP="00503377">
            <w:pPr>
              <w:spacing w:line="240" w:lineRule="auto"/>
            </w:pPr>
            <w:r w:rsidRPr="00503377">
              <w:t>TCMUD 12</w:t>
            </w:r>
            <w:r w:rsidR="00B71573">
              <w:t>’</w:t>
            </w:r>
            <w:r w:rsidR="00FD5FD9">
              <w:t>s</w:t>
            </w:r>
            <w:r w:rsidRPr="00503377">
              <w:t xml:space="preserve"> Interim Appeal of SOAH Order </w:t>
            </w:r>
            <w:r w:rsidR="00FD5FD9">
              <w:t xml:space="preserve">No. </w:t>
            </w:r>
            <w:r w:rsidRPr="00503377">
              <w:t>6</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October 17, 2014</w:t>
            </w:r>
          </w:p>
        </w:tc>
        <w:tc>
          <w:tcPr>
            <w:tcW w:w="7218" w:type="dxa"/>
            <w:vAlign w:val="center"/>
          </w:tcPr>
          <w:p w:rsidR="00503377" w:rsidRPr="00503377" w:rsidRDefault="00503377" w:rsidP="00503377">
            <w:pPr>
              <w:spacing w:line="240" w:lineRule="auto"/>
            </w:pPr>
            <w:r w:rsidRPr="00503377">
              <w:t>WTCPUA Response to TCMUD 12</w:t>
            </w:r>
            <w:r w:rsidR="00B71573">
              <w:t>’</w:t>
            </w:r>
            <w:r w:rsidR="00FD5FD9">
              <w:t>s</w:t>
            </w:r>
            <w:r w:rsidRPr="00503377">
              <w:t xml:space="preserve"> Interim Appeal of </w:t>
            </w:r>
            <w:r w:rsidR="00FD5FD9">
              <w:t xml:space="preserve">SOAH </w:t>
            </w:r>
            <w:r w:rsidRPr="00503377">
              <w:t xml:space="preserve">Order </w:t>
            </w:r>
            <w:r w:rsidR="00FD5FD9">
              <w:t xml:space="preserve">No. </w:t>
            </w:r>
            <w:r w:rsidRPr="00503377">
              <w:t>6</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October 31, 2014</w:t>
            </w:r>
          </w:p>
        </w:tc>
        <w:tc>
          <w:tcPr>
            <w:tcW w:w="7218" w:type="dxa"/>
            <w:vAlign w:val="center"/>
          </w:tcPr>
          <w:p w:rsidR="00503377" w:rsidRPr="00503377" w:rsidRDefault="00503377" w:rsidP="00FD5FD9">
            <w:pPr>
              <w:spacing w:line="240" w:lineRule="auto"/>
            </w:pPr>
            <w:r w:rsidRPr="00503377">
              <w:t>TCMUD 12</w:t>
            </w:r>
            <w:r w:rsidR="00B71573">
              <w:t>’</w:t>
            </w:r>
            <w:r w:rsidR="00FD5FD9">
              <w:t>s direct case evidence filed</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November 5, 2014</w:t>
            </w:r>
          </w:p>
        </w:tc>
        <w:tc>
          <w:tcPr>
            <w:tcW w:w="7218" w:type="dxa"/>
            <w:vAlign w:val="center"/>
          </w:tcPr>
          <w:p w:rsidR="00503377" w:rsidRPr="00503377" w:rsidRDefault="00503377" w:rsidP="00503377">
            <w:pPr>
              <w:spacing w:line="240" w:lineRule="auto"/>
            </w:pPr>
            <w:r w:rsidRPr="00503377">
              <w:t>SOAH Order 9 – Ruling on Motions to Determine Sufficiency and Motion to Compel</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November 24, 2014</w:t>
            </w:r>
          </w:p>
        </w:tc>
        <w:tc>
          <w:tcPr>
            <w:tcW w:w="7218" w:type="dxa"/>
            <w:vAlign w:val="center"/>
          </w:tcPr>
          <w:p w:rsidR="00503377" w:rsidRPr="00503377" w:rsidRDefault="00FD5FD9" w:rsidP="00503377">
            <w:pPr>
              <w:spacing w:line="240" w:lineRule="auto"/>
            </w:pPr>
            <w:r>
              <w:t xml:space="preserve">PUC </w:t>
            </w:r>
            <w:r w:rsidR="00503377" w:rsidRPr="00503377">
              <w:t>Order Granting TCMUD</w:t>
            </w:r>
            <w:r w:rsidR="00B71573">
              <w:t>’</w:t>
            </w:r>
            <w:r w:rsidR="00503377" w:rsidRPr="00503377">
              <w:t>s Appeal of SOAH Order No. 6</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December 19, 2014</w:t>
            </w:r>
          </w:p>
        </w:tc>
        <w:tc>
          <w:tcPr>
            <w:tcW w:w="7218" w:type="dxa"/>
            <w:vAlign w:val="center"/>
          </w:tcPr>
          <w:p w:rsidR="00503377" w:rsidRPr="00503377" w:rsidRDefault="00503377" w:rsidP="00503377">
            <w:pPr>
              <w:spacing w:line="240" w:lineRule="auto"/>
            </w:pPr>
            <w:r w:rsidRPr="00503377">
              <w:t>WTCPUA Direct Testimony Filed</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February 6, 2015</w:t>
            </w:r>
          </w:p>
        </w:tc>
        <w:tc>
          <w:tcPr>
            <w:tcW w:w="7218" w:type="dxa"/>
            <w:vAlign w:val="center"/>
          </w:tcPr>
          <w:p w:rsidR="00503377" w:rsidRPr="00503377" w:rsidRDefault="00503377" w:rsidP="008C279E">
            <w:pPr>
              <w:spacing w:line="240" w:lineRule="auto"/>
            </w:pPr>
            <w:r w:rsidRPr="00503377">
              <w:t>PUC Staff Direct Testimony Filed</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March 6, 2015</w:t>
            </w:r>
          </w:p>
        </w:tc>
        <w:tc>
          <w:tcPr>
            <w:tcW w:w="7218" w:type="dxa"/>
            <w:vAlign w:val="center"/>
          </w:tcPr>
          <w:p w:rsidR="00503377" w:rsidRPr="00503377" w:rsidRDefault="00503377" w:rsidP="00503377">
            <w:pPr>
              <w:spacing w:line="240" w:lineRule="auto"/>
            </w:pPr>
            <w:r w:rsidRPr="00503377">
              <w:t>Discovery on TCMUD 12 direct case ends</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March 6, 2015</w:t>
            </w:r>
          </w:p>
        </w:tc>
        <w:tc>
          <w:tcPr>
            <w:tcW w:w="7218" w:type="dxa"/>
            <w:vAlign w:val="center"/>
          </w:tcPr>
          <w:p w:rsidR="00503377" w:rsidRPr="00503377" w:rsidRDefault="00503377" w:rsidP="00503377">
            <w:pPr>
              <w:spacing w:line="240" w:lineRule="auto"/>
            </w:pPr>
            <w:r w:rsidRPr="00503377">
              <w:t>WTCPUA Motion for Partial Summary Decision</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March 18, 2015</w:t>
            </w:r>
          </w:p>
        </w:tc>
        <w:tc>
          <w:tcPr>
            <w:tcW w:w="7218" w:type="dxa"/>
            <w:vAlign w:val="center"/>
          </w:tcPr>
          <w:p w:rsidR="00503377" w:rsidRPr="00503377" w:rsidRDefault="00503377" w:rsidP="00503377">
            <w:pPr>
              <w:spacing w:line="240" w:lineRule="auto"/>
            </w:pPr>
            <w:r w:rsidRPr="00503377">
              <w:t>TCMUD 12 Response to WTCPUA Motion for Partial Summary Decision</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March 18, 2015</w:t>
            </w:r>
          </w:p>
        </w:tc>
        <w:tc>
          <w:tcPr>
            <w:tcW w:w="7218" w:type="dxa"/>
            <w:vAlign w:val="center"/>
          </w:tcPr>
          <w:p w:rsidR="00503377" w:rsidRPr="00503377" w:rsidRDefault="00503377" w:rsidP="00503377">
            <w:pPr>
              <w:spacing w:line="240" w:lineRule="auto"/>
            </w:pPr>
            <w:r w:rsidRPr="00503377">
              <w:t>Staff Response to WTCPUA Motion for Partial Summary Decision</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March 24, 2015</w:t>
            </w:r>
          </w:p>
        </w:tc>
        <w:tc>
          <w:tcPr>
            <w:tcW w:w="7218" w:type="dxa"/>
            <w:vAlign w:val="center"/>
          </w:tcPr>
          <w:p w:rsidR="00503377" w:rsidRPr="00503377" w:rsidRDefault="00503377" w:rsidP="00503377">
            <w:pPr>
              <w:spacing w:line="240" w:lineRule="auto"/>
            </w:pPr>
            <w:r w:rsidRPr="00503377">
              <w:t>TCMUD Rebuttal Testimony filed</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March 25, 2015</w:t>
            </w:r>
          </w:p>
        </w:tc>
        <w:tc>
          <w:tcPr>
            <w:tcW w:w="7218" w:type="dxa"/>
            <w:vAlign w:val="center"/>
          </w:tcPr>
          <w:p w:rsidR="00503377" w:rsidRPr="00503377" w:rsidRDefault="00503377" w:rsidP="00503377">
            <w:pPr>
              <w:spacing w:line="240" w:lineRule="auto"/>
            </w:pPr>
            <w:r w:rsidRPr="00503377">
              <w:t>SOAH Order 13 – Granting Part &amp; Denying Part of Motion fo</w:t>
            </w:r>
            <w:r w:rsidR="00877F3A">
              <w:t>r Partial Summary Disposition</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April 13, 2015</w:t>
            </w:r>
          </w:p>
        </w:tc>
        <w:tc>
          <w:tcPr>
            <w:tcW w:w="7218" w:type="dxa"/>
            <w:vAlign w:val="center"/>
          </w:tcPr>
          <w:p w:rsidR="00503377" w:rsidRPr="00503377" w:rsidRDefault="00503377" w:rsidP="00503377">
            <w:pPr>
              <w:spacing w:line="240" w:lineRule="auto"/>
            </w:pPr>
            <w:r w:rsidRPr="00503377">
              <w:t>Prehearing Conference</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April 15, 2015</w:t>
            </w:r>
          </w:p>
        </w:tc>
        <w:tc>
          <w:tcPr>
            <w:tcW w:w="7218" w:type="dxa"/>
            <w:vAlign w:val="center"/>
          </w:tcPr>
          <w:p w:rsidR="00503377" w:rsidRPr="00503377" w:rsidRDefault="00503377" w:rsidP="00503377">
            <w:pPr>
              <w:spacing w:line="240" w:lineRule="auto"/>
            </w:pPr>
            <w:r w:rsidRPr="00503377">
              <w:t>SOAH Order 15 – Granting Revised Motion to Compel and Ruling on Objections to Prefiled Evidence</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April 17, 2015</w:t>
            </w:r>
          </w:p>
        </w:tc>
        <w:tc>
          <w:tcPr>
            <w:tcW w:w="7218" w:type="dxa"/>
            <w:vAlign w:val="center"/>
          </w:tcPr>
          <w:p w:rsidR="00503377" w:rsidRPr="00503377" w:rsidRDefault="00503377" w:rsidP="00503377">
            <w:pPr>
              <w:spacing w:line="240" w:lineRule="auto"/>
            </w:pPr>
            <w:r w:rsidRPr="00503377">
              <w:t>SOAH Order 16 – Ruling on Objections to Prefiled Rebuttal Evidence</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April 21-23, 2015</w:t>
            </w:r>
          </w:p>
        </w:tc>
        <w:tc>
          <w:tcPr>
            <w:tcW w:w="7218" w:type="dxa"/>
            <w:vAlign w:val="center"/>
          </w:tcPr>
          <w:p w:rsidR="00503377" w:rsidRPr="00503377" w:rsidRDefault="00503377" w:rsidP="00503377">
            <w:pPr>
              <w:spacing w:line="240" w:lineRule="auto"/>
            </w:pPr>
            <w:r w:rsidRPr="00503377">
              <w:t>Hearing on the Merits</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May 1, 2015</w:t>
            </w:r>
          </w:p>
        </w:tc>
        <w:tc>
          <w:tcPr>
            <w:tcW w:w="7218" w:type="dxa"/>
            <w:vAlign w:val="center"/>
          </w:tcPr>
          <w:p w:rsidR="00503377" w:rsidRPr="00503377" w:rsidRDefault="00503377" w:rsidP="00503377">
            <w:pPr>
              <w:spacing w:line="240" w:lineRule="auto"/>
            </w:pPr>
            <w:r w:rsidRPr="00503377">
              <w:t>SOAH Order 17 – Setting out Post-Hearing Schedule and Briefing Outline</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June 26, 2015</w:t>
            </w:r>
          </w:p>
        </w:tc>
        <w:tc>
          <w:tcPr>
            <w:tcW w:w="7218" w:type="dxa"/>
            <w:vAlign w:val="center"/>
          </w:tcPr>
          <w:p w:rsidR="00503377" w:rsidRPr="00503377" w:rsidRDefault="00503377" w:rsidP="00877F3A">
            <w:pPr>
              <w:spacing w:line="240" w:lineRule="auto"/>
            </w:pPr>
            <w:r w:rsidRPr="00503377">
              <w:t xml:space="preserve">Initial Closing Briefs </w:t>
            </w:r>
            <w:r w:rsidR="00877F3A">
              <w:t>due date</w:t>
            </w:r>
          </w:p>
        </w:tc>
      </w:tr>
      <w:tr w:rsidR="00503377" w:rsidRPr="00503377" w:rsidTr="00503377">
        <w:trPr>
          <w:cantSplit/>
        </w:trPr>
        <w:tc>
          <w:tcPr>
            <w:tcW w:w="2358" w:type="dxa"/>
            <w:vAlign w:val="center"/>
          </w:tcPr>
          <w:p w:rsidR="00503377" w:rsidRPr="00503377" w:rsidRDefault="00503377" w:rsidP="00503377">
            <w:pPr>
              <w:spacing w:line="240" w:lineRule="auto"/>
            </w:pPr>
            <w:r w:rsidRPr="00503377">
              <w:t>August 3, 2015</w:t>
            </w:r>
          </w:p>
        </w:tc>
        <w:tc>
          <w:tcPr>
            <w:tcW w:w="7218" w:type="dxa"/>
            <w:vAlign w:val="center"/>
          </w:tcPr>
          <w:p w:rsidR="00503377" w:rsidRPr="00503377" w:rsidRDefault="00503377" w:rsidP="00503377">
            <w:pPr>
              <w:spacing w:line="240" w:lineRule="auto"/>
            </w:pPr>
            <w:r w:rsidRPr="00503377">
              <w:t>Reply Briefs</w:t>
            </w:r>
            <w:r w:rsidR="00877F3A">
              <w:t xml:space="preserve"> due date</w:t>
            </w:r>
          </w:p>
        </w:tc>
      </w:tr>
    </w:tbl>
    <w:p w:rsidR="00503377" w:rsidRDefault="00503377" w:rsidP="00885B8D"/>
    <w:p w:rsidR="00885B8D" w:rsidRDefault="0064491C" w:rsidP="00714482">
      <w:pPr>
        <w:pStyle w:val="Heading1"/>
      </w:pPr>
      <w:bookmarkStart w:id="4" w:name="_Toc431366923"/>
      <w:r>
        <w:t>BACKGROUND</w:t>
      </w:r>
      <w:bookmarkEnd w:id="4"/>
    </w:p>
    <w:p w:rsidR="0064491C" w:rsidRDefault="0064491C" w:rsidP="00885B8D"/>
    <w:p w:rsidR="00A01548" w:rsidRDefault="00A01548" w:rsidP="00885B8D">
      <w:r>
        <w:tab/>
        <w:t>To understand the current dispute, one must first understand a complex set of entities and their relationships, contracts, and actions.  These are described below.</w:t>
      </w:r>
    </w:p>
    <w:p w:rsidR="00A01548" w:rsidRDefault="00A01548" w:rsidP="00885B8D"/>
    <w:p w:rsidR="0064491C" w:rsidRDefault="0064491C" w:rsidP="0064491C">
      <w:r>
        <w:tab/>
        <w:t xml:space="preserve">TCMUDs 11, 12, and 13 are </w:t>
      </w:r>
      <w:r w:rsidRPr="00302EAB">
        <w:t>conservation and reclamation district</w:t>
      </w:r>
      <w:r>
        <w:t>s</w:t>
      </w:r>
      <w:r w:rsidRPr="00302EAB">
        <w:t xml:space="preserve"> created and functioning under </w:t>
      </w:r>
      <w:r w:rsidR="008C279E">
        <w:t>a</w:t>
      </w:r>
      <w:r w:rsidRPr="00302EAB">
        <w:t xml:space="preserve">rticle 16, </w:t>
      </w:r>
      <w:r w:rsidR="008C279E">
        <w:t>s</w:t>
      </w:r>
      <w:r w:rsidRPr="00302EAB">
        <w:t xml:space="preserve">ection 59 of the Texas Constitution and </w:t>
      </w:r>
      <w:r w:rsidR="008C279E">
        <w:t>c</w:t>
      </w:r>
      <w:r w:rsidRPr="00302EAB">
        <w:t xml:space="preserve">hapters 49 and 54 of the </w:t>
      </w:r>
      <w:r w:rsidRPr="00302EAB">
        <w:lastRenderedPageBreak/>
        <w:t>Texas Water Code.</w:t>
      </w:r>
      <w:r>
        <w:rPr>
          <w:rStyle w:val="FootnoteReference"/>
        </w:rPr>
        <w:footnoteReference w:id="3"/>
      </w:r>
      <w:r w:rsidRPr="00302EAB">
        <w:t xml:space="preserve">  </w:t>
      </w:r>
      <w:r>
        <w:t xml:space="preserve">They are also </w:t>
      </w:r>
      <w:r w:rsidR="00B71573">
        <w:t>“</w:t>
      </w:r>
      <w:r>
        <w:t>retail public utilities</w:t>
      </w:r>
      <w:r w:rsidR="00B71573">
        <w:t>”</w:t>
      </w:r>
      <w:r>
        <w:t xml:space="preserve"> because they are </w:t>
      </w:r>
      <w:r w:rsidR="00B71573">
        <w:t>“</w:t>
      </w:r>
      <w:r w:rsidRPr="00302EAB">
        <w:t>operating, maintaining, or controlling in this state facilities for providing potable water service or sewer service, or both, for compensation.</w:t>
      </w:r>
      <w:r w:rsidR="00B71573">
        <w:t>”</w:t>
      </w:r>
      <w:r>
        <w:rPr>
          <w:rStyle w:val="FootnoteReference"/>
        </w:rPr>
        <w:footnoteReference w:id="4"/>
      </w:r>
      <w:r>
        <w:t xml:space="preserve">  All three provide retail water service to geographically distinct areas within a larger area in Travis County, Texas, known as </w:t>
      </w:r>
      <w:r w:rsidR="00B71573">
        <w:t>“</w:t>
      </w:r>
      <w:r>
        <w:t>The Highlands.</w:t>
      </w:r>
      <w:r w:rsidR="00B71573">
        <w:t>”</w:t>
      </w:r>
      <w:r>
        <w:rPr>
          <w:rStyle w:val="FootnoteReference"/>
        </w:rPr>
        <w:footnoteReference w:id="5"/>
      </w:r>
      <w:r>
        <w:t xml:space="preserve">  </w:t>
      </w:r>
      <w:r w:rsidR="00856CD1">
        <w:t>TC</w:t>
      </w:r>
      <w:r>
        <w:t xml:space="preserve">MUD 11 also serves an adjacent area, known as </w:t>
      </w:r>
      <w:r w:rsidR="00B71573">
        <w:t>“</w:t>
      </w:r>
      <w:r>
        <w:t>Rough Hollow.</w:t>
      </w:r>
      <w:r w:rsidR="00B71573">
        <w:t>”</w:t>
      </w:r>
      <w:r>
        <w:rPr>
          <w:rStyle w:val="FootnoteReference"/>
        </w:rPr>
        <w:footnoteReference w:id="6"/>
      </w:r>
      <w:r>
        <w:t xml:space="preserve">  </w:t>
      </w:r>
    </w:p>
    <w:p w:rsidR="0064491C" w:rsidRDefault="0064491C" w:rsidP="0064491C"/>
    <w:p w:rsidR="00FF09FC" w:rsidRDefault="0064491C" w:rsidP="00714482">
      <w:r>
        <w:tab/>
        <w:t xml:space="preserve">WTCPUA is </w:t>
      </w:r>
      <w:r w:rsidRPr="008F137F">
        <w:t>a Texas public utility agency</w:t>
      </w:r>
      <w:r w:rsidR="00856CD1">
        <w:t xml:space="preserve">, </w:t>
      </w:r>
      <w:r w:rsidRPr="008F137F">
        <w:t xml:space="preserve">a political subdivision of the </w:t>
      </w:r>
      <w:r w:rsidR="008C279E">
        <w:t xml:space="preserve">state of Texas organized under </w:t>
      </w:r>
      <w:r w:rsidR="00DF6BB1">
        <w:t>c</w:t>
      </w:r>
      <w:r w:rsidRPr="008F137F">
        <w:t>hapter 572 of the Texas Local Government Code</w:t>
      </w:r>
      <w:r w:rsidR="00856CD1">
        <w:t>.</w:t>
      </w:r>
      <w:r>
        <w:rPr>
          <w:rStyle w:val="FootnoteReference"/>
        </w:rPr>
        <w:footnoteReference w:id="7"/>
      </w:r>
      <w:r w:rsidR="00856CD1">
        <w:t xml:space="preserve">  It was formed by Bee Cave, Hays County, and District 5 (collectively, </w:t>
      </w:r>
      <w:r w:rsidR="00B71573">
        <w:t>“</w:t>
      </w:r>
      <w:r w:rsidR="00856CD1">
        <w:t>Participants</w:t>
      </w:r>
      <w:r w:rsidR="00B71573">
        <w:t>”</w:t>
      </w:r>
      <w:r w:rsidR="00856CD1">
        <w:t>).</w:t>
      </w:r>
      <w:r w:rsidR="00856CD1">
        <w:rPr>
          <w:rStyle w:val="FootnoteReference"/>
        </w:rPr>
        <w:footnoteReference w:id="8"/>
      </w:r>
      <w:r w:rsidR="00856CD1">
        <w:t xml:space="preserve">  WTCPUA is governed by a five-member bo</w:t>
      </w:r>
      <w:r w:rsidRPr="008F137F">
        <w:t xml:space="preserve">ard of </w:t>
      </w:r>
      <w:r w:rsidR="00856CD1">
        <w:t>d</w:t>
      </w:r>
      <w:r w:rsidRPr="008F137F">
        <w:t>irectors.</w:t>
      </w:r>
      <w:r>
        <w:rPr>
          <w:rStyle w:val="FootnoteReference"/>
        </w:rPr>
        <w:footnoteReference w:id="9"/>
      </w:r>
      <w:r w:rsidR="00856CD1">
        <w:t xml:space="preserve">  The </w:t>
      </w:r>
      <w:r>
        <w:t>board of directors consists of one person appointed by each of the Participants and two additional directors appointed by Participants</w:t>
      </w:r>
      <w:r w:rsidR="00B71573">
        <w:t>’</w:t>
      </w:r>
      <w:r>
        <w:t xml:space="preserve"> appointees.</w:t>
      </w:r>
      <w:r>
        <w:rPr>
          <w:rStyle w:val="FootnoteReference"/>
        </w:rPr>
        <w:footnoteReference w:id="10"/>
      </w:r>
      <w:r w:rsidR="00FF09FC">
        <w:t xml:space="preserve">  </w:t>
      </w:r>
      <w:r>
        <w:t>In keeping with a se</w:t>
      </w:r>
      <w:r w:rsidR="00FF09FC">
        <w:t>ries</w:t>
      </w:r>
      <w:r>
        <w:t xml:space="preserve"> of contracts </w:t>
      </w:r>
      <w:r w:rsidR="00FF09FC">
        <w:t xml:space="preserve">as </w:t>
      </w:r>
      <w:r w:rsidR="00537728">
        <w:t xml:space="preserve">described </w:t>
      </w:r>
      <w:r w:rsidR="00FF09FC">
        <w:t xml:space="preserve">below, </w:t>
      </w:r>
      <w:r>
        <w:t>WTCPUA diverts raw water owned by TCMUD 12 from Lake Austin in Travis County, Texas, and transports, treats, and delivers the treated water to TCMUD 12, in that same county.</w:t>
      </w:r>
      <w:r>
        <w:rPr>
          <w:rStyle w:val="FootnoteReference"/>
        </w:rPr>
        <w:footnoteReference w:id="11"/>
      </w:r>
    </w:p>
    <w:p w:rsidR="00FF09FC" w:rsidRDefault="00FF09FC" w:rsidP="00714482"/>
    <w:p w:rsidR="0064491C" w:rsidRDefault="00FF09FC" w:rsidP="00714482">
      <w:r>
        <w:tab/>
      </w:r>
      <w:r w:rsidR="001B7645">
        <w:t>On</w:t>
      </w:r>
      <w:r w:rsidR="0064491C">
        <w:t xml:space="preserve"> September </w:t>
      </w:r>
      <w:r w:rsidR="001B7645">
        <w:t xml:space="preserve">25, </w:t>
      </w:r>
      <w:r w:rsidR="0064491C">
        <w:t xml:space="preserve">2008, TCMUD 12 and the Lower Colorado River Authority (LCRA) entered into a contract (Raw Water Contract) under which LCRA provided up to 1,680 acre-feet of raw water per year to </w:t>
      </w:r>
      <w:r w:rsidR="00F8377D">
        <w:t>TC</w:t>
      </w:r>
      <w:r w:rsidR="0064491C">
        <w:t>MUD 12 for municipal use by TCMUDs 11, 12, and 13 within their service areas.</w:t>
      </w:r>
      <w:r w:rsidR="00D20CE3">
        <w:rPr>
          <w:rStyle w:val="FootnoteReference"/>
        </w:rPr>
        <w:footnoteReference w:id="12"/>
      </w:r>
      <w:r w:rsidR="0064491C">
        <w:t xml:space="preserve">  Additionally, in October 2009, TCMUD 12 and LCRA entered into a separate wholesale water services agreement (Water Services Agreement).</w:t>
      </w:r>
      <w:r w:rsidR="0064491C">
        <w:rPr>
          <w:rStyle w:val="FootnoteReference"/>
        </w:rPr>
        <w:footnoteReference w:id="13"/>
      </w:r>
      <w:r w:rsidR="0064491C">
        <w:t xml:space="preserve">  In that agreement, LCRA </w:t>
      </w:r>
      <w:r w:rsidR="0064491C">
        <w:lastRenderedPageBreak/>
        <w:t>agreed to divert, transport, and treat, as needed, the raw water that TCMUD</w:t>
      </w:r>
      <w:r w:rsidR="00C47495">
        <w:t xml:space="preserve"> </w:t>
      </w:r>
      <w:r w:rsidR="0064491C">
        <w:t>12 had purchased from LCRA under the Raw Water Contract and to deliver that treated water to TCMUD</w:t>
      </w:r>
      <w:r w:rsidR="00C47495">
        <w:t xml:space="preserve"> </w:t>
      </w:r>
      <w:r w:rsidR="0064491C">
        <w:t>12 at a specified delivery point.</w:t>
      </w:r>
      <w:r w:rsidR="0064491C">
        <w:rPr>
          <w:rStyle w:val="FootnoteReference"/>
        </w:rPr>
        <w:footnoteReference w:id="14"/>
      </w:r>
      <w:r w:rsidR="0064491C">
        <w:t xml:space="preserve">  In the Water Services Agreement, TCMUD 12 agreed to pay LCRA:</w:t>
      </w:r>
    </w:p>
    <w:p w:rsidR="0064491C" w:rsidRDefault="0064491C" w:rsidP="0064491C"/>
    <w:p w:rsidR="0064491C" w:rsidRDefault="0064491C" w:rsidP="00085C5D">
      <w:pPr>
        <w:pStyle w:val="ListParagraph"/>
        <w:numPr>
          <w:ilvl w:val="0"/>
          <w:numId w:val="10"/>
        </w:numPr>
      </w:pPr>
      <w:r>
        <w:t>a one-time connection fee per each living unit equivalent (LUE) for each new retail customer that connected to the TCMUD 11, 12, or 13 systems;</w:t>
      </w:r>
      <w:r>
        <w:rPr>
          <w:rStyle w:val="FootnoteReference"/>
        </w:rPr>
        <w:footnoteReference w:id="15"/>
      </w:r>
    </w:p>
    <w:p w:rsidR="0064491C" w:rsidRDefault="0064491C" w:rsidP="00085C5D">
      <w:pPr>
        <w:pStyle w:val="ListParagraph"/>
        <w:numPr>
          <w:ilvl w:val="0"/>
          <w:numId w:val="10"/>
        </w:numPr>
      </w:pPr>
      <w:r>
        <w:t>a monthly charge for each calendar month;</w:t>
      </w:r>
      <w:r>
        <w:rPr>
          <w:rStyle w:val="FootnoteReference"/>
        </w:rPr>
        <w:footnoteReference w:id="16"/>
      </w:r>
      <w:r>
        <w:t xml:space="preserve"> and </w:t>
      </w:r>
    </w:p>
    <w:p w:rsidR="0064491C" w:rsidRDefault="0064491C" w:rsidP="00085C5D">
      <w:pPr>
        <w:pStyle w:val="ListParagraph"/>
        <w:numPr>
          <w:ilvl w:val="0"/>
          <w:numId w:val="10"/>
        </w:numPr>
      </w:pPr>
      <w:r>
        <w:t>a monthly volumetric rate for diversion, transportation, treatment, and delivery of the actual amount of water delivered to TCMUD 12</w:t>
      </w:r>
      <w:r w:rsidR="00D20CE3">
        <w:t xml:space="preserve"> during the month</w:t>
      </w:r>
      <w:r>
        <w:t>.</w:t>
      </w:r>
      <w:r>
        <w:rPr>
          <w:rStyle w:val="FootnoteReference"/>
        </w:rPr>
        <w:footnoteReference w:id="17"/>
      </w:r>
    </w:p>
    <w:p w:rsidR="0064491C" w:rsidRDefault="0064491C" w:rsidP="0064491C"/>
    <w:p w:rsidR="0064491C" w:rsidRDefault="0064491C" w:rsidP="0064491C">
      <w:r>
        <w:tab/>
        <w:t>The connection fee was designed to recover all or part of LCRA</w:t>
      </w:r>
      <w:r w:rsidR="00B71573">
        <w:t>’</w:t>
      </w:r>
      <w:r>
        <w:t>s costs for capital improvements or facility expansions intended to serve new development in LCRA</w:t>
      </w:r>
      <w:r w:rsidR="00B71573">
        <w:t>’</w:t>
      </w:r>
      <w:r>
        <w:t>s service area.</w:t>
      </w:r>
      <w:r>
        <w:rPr>
          <w:rStyle w:val="FootnoteReference"/>
        </w:rPr>
        <w:footnoteReference w:id="18"/>
      </w:r>
      <w:r>
        <w:t xml:space="preserve">  The </w:t>
      </w:r>
      <w:r w:rsidR="00101B76">
        <w:t>monthly charge</w:t>
      </w:r>
      <w:r>
        <w:t xml:space="preserve"> was designed primarily to recover TCMUD 12</w:t>
      </w:r>
      <w:r w:rsidR="00B71573">
        <w:t>’</w:t>
      </w:r>
      <w:r>
        <w:t xml:space="preserve">s allocable share of </w:t>
      </w:r>
      <w:r w:rsidR="00D20CE3">
        <w:t>LCRA</w:t>
      </w:r>
      <w:r w:rsidR="00B71573">
        <w:t>’</w:t>
      </w:r>
      <w:r w:rsidR="00D20CE3">
        <w:t xml:space="preserve">s </w:t>
      </w:r>
      <w:r>
        <w:t xml:space="preserve">capital-related costs of the </w:t>
      </w:r>
      <w:r w:rsidR="00F8377D">
        <w:t>s</w:t>
      </w:r>
      <w:r>
        <w:t xml:space="preserve">ystem </w:t>
      </w:r>
      <w:r w:rsidR="00F8377D">
        <w:t xml:space="preserve">used to provide service (West Travis </w:t>
      </w:r>
      <w:r w:rsidR="00E87D71">
        <w:t xml:space="preserve">County </w:t>
      </w:r>
      <w:r w:rsidR="00F8377D">
        <w:t xml:space="preserve">System) </w:t>
      </w:r>
      <w:r w:rsidR="00D20CE3">
        <w:t xml:space="preserve">that were </w:t>
      </w:r>
      <w:r>
        <w:t xml:space="preserve">not recovered </w:t>
      </w:r>
      <w:r w:rsidR="00D20CE3">
        <w:t>through t</w:t>
      </w:r>
      <w:r>
        <w:t>he connection fee.</w:t>
      </w:r>
      <w:r>
        <w:rPr>
          <w:rStyle w:val="FootnoteReference"/>
        </w:rPr>
        <w:footnoteReference w:id="19"/>
      </w:r>
      <w:r>
        <w:t xml:space="preserve">  The volumetric rate was designed primarily to recover LCRA</w:t>
      </w:r>
      <w:r w:rsidR="00B71573">
        <w:t>’</w:t>
      </w:r>
      <w:r>
        <w:t>s operation and maintenance costs, together with LCRA</w:t>
      </w:r>
      <w:r w:rsidR="00B71573">
        <w:t>’</w:t>
      </w:r>
      <w:r>
        <w:t xml:space="preserve">s other costs not recovered through the connection fee or the </w:t>
      </w:r>
      <w:r w:rsidR="00101B76">
        <w:t>monthly charge</w:t>
      </w:r>
      <w:r>
        <w:t>.</w:t>
      </w:r>
      <w:r>
        <w:rPr>
          <w:rStyle w:val="FootnoteReference"/>
        </w:rPr>
        <w:footnoteReference w:id="20"/>
      </w:r>
      <w:r>
        <w:t xml:space="preserve">  The connection fee was initially set at $4,120 per LUE, the </w:t>
      </w:r>
      <w:r w:rsidR="00101B76">
        <w:t>monthly charge</w:t>
      </w:r>
      <w:r>
        <w:t xml:space="preserve"> was initially set at $9,430 per month, and the volumetric rate was initially set at $2.40 per 1,000 gallons.</w:t>
      </w:r>
      <w:r>
        <w:rPr>
          <w:rStyle w:val="FootnoteReference"/>
        </w:rPr>
        <w:footnoteReference w:id="21"/>
      </w:r>
      <w:r>
        <w:t xml:space="preserve">  The Water Services Agreement provided that LCRA could modify the connection fee, </w:t>
      </w:r>
      <w:r w:rsidR="00101B76">
        <w:t>monthly charge</w:t>
      </w:r>
      <w:r>
        <w:t>, and volumetric rate to recover TCMUD 12</w:t>
      </w:r>
      <w:r w:rsidR="00B71573">
        <w:t>’</w:t>
      </w:r>
      <w:r>
        <w:t xml:space="preserve">s proportionate, just, reasonable, nondiscriminatory, fair, and equitable cost share of the costs of the </w:t>
      </w:r>
      <w:r w:rsidR="00F8377D">
        <w:t xml:space="preserve">West Travis </w:t>
      </w:r>
      <w:r w:rsidR="00E87D71">
        <w:t xml:space="preserve">County </w:t>
      </w:r>
      <w:r w:rsidR="00F8377D">
        <w:t>S</w:t>
      </w:r>
      <w:r>
        <w:t>ystem.</w:t>
      </w:r>
      <w:r>
        <w:rPr>
          <w:rStyle w:val="FootnoteReference"/>
        </w:rPr>
        <w:footnoteReference w:id="22"/>
      </w:r>
    </w:p>
    <w:p w:rsidR="0064491C" w:rsidRDefault="0064491C" w:rsidP="0064491C"/>
    <w:p w:rsidR="0064491C" w:rsidRDefault="0064491C" w:rsidP="0064491C">
      <w:r>
        <w:tab/>
        <w:t>Subsequently, in January 2012, LCRA and WTCPUA entered into a utilities installment purchase agreement (Utilities Purchase Agreement)</w:t>
      </w:r>
      <w:r>
        <w:rPr>
          <w:rStyle w:val="FootnoteReference"/>
        </w:rPr>
        <w:footnoteReference w:id="23"/>
      </w:r>
      <w:r>
        <w:t xml:space="preserve"> by which LCRA sold </w:t>
      </w:r>
      <w:r w:rsidR="00F8377D">
        <w:t xml:space="preserve">the West Travis </w:t>
      </w:r>
      <w:r w:rsidR="00E87D71">
        <w:t xml:space="preserve">County </w:t>
      </w:r>
      <w:r w:rsidR="00F8377D">
        <w:t xml:space="preserve">System, which included </w:t>
      </w:r>
      <w:r>
        <w:t>certain water and wastewater utility facilities in western Travis and Hays County</w:t>
      </w:r>
      <w:r w:rsidR="00F8377D">
        <w:t xml:space="preserve">, </w:t>
      </w:r>
      <w:r>
        <w:t xml:space="preserve">to WTCPUA.  These included the facilities that LCRA had used to serve TCMUD 12, under the Water Services Agreement, and other water utilities.  </w:t>
      </w:r>
      <w:r w:rsidR="00D14AE5">
        <w:t>O</w:t>
      </w:r>
      <w:r w:rsidR="00D14AE5" w:rsidRPr="0059421B">
        <w:t xml:space="preserve">n March 19, 2012, </w:t>
      </w:r>
      <w:r w:rsidR="00D14AE5">
        <w:t xml:space="preserve">after assuming operational control </w:t>
      </w:r>
      <w:r w:rsidRPr="0059421B">
        <w:t xml:space="preserve">of the </w:t>
      </w:r>
      <w:r w:rsidR="00F8377D">
        <w:t xml:space="preserve">West Travis </w:t>
      </w:r>
      <w:r w:rsidR="00E87D71">
        <w:t xml:space="preserve">County </w:t>
      </w:r>
      <w:r w:rsidR="00F8377D">
        <w:t>System</w:t>
      </w:r>
      <w:r w:rsidR="00D14AE5">
        <w:t>,</w:t>
      </w:r>
      <w:r w:rsidR="00F8377D">
        <w:t xml:space="preserve"> </w:t>
      </w:r>
      <w:r w:rsidRPr="0059421B">
        <w:t xml:space="preserve">WTCPUA adopted the </w:t>
      </w:r>
      <w:r w:rsidR="00101B76">
        <w:t>monthly charge</w:t>
      </w:r>
      <w:r w:rsidRPr="0059421B">
        <w:t xml:space="preserve"> and </w:t>
      </w:r>
      <w:r w:rsidR="00101B76">
        <w:t>volumetric rate</w:t>
      </w:r>
      <w:r w:rsidRPr="0059421B">
        <w:t xml:space="preserve"> that LCRA</w:t>
      </w:r>
      <w:r>
        <w:t xml:space="preserve"> </w:t>
      </w:r>
      <w:r w:rsidR="00D14AE5">
        <w:t xml:space="preserve">had charged </w:t>
      </w:r>
      <w:r>
        <w:t>(Initial Rates)</w:t>
      </w:r>
      <w:r w:rsidRPr="0059421B">
        <w:t>, including the rates charged to TCMUD 12.</w:t>
      </w:r>
      <w:r w:rsidRPr="0059421B">
        <w:rPr>
          <w:vertAlign w:val="superscript"/>
        </w:rPr>
        <w:footnoteReference w:id="24"/>
      </w:r>
      <w:r w:rsidRPr="0059421B">
        <w:t xml:space="preserve">  Accordingly, </w:t>
      </w:r>
      <w:r>
        <w:t>WTCPUA</w:t>
      </w:r>
      <w:r w:rsidR="00B71573">
        <w:t>’</w:t>
      </w:r>
      <w:r>
        <w:t xml:space="preserve">s </w:t>
      </w:r>
      <w:r w:rsidRPr="0059421B">
        <w:t xml:space="preserve">initial </w:t>
      </w:r>
      <w:r w:rsidR="00101B76">
        <w:t>monthly charge</w:t>
      </w:r>
      <w:r w:rsidRPr="0059421B">
        <w:t xml:space="preserve"> </w:t>
      </w:r>
      <w:r>
        <w:t xml:space="preserve">to TCMUD 12 </w:t>
      </w:r>
      <w:r w:rsidRPr="0059421B">
        <w:t xml:space="preserve">was $9,430 per month </w:t>
      </w:r>
      <w:r>
        <w:t xml:space="preserve">and the </w:t>
      </w:r>
      <w:r w:rsidR="00101B76">
        <w:t>volumetric rate</w:t>
      </w:r>
      <w:r w:rsidRPr="0059421B">
        <w:t xml:space="preserve"> </w:t>
      </w:r>
      <w:r>
        <w:t xml:space="preserve">was </w:t>
      </w:r>
      <w:r w:rsidRPr="0059421B">
        <w:t>$2.40 per 1,000 gallons</w:t>
      </w:r>
      <w:r w:rsidR="004604A1">
        <w:t>,</w:t>
      </w:r>
      <w:r w:rsidRPr="0059421B">
        <w:rPr>
          <w:vertAlign w:val="superscript"/>
        </w:rPr>
        <w:footnoteReference w:id="25"/>
      </w:r>
      <w:r w:rsidR="000D4FF9">
        <w:t xml:space="preserve"> the </w:t>
      </w:r>
      <w:r w:rsidR="004604A1">
        <w:t>same as LCRA had charged.</w:t>
      </w:r>
    </w:p>
    <w:p w:rsidR="0064491C" w:rsidRDefault="0064491C" w:rsidP="0064491C"/>
    <w:p w:rsidR="0064491C" w:rsidRDefault="0064491C" w:rsidP="0064491C">
      <w:r>
        <w:tab/>
        <w:t xml:space="preserve">In June 2012, LCRA, </w:t>
      </w:r>
      <w:r w:rsidR="00DF1D4C">
        <w:t>TC</w:t>
      </w:r>
      <w:r>
        <w:t xml:space="preserve">MUD 12, and WTCPUA entered into an agreement </w:t>
      </w:r>
      <w:r w:rsidR="00DF1D4C">
        <w:t xml:space="preserve">(Transfer Agreement), retroactively effective </w:t>
      </w:r>
      <w:r w:rsidR="004604A1">
        <w:t xml:space="preserve">to </w:t>
      </w:r>
      <w:r w:rsidR="00DF1D4C">
        <w:t xml:space="preserve">March 19, 2012, </w:t>
      </w:r>
      <w:r>
        <w:t xml:space="preserve">regarding transfer of the operations of the </w:t>
      </w:r>
      <w:r w:rsidR="008F46A5">
        <w:t>W</w:t>
      </w:r>
      <w:r>
        <w:t xml:space="preserve">est Travis County </w:t>
      </w:r>
      <w:r w:rsidR="00DF1D4C">
        <w:t>System</w:t>
      </w:r>
      <w:r>
        <w:t>.</w:t>
      </w:r>
      <w:r>
        <w:rPr>
          <w:rStyle w:val="FootnoteReference"/>
        </w:rPr>
        <w:footnoteReference w:id="26"/>
      </w:r>
      <w:r>
        <w:t xml:space="preserve">  In </w:t>
      </w:r>
      <w:r w:rsidR="00DF1D4C">
        <w:t>that agreement</w:t>
      </w:r>
      <w:r>
        <w:t xml:space="preserve">, LCRA assigned to the </w:t>
      </w:r>
      <w:r w:rsidR="00DF1D4C">
        <w:t>WTC</w:t>
      </w:r>
      <w:r>
        <w:t xml:space="preserve">PUA all obligations and duties of the LCRA under the Water Services Agreement, </w:t>
      </w:r>
      <w:r w:rsidR="00C47495">
        <w:t>WTC</w:t>
      </w:r>
      <w:r>
        <w:t>PUA assumed those obligations and duties, and WTCPUA consented to the assignment and assumption.</w:t>
      </w:r>
      <w:r>
        <w:rPr>
          <w:rStyle w:val="FootnoteReference"/>
        </w:rPr>
        <w:footnoteReference w:id="27"/>
      </w:r>
    </w:p>
    <w:p w:rsidR="00714482" w:rsidRPr="0059421B" w:rsidRDefault="00714482" w:rsidP="0064491C"/>
    <w:p w:rsidR="0064491C" w:rsidRDefault="0064491C" w:rsidP="0064491C">
      <w:r>
        <w:tab/>
      </w:r>
      <w:r w:rsidRPr="0059421B">
        <w:t>On November 15, 2012, the WTCPUA Board of Directors adopted a</w:t>
      </w:r>
      <w:r>
        <w:t>n</w:t>
      </w:r>
      <w:r w:rsidRPr="0059421B">
        <w:t xml:space="preserve"> order increasing </w:t>
      </w:r>
      <w:r>
        <w:t xml:space="preserve">its </w:t>
      </w:r>
      <w:r w:rsidRPr="0059421B">
        <w:t>wholesale water treatment service rates</w:t>
      </w:r>
      <w:r>
        <w:t>, including those</w:t>
      </w:r>
      <w:r w:rsidRPr="0059421B">
        <w:t xml:space="preserve"> charged to TCMUD 12</w:t>
      </w:r>
      <w:r>
        <w:t>,</w:t>
      </w:r>
      <w:r w:rsidRPr="0059421B">
        <w:t xml:space="preserve"> by 15.5%</w:t>
      </w:r>
      <w:r>
        <w:t xml:space="preserve"> effective January 2013 (</w:t>
      </w:r>
      <w:r w:rsidRPr="0059421B">
        <w:t>Prior Rates</w:t>
      </w:r>
      <w:r>
        <w:t>)</w:t>
      </w:r>
      <w:r w:rsidRPr="0059421B">
        <w:t>.</w:t>
      </w:r>
      <w:r w:rsidRPr="0059421B">
        <w:rPr>
          <w:vertAlign w:val="superscript"/>
        </w:rPr>
        <w:footnoteReference w:id="28"/>
      </w:r>
      <w:r w:rsidRPr="0059421B">
        <w:t xml:space="preserve">  Specifically, </w:t>
      </w:r>
      <w:r w:rsidR="00C9021E">
        <w:t xml:space="preserve">the Prior Rates </w:t>
      </w:r>
      <w:r w:rsidRPr="0059421B">
        <w:t xml:space="preserve">increased </w:t>
      </w:r>
      <w:r>
        <w:t>TCMUD 12</w:t>
      </w:r>
      <w:r w:rsidR="00B71573">
        <w:t>’</w:t>
      </w:r>
      <w:r>
        <w:t xml:space="preserve">s </w:t>
      </w:r>
      <w:r w:rsidR="00101B76">
        <w:t>monthly charge</w:t>
      </w:r>
      <w:r w:rsidRPr="0059421B">
        <w:t xml:space="preserve"> from $9,430 to $10,891.65 and the </w:t>
      </w:r>
      <w:r w:rsidR="009A634E">
        <w:t>v</w:t>
      </w:r>
      <w:r w:rsidR="00101B76">
        <w:t>olumetric rate</w:t>
      </w:r>
      <w:r w:rsidRPr="0059421B">
        <w:t xml:space="preserve"> from $2.40 to $2.77 per 1,000 gallons.</w:t>
      </w:r>
      <w:r w:rsidRPr="0059421B">
        <w:rPr>
          <w:vertAlign w:val="superscript"/>
        </w:rPr>
        <w:footnoteReference w:id="29"/>
      </w:r>
      <w:r w:rsidRPr="0059421B">
        <w:t xml:space="preserve">  The</w:t>
      </w:r>
      <w:r w:rsidR="002F7D4D">
        <w:t xml:space="preserve"> Prior R</w:t>
      </w:r>
      <w:r w:rsidRPr="0059421B">
        <w:t>ates</w:t>
      </w:r>
      <w:r>
        <w:t xml:space="preserve"> were not appealed by TCMUD 12.</w:t>
      </w:r>
    </w:p>
    <w:p w:rsidR="00572A63" w:rsidRDefault="00572A63" w:rsidP="0064491C"/>
    <w:p w:rsidR="0064491C" w:rsidRPr="0059421B" w:rsidRDefault="0064491C" w:rsidP="0064491C">
      <w:r>
        <w:lastRenderedPageBreak/>
        <w:tab/>
        <w:t>Subsequently, o</w:t>
      </w:r>
      <w:r w:rsidRPr="0059421B">
        <w:t>n November 21, 2013, the WTCPUA Board of Directors adopted a rate order revising the wholesale water treatment service rates charged to TCMUD 12, effective January 1, 2014</w:t>
      </w:r>
      <w:r>
        <w:t xml:space="preserve"> (</w:t>
      </w:r>
      <w:r w:rsidRPr="0059421B">
        <w:t>Protested Rates</w:t>
      </w:r>
      <w:r>
        <w:t>)</w:t>
      </w:r>
      <w:r w:rsidRPr="0059421B">
        <w:t>.</w:t>
      </w:r>
      <w:r>
        <w:rPr>
          <w:rStyle w:val="FootnoteReference"/>
        </w:rPr>
        <w:footnoteReference w:id="30"/>
      </w:r>
      <w:r w:rsidRPr="0059421B">
        <w:t xml:space="preserve">  As compared to the Prior Rates, </w:t>
      </w:r>
      <w:r w:rsidR="009A634E">
        <w:t xml:space="preserve">the Protested Rates decreased </w:t>
      </w:r>
      <w:r w:rsidRPr="0059421B">
        <w:t>TCMUD 12</w:t>
      </w:r>
      <w:r w:rsidR="00B71573">
        <w:t>’</w:t>
      </w:r>
      <w:r w:rsidRPr="0059421B">
        <w:t xml:space="preserve">s </w:t>
      </w:r>
      <w:r w:rsidR="00101B76">
        <w:t>monthly charge</w:t>
      </w:r>
      <w:r w:rsidRPr="0059421B">
        <w:t xml:space="preserve"> from $10,891.65 to $8,140.89 and </w:t>
      </w:r>
      <w:r w:rsidR="009A634E">
        <w:t>decrease</w:t>
      </w:r>
      <w:r w:rsidR="002F7D4D">
        <w:t>d</w:t>
      </w:r>
      <w:r w:rsidR="009A634E">
        <w:t xml:space="preserve"> its v</w:t>
      </w:r>
      <w:r w:rsidR="00101B76">
        <w:t>olumetric rate</w:t>
      </w:r>
      <w:r w:rsidRPr="0059421B">
        <w:t xml:space="preserve"> from $2.77 to $2.11 per 1,000 gallons.</w:t>
      </w:r>
      <w:r w:rsidRPr="0059421B">
        <w:rPr>
          <w:vertAlign w:val="superscript"/>
        </w:rPr>
        <w:footnoteReference w:id="31"/>
      </w:r>
      <w:r>
        <w:t xml:space="preserve">  TCMUD 12</w:t>
      </w:r>
      <w:r w:rsidR="00B71573">
        <w:t>’</w:t>
      </w:r>
      <w:r>
        <w:t xml:space="preserve">s </w:t>
      </w:r>
      <w:r w:rsidR="009A634E">
        <w:t xml:space="preserve">petition in this case </w:t>
      </w:r>
      <w:r>
        <w:t>appeal</w:t>
      </w:r>
      <w:r w:rsidR="009A634E">
        <w:t>s</w:t>
      </w:r>
      <w:r>
        <w:t xml:space="preserve"> the Protested Rates.</w:t>
      </w:r>
    </w:p>
    <w:p w:rsidR="0064491C" w:rsidRDefault="0064491C" w:rsidP="00885B8D"/>
    <w:p w:rsidR="00885B8D" w:rsidRPr="00E11C86" w:rsidRDefault="00885B8D" w:rsidP="00503377">
      <w:pPr>
        <w:pStyle w:val="Heading1"/>
      </w:pPr>
      <w:bookmarkStart w:id="5" w:name="_Toc431366924"/>
      <w:r w:rsidRPr="00E11C86">
        <w:t>JURISDICTION</w:t>
      </w:r>
      <w:bookmarkEnd w:id="5"/>
    </w:p>
    <w:p w:rsidR="00F45D2D" w:rsidRDefault="00F45D2D" w:rsidP="00F45D2D"/>
    <w:p w:rsidR="00D61D65" w:rsidRDefault="00D61D65" w:rsidP="00D61D65">
      <w:r>
        <w:tab/>
        <w:t>T</w:t>
      </w:r>
      <w:r w:rsidRPr="00F45D2D">
        <w:t xml:space="preserve">CMUD 12 filed its </w:t>
      </w:r>
      <w:r w:rsidR="00E570B1">
        <w:t>petition</w:t>
      </w:r>
      <w:r w:rsidR="00470431">
        <w:rPr>
          <w:rStyle w:val="FootnoteReference"/>
        </w:rPr>
        <w:footnoteReference w:id="32"/>
      </w:r>
      <w:r w:rsidRPr="00F45D2D">
        <w:t xml:space="preserve"> </w:t>
      </w:r>
      <w:r>
        <w:t xml:space="preserve">with </w:t>
      </w:r>
      <w:r w:rsidRPr="00F45D2D">
        <w:t>TCEQ on March 6, 2014</w:t>
      </w:r>
      <w:r w:rsidR="00E570B1">
        <w:t>,</w:t>
      </w:r>
      <w:r w:rsidRPr="00F45D2D">
        <w:t xml:space="preserve"> and asserted </w:t>
      </w:r>
      <w:r w:rsidR="00470431">
        <w:t xml:space="preserve">TCEQ </w:t>
      </w:r>
      <w:r w:rsidR="00E11C86">
        <w:t xml:space="preserve">had </w:t>
      </w:r>
      <w:r w:rsidRPr="00F45D2D">
        <w:t>jurisdiction under Tex</w:t>
      </w:r>
      <w:r>
        <w:t xml:space="preserve">as </w:t>
      </w:r>
      <w:r w:rsidRPr="00F45D2D">
        <w:t>Water Code §§ 11.036,</w:t>
      </w:r>
      <w:r w:rsidR="002F7D4D">
        <w:t xml:space="preserve"> 11.041, 12.013 and 13.043(f), </w:t>
      </w:r>
      <w:r w:rsidRPr="00F45D2D">
        <w:t>and Tex</w:t>
      </w:r>
      <w:r w:rsidR="005652BD">
        <w:t>as</w:t>
      </w:r>
      <w:r w:rsidRPr="00F45D2D">
        <w:t xml:space="preserve"> Local Gov</w:t>
      </w:r>
      <w:r w:rsidR="005652BD">
        <w:t>ernment</w:t>
      </w:r>
      <w:r w:rsidRPr="00F45D2D">
        <w:t xml:space="preserve"> Code § 572.061(d).  </w:t>
      </w:r>
      <w:r w:rsidR="006763CC">
        <w:t>TCEQ referred the case to SOAH for hearing and issued notice of a preliminary hearing.</w:t>
      </w:r>
      <w:r w:rsidR="006763CC">
        <w:rPr>
          <w:rStyle w:val="FootnoteReference"/>
        </w:rPr>
        <w:footnoteReference w:id="33"/>
      </w:r>
      <w:r w:rsidR="006763CC">
        <w:t xml:space="preserve">  </w:t>
      </w:r>
      <w:r w:rsidRPr="00F45D2D">
        <w:t xml:space="preserve">At the June 11, 2014 preliminary hearing, </w:t>
      </w:r>
      <w:r>
        <w:t xml:space="preserve">the ALJ </w:t>
      </w:r>
      <w:r w:rsidR="006763CC">
        <w:t xml:space="preserve">concluded </w:t>
      </w:r>
      <w:r w:rsidR="005652BD">
        <w:t xml:space="preserve">that </w:t>
      </w:r>
      <w:r w:rsidR="006763CC">
        <w:t xml:space="preserve">TCEQ had </w:t>
      </w:r>
      <w:r w:rsidRPr="00F45D2D">
        <w:t xml:space="preserve">jurisdiction over the </w:t>
      </w:r>
      <w:r w:rsidR="00E570B1">
        <w:t>petition</w:t>
      </w:r>
      <w:r w:rsidRPr="00F45D2D">
        <w:t xml:space="preserve"> under Tex</w:t>
      </w:r>
      <w:r w:rsidR="006763CC">
        <w:t>as</w:t>
      </w:r>
      <w:r w:rsidR="0091730E">
        <w:t xml:space="preserve"> Water Code §13.043(f) and </w:t>
      </w:r>
      <w:r w:rsidRPr="00F45D2D">
        <w:t>did not rule on other claimed, but disputed, jurisdictional bas</w:t>
      </w:r>
      <w:r w:rsidR="0091730E">
        <w:t>e</w:t>
      </w:r>
      <w:r w:rsidRPr="00F45D2D">
        <w:t>s</w:t>
      </w:r>
      <w:r w:rsidR="005652BD">
        <w:t xml:space="preserve"> because there was no need to do so at that time.</w:t>
      </w:r>
      <w:r w:rsidRPr="00F45D2D">
        <w:rPr>
          <w:vertAlign w:val="superscript"/>
        </w:rPr>
        <w:footnoteReference w:id="34"/>
      </w:r>
    </w:p>
    <w:p w:rsidR="00D61D65" w:rsidRDefault="00D61D65" w:rsidP="00D61D65"/>
    <w:p w:rsidR="00D61D65" w:rsidRDefault="00D61D65" w:rsidP="00D61D65">
      <w:r>
        <w:tab/>
      </w:r>
      <w:r w:rsidRPr="00F45D2D">
        <w:t xml:space="preserve">On September 1, 2014, jurisdiction over </w:t>
      </w:r>
      <w:r>
        <w:t xml:space="preserve">certain functions </w:t>
      </w:r>
      <w:r w:rsidRPr="00F45D2D">
        <w:t xml:space="preserve">was transferred </w:t>
      </w:r>
      <w:r>
        <w:t>from the TCEQ to the PUC</w:t>
      </w:r>
      <w:r w:rsidRPr="00F45D2D">
        <w:t>.</w:t>
      </w:r>
      <w:r w:rsidRPr="00F45D2D">
        <w:rPr>
          <w:vertAlign w:val="superscript"/>
        </w:rPr>
        <w:footnoteReference w:id="35"/>
      </w:r>
      <w:r w:rsidRPr="00F45D2D">
        <w:t xml:space="preserve">  </w:t>
      </w:r>
      <w:r>
        <w:t xml:space="preserve">Included within that transfer was jurisdiction under </w:t>
      </w:r>
      <w:r w:rsidRPr="00A838CD">
        <w:t>Tex</w:t>
      </w:r>
      <w:r w:rsidR="00AC294F">
        <w:t>as</w:t>
      </w:r>
      <w:r w:rsidRPr="00A838CD">
        <w:t xml:space="preserve"> Water Code </w:t>
      </w:r>
      <w:r w:rsidR="00AC294F">
        <w:t>§</w:t>
      </w:r>
      <w:r w:rsidRPr="00A838CD">
        <w:t>§</w:t>
      </w:r>
      <w:r>
        <w:t xml:space="preserve"> </w:t>
      </w:r>
      <w:r w:rsidRPr="00F45D2D">
        <w:t xml:space="preserve">12.013 </w:t>
      </w:r>
      <w:r>
        <w:t xml:space="preserve">and </w:t>
      </w:r>
      <w:r w:rsidRPr="00A838CD">
        <w:t>13.043(f)</w:t>
      </w:r>
      <w:r>
        <w:t>.</w:t>
      </w:r>
      <w:r>
        <w:rPr>
          <w:rStyle w:val="FootnoteReference"/>
        </w:rPr>
        <w:footnoteReference w:id="36"/>
      </w:r>
      <w:r>
        <w:t xml:space="preserve">  Jurisdiction under §§ 11.036</w:t>
      </w:r>
      <w:r w:rsidR="00AC294F">
        <w:t xml:space="preserve"> and</w:t>
      </w:r>
      <w:r>
        <w:t xml:space="preserve"> 11.041 remains with TCEQ.  To simplify matters</w:t>
      </w:r>
      <w:r w:rsidR="00AC294F">
        <w:t xml:space="preserve"> in this case</w:t>
      </w:r>
      <w:r>
        <w:t xml:space="preserve">, </w:t>
      </w:r>
      <w:r w:rsidRPr="00F45D2D">
        <w:t xml:space="preserve">TCMUD 12 </w:t>
      </w:r>
      <w:r>
        <w:t xml:space="preserve">moved to </w:t>
      </w:r>
      <w:r w:rsidRPr="00F45D2D">
        <w:t xml:space="preserve">amend its </w:t>
      </w:r>
      <w:r w:rsidR="00E570B1">
        <w:t>petition</w:t>
      </w:r>
      <w:r w:rsidRPr="00F45D2D">
        <w:t xml:space="preserve"> to withdra</w:t>
      </w:r>
      <w:r w:rsidR="008C279E">
        <w:t xml:space="preserve">w its </w:t>
      </w:r>
      <w:r w:rsidRPr="00F45D2D">
        <w:t xml:space="preserve">claim of </w:t>
      </w:r>
      <w:r w:rsidRPr="00F45D2D">
        <w:lastRenderedPageBreak/>
        <w:t xml:space="preserve">jurisdiction under </w:t>
      </w:r>
      <w:r w:rsidR="0091730E">
        <w:t xml:space="preserve">§§ </w:t>
      </w:r>
      <w:r w:rsidRPr="00F45D2D">
        <w:t>11.036 and 11.041</w:t>
      </w:r>
      <w:r>
        <w:t xml:space="preserve">, </w:t>
      </w:r>
      <w:r w:rsidR="0091730E">
        <w:t>the TCEQ</w:t>
      </w:r>
      <w:r w:rsidR="008C279E">
        <w:t>’s</w:t>
      </w:r>
      <w:r w:rsidR="0091730E">
        <w:t xml:space="preserve"> ED </w:t>
      </w:r>
      <w:r w:rsidR="008C279E">
        <w:t xml:space="preserve">moved to </w:t>
      </w:r>
      <w:r w:rsidR="0091730E">
        <w:t>withdr</w:t>
      </w:r>
      <w:r w:rsidR="008C279E">
        <w:t>a</w:t>
      </w:r>
      <w:r w:rsidR="0091730E">
        <w:t xml:space="preserve">w as a party, </w:t>
      </w:r>
      <w:r>
        <w:t>and the ALJ granted th</w:t>
      </w:r>
      <w:r w:rsidR="0091730E">
        <w:t>e</w:t>
      </w:r>
      <w:r>
        <w:t xml:space="preserve"> motion</w:t>
      </w:r>
      <w:r w:rsidR="008C279E">
        <w:t>s</w:t>
      </w:r>
      <w:r w:rsidRPr="00F45D2D">
        <w:t>.</w:t>
      </w:r>
      <w:r>
        <w:rPr>
          <w:rStyle w:val="FootnoteReference"/>
        </w:rPr>
        <w:footnoteReference w:id="37"/>
      </w:r>
    </w:p>
    <w:p w:rsidR="00D61D65" w:rsidRDefault="00D61D65" w:rsidP="00D61D65"/>
    <w:p w:rsidR="00714482" w:rsidRDefault="00C71F01" w:rsidP="00714482">
      <w:r>
        <w:tab/>
      </w:r>
      <w:r w:rsidRPr="00F45D2D">
        <w:t xml:space="preserve">The </w:t>
      </w:r>
      <w:r>
        <w:t xml:space="preserve">PUC </w:t>
      </w:r>
      <w:r w:rsidR="0091730E">
        <w:t xml:space="preserve">now </w:t>
      </w:r>
      <w:r>
        <w:t xml:space="preserve">has </w:t>
      </w:r>
      <w:r w:rsidRPr="00F45D2D">
        <w:t>jurisdiction over th</w:t>
      </w:r>
      <w:r w:rsidR="00BB0156">
        <w:t>e</w:t>
      </w:r>
      <w:r w:rsidRPr="00F45D2D">
        <w:t xml:space="preserve"> </w:t>
      </w:r>
      <w:r w:rsidR="00E570B1">
        <w:t>petition</w:t>
      </w:r>
      <w:r w:rsidRPr="00F45D2D">
        <w:t xml:space="preserve"> under Tex. Water Code §</w:t>
      </w:r>
      <w:r>
        <w:t xml:space="preserve"> 13.043(f), which provides: </w:t>
      </w:r>
      <w:r w:rsidR="00B71573">
        <w:t>“</w:t>
      </w:r>
      <w:r w:rsidRPr="00EE3F34">
        <w:t xml:space="preserve">A retail public utility that receives water or sewer service from another </w:t>
      </w:r>
      <w:r w:rsidRPr="00685C81">
        <w:t>retail public utility or</w:t>
      </w:r>
      <w:r>
        <w:t xml:space="preserve"> </w:t>
      </w:r>
      <w:r w:rsidRPr="00EE3F34">
        <w:t>political subdivision of the state . . . may appeal to the utility commission a decision of the provider of water . . . service affecting the amount paid for water . . . service.</w:t>
      </w:r>
      <w:r w:rsidR="00B71573">
        <w:t>”</w:t>
      </w:r>
      <w:r w:rsidR="00714482">
        <w:t xml:space="preserve">  As set out above, TCMUDs 11, 12, and 13 are retail public utilities and WTCPUA is a political subdivision</w:t>
      </w:r>
      <w:r w:rsidR="00FF09FC">
        <w:t xml:space="preserve"> of the state.  W</w:t>
      </w:r>
      <w:r w:rsidR="00714482">
        <w:t xml:space="preserve">hile WTCPUA does not sell water to TCMUD 12, it does provide </w:t>
      </w:r>
      <w:r w:rsidR="00B71573">
        <w:t>“</w:t>
      </w:r>
      <w:r w:rsidR="00714482">
        <w:t>wholesale water service</w:t>
      </w:r>
      <w:r w:rsidR="00B71573">
        <w:t>”</w:t>
      </w:r>
      <w:r w:rsidR="00714482">
        <w:t xml:space="preserve"> to TCMUD 12, </w:t>
      </w:r>
      <w:r w:rsidR="0089516F">
        <w:t xml:space="preserve">because the </w:t>
      </w:r>
      <w:r w:rsidR="00714482">
        <w:t xml:space="preserve">definition of </w:t>
      </w:r>
      <w:r w:rsidR="00B71573">
        <w:t>“</w:t>
      </w:r>
      <w:r w:rsidR="00714482">
        <w:t>service</w:t>
      </w:r>
      <w:r w:rsidR="00B71573">
        <w:t>”</w:t>
      </w:r>
      <w:r w:rsidR="00714482">
        <w:t xml:space="preserve"> </w:t>
      </w:r>
      <w:r w:rsidR="0089516F">
        <w:t>is extremely broad.</w:t>
      </w:r>
      <w:r w:rsidR="00714482">
        <w:t xml:space="preserve"> </w:t>
      </w:r>
      <w:r w:rsidR="0089516F">
        <w:t xml:space="preserve"> </w:t>
      </w:r>
      <w:r w:rsidR="00714482">
        <w:t>Under Chapter 13 of the Texas Water Code:</w:t>
      </w:r>
    </w:p>
    <w:p w:rsidR="00714482" w:rsidRDefault="00714482" w:rsidP="00714482"/>
    <w:p w:rsidR="00714482" w:rsidRDefault="00B71573" w:rsidP="00714482">
      <w:pPr>
        <w:pStyle w:val="Quote"/>
        <w:spacing w:line="240" w:lineRule="auto"/>
      </w:pPr>
      <w:r>
        <w:t>“</w:t>
      </w:r>
      <w:r w:rsidR="00714482" w:rsidRPr="00D94225">
        <w:t xml:space="preserve">Wholesale water </w:t>
      </w:r>
      <w:r w:rsidR="00714482">
        <w:t xml:space="preserve">. . . </w:t>
      </w:r>
      <w:r w:rsidR="00714482" w:rsidRPr="00D94225">
        <w:t>service</w:t>
      </w:r>
      <w:r>
        <w:t>”</w:t>
      </w:r>
      <w:r w:rsidR="00714482" w:rsidRPr="00D94225">
        <w:t xml:space="preserve"> means potable water </w:t>
      </w:r>
      <w:r w:rsidR="00714482">
        <w:t xml:space="preserve">. . . </w:t>
      </w:r>
      <w:r w:rsidR="00714482" w:rsidRPr="00D94225">
        <w:t>service</w:t>
      </w:r>
      <w:r w:rsidR="008C279E">
        <w:t xml:space="preserve"> . . . </w:t>
      </w:r>
      <w:r w:rsidR="00714482" w:rsidRPr="00D94225">
        <w:t>provided to a person, political subdivision, or municipality who is not the ultimate consumer of the service.</w:t>
      </w:r>
      <w:r w:rsidR="00714482">
        <w:rPr>
          <w:rStyle w:val="FootnoteReference"/>
        </w:rPr>
        <w:footnoteReference w:id="38"/>
      </w:r>
    </w:p>
    <w:p w:rsidR="00714482" w:rsidRDefault="00714482" w:rsidP="00714482">
      <w:pPr>
        <w:pStyle w:val="Quote"/>
        <w:spacing w:line="240" w:lineRule="auto"/>
      </w:pPr>
    </w:p>
    <w:p w:rsidR="00714482" w:rsidRDefault="00B71573" w:rsidP="00714482">
      <w:pPr>
        <w:pStyle w:val="Quote"/>
        <w:spacing w:line="240" w:lineRule="auto"/>
      </w:pPr>
      <w:r>
        <w:t>“</w:t>
      </w:r>
      <w:r w:rsidR="00714482" w:rsidRPr="00BB0156">
        <w:t>Service</w:t>
      </w:r>
      <w:r>
        <w:t>”</w:t>
      </w:r>
      <w:r w:rsidR="00714482" w:rsidRPr="00BB0156">
        <w:t xml:space="preserve"> means any act performed, anything furnished or supplied, and any facilities or lines committed or used by a retail public utility in the performance of its duties under this chapter to its patrons, employees, other retail public utilities, and the public, as well as the interchange of facilities between two or more retail public utilities.</w:t>
      </w:r>
      <w:r w:rsidR="00714482">
        <w:rPr>
          <w:rStyle w:val="FootnoteReference"/>
        </w:rPr>
        <w:footnoteReference w:id="39"/>
      </w:r>
    </w:p>
    <w:p w:rsidR="00EE3F34" w:rsidRDefault="00EE3F34" w:rsidP="00F45D2D"/>
    <w:p w:rsidR="00EE3F34" w:rsidRDefault="001C0364" w:rsidP="00F45D2D">
      <w:r>
        <w:tab/>
      </w:r>
      <w:r w:rsidR="0089516F">
        <w:t xml:space="preserve">TCMUD 12 claims that the PUC also has jurisdiction under </w:t>
      </w:r>
      <w:r w:rsidR="0089516F" w:rsidRPr="0089516F">
        <w:t>Texas Local Government Code § 572.061(d)</w:t>
      </w:r>
      <w:r w:rsidR="0089516F">
        <w:t xml:space="preserve"> and Texas Water Code §</w:t>
      </w:r>
      <w:r w:rsidR="0089516F" w:rsidRPr="0089516F">
        <w:t xml:space="preserve"> 12.013</w:t>
      </w:r>
      <w:r w:rsidR="0089516F">
        <w:t xml:space="preserve">.  That is incorrect.  </w:t>
      </w:r>
      <w:r w:rsidR="008C279E">
        <w:t xml:space="preserve">Texas Local Government Code § </w:t>
      </w:r>
      <w:r w:rsidR="0089516F">
        <w:t>572.061(d) does not grant jurisdiction to the PUC.  Instead, it reserves rate</w:t>
      </w:r>
      <w:r w:rsidR="00B1575D">
        <w:t>-regulation</w:t>
      </w:r>
      <w:r w:rsidR="0089516F">
        <w:t xml:space="preserve"> jurisdiction </w:t>
      </w:r>
      <w:r w:rsidR="008C279E">
        <w:t xml:space="preserve">that </w:t>
      </w:r>
      <w:r w:rsidR="0089516F">
        <w:t xml:space="preserve">the state otherwise has.  </w:t>
      </w:r>
      <w:r>
        <w:t xml:space="preserve">Texas Water Code § 12.013 authorizes the PUC to </w:t>
      </w:r>
      <w:r w:rsidR="00B71573">
        <w:t>“</w:t>
      </w:r>
      <w:r>
        <w:t>f</w:t>
      </w:r>
      <w:r>
        <w:rPr>
          <w:color w:val="000000"/>
        </w:rPr>
        <w:t>ix reasonable rates for the furnishing of raw or treated water</w:t>
      </w:r>
      <w:r w:rsidR="0089516F">
        <w:rPr>
          <w:color w:val="000000"/>
        </w:rPr>
        <w:t>;</w:t>
      </w:r>
      <w:r w:rsidR="00B71573">
        <w:rPr>
          <w:color w:val="000000"/>
        </w:rPr>
        <w:t>”</w:t>
      </w:r>
      <w:r>
        <w:rPr>
          <w:color w:val="000000"/>
        </w:rPr>
        <w:t xml:space="preserve"> </w:t>
      </w:r>
      <w:r w:rsidR="0089516F">
        <w:rPr>
          <w:color w:val="000000"/>
        </w:rPr>
        <w:t>h</w:t>
      </w:r>
      <w:r>
        <w:t xml:space="preserve">owever, </w:t>
      </w:r>
      <w:r w:rsidR="0089516F">
        <w:t xml:space="preserve">WTCPUA does not furnish </w:t>
      </w:r>
      <w:r>
        <w:t>water</w:t>
      </w:r>
      <w:r w:rsidR="0089516F">
        <w:t xml:space="preserve"> to TCMUD.  Instead, it treats raw water furnished, </w:t>
      </w:r>
      <w:r w:rsidR="00B1575D">
        <w:t xml:space="preserve">or </w:t>
      </w:r>
      <w:r w:rsidR="0089516F">
        <w:t>sold, to TCMUD 12 by LCRA.</w:t>
      </w:r>
    </w:p>
    <w:p w:rsidR="00294747" w:rsidRDefault="00294747" w:rsidP="00F45D2D"/>
    <w:p w:rsidR="00687E68" w:rsidRDefault="00687E68" w:rsidP="00687E68">
      <w:pPr>
        <w:pStyle w:val="Heading1"/>
      </w:pPr>
      <w:bookmarkStart w:id="6" w:name="_Toc431366925"/>
      <w:r>
        <w:rPr>
          <w:caps w:val="0"/>
        </w:rPr>
        <w:lastRenderedPageBreak/>
        <w:t>BURDEN OF PROOF</w:t>
      </w:r>
      <w:bookmarkEnd w:id="6"/>
    </w:p>
    <w:p w:rsidR="00687E68" w:rsidRDefault="00687E68" w:rsidP="00F45D2D"/>
    <w:p w:rsidR="00687E68" w:rsidRDefault="00B1575D" w:rsidP="00F45D2D">
      <w:r>
        <w:tab/>
      </w:r>
      <w:r w:rsidR="00B13768">
        <w:t>The parties agree that, a</w:t>
      </w:r>
      <w:r>
        <w:t xml:space="preserve">s the petitioner, </w:t>
      </w:r>
      <w:r w:rsidR="00687E68">
        <w:t>TCMUD 12 has the burden of proving that the Protested Rates are adverse to the public interest.</w:t>
      </w:r>
      <w:r w:rsidR="00687E68">
        <w:rPr>
          <w:rStyle w:val="FootnoteReference"/>
        </w:rPr>
        <w:footnoteReference w:id="40"/>
      </w:r>
    </w:p>
    <w:p w:rsidR="00687E68" w:rsidRDefault="00687E68" w:rsidP="00F45D2D"/>
    <w:p w:rsidR="00885B8D" w:rsidRDefault="00885B8D" w:rsidP="00503377">
      <w:pPr>
        <w:pStyle w:val="Heading1"/>
      </w:pPr>
      <w:bookmarkStart w:id="7" w:name="_Toc431366926"/>
      <w:r>
        <w:t>THE PUBLIC INTEREST DETERMINATION</w:t>
      </w:r>
      <w:bookmarkEnd w:id="7"/>
    </w:p>
    <w:p w:rsidR="00885B8D" w:rsidRDefault="00885B8D" w:rsidP="00C1697A">
      <w:pPr>
        <w:pStyle w:val="Heading2"/>
      </w:pPr>
      <w:bookmarkStart w:id="8" w:name="_Toc431366927"/>
      <w:r>
        <w:t>Re</w:t>
      </w:r>
      <w:r w:rsidR="00771C14">
        <w:t xml:space="preserve">quirement for an Initial Public </w:t>
      </w:r>
      <w:r>
        <w:t>Interest Determination</w:t>
      </w:r>
      <w:bookmarkEnd w:id="8"/>
    </w:p>
    <w:p w:rsidR="002136A6" w:rsidRDefault="002136A6" w:rsidP="002136A6"/>
    <w:p w:rsidR="00B13768" w:rsidRDefault="002136A6" w:rsidP="00893357">
      <w:r>
        <w:tab/>
        <w:t xml:space="preserve">The PUC has adopted rules </w:t>
      </w:r>
      <w:r w:rsidR="008C279E">
        <w:t xml:space="preserve">to govern petitions and appeals </w:t>
      </w:r>
      <w:r>
        <w:t xml:space="preserve">concerning wholesale </w:t>
      </w:r>
      <w:r w:rsidR="008C279E">
        <w:t>water and sewer service.</w:t>
      </w:r>
      <w:r>
        <w:rPr>
          <w:rStyle w:val="FootnoteReference"/>
        </w:rPr>
        <w:footnoteReference w:id="41"/>
      </w:r>
      <w:r>
        <w:t xml:space="preserve">  </w:t>
      </w:r>
      <w:r w:rsidR="003F3484">
        <w:t>The</w:t>
      </w:r>
      <w:r w:rsidR="002924BE">
        <w:t xml:space="preserve"> rules</w:t>
      </w:r>
      <w:r w:rsidR="003F3484">
        <w:t xml:space="preserve"> </w:t>
      </w:r>
      <w:r w:rsidR="00B71573">
        <w:t>“</w:t>
      </w:r>
      <w:r w:rsidR="003F3484">
        <w:t xml:space="preserve">[s]et </w:t>
      </w:r>
      <w:r>
        <w:t>forth substantive guidelines and procedural requirements concerning</w:t>
      </w:r>
      <w:r w:rsidR="003F3484">
        <w:t xml:space="preserve"> . . . </w:t>
      </w:r>
      <w:r>
        <w:t xml:space="preserve">an appeal pursuant to </w:t>
      </w:r>
      <w:r w:rsidR="00B1575D">
        <w:t>[Texas Water Code]</w:t>
      </w:r>
      <w:r>
        <w:t xml:space="preserve"> §</w:t>
      </w:r>
      <w:r w:rsidR="00B13768">
        <w:t xml:space="preserve"> </w:t>
      </w:r>
      <w:r>
        <w:t>13.043(f)</w:t>
      </w:r>
      <w:r w:rsidR="003F3484">
        <w:t>.</w:t>
      </w:r>
      <w:r w:rsidR="00B71573">
        <w:t>”</w:t>
      </w:r>
      <w:r w:rsidR="003F3484">
        <w:rPr>
          <w:rStyle w:val="FootnoteReference"/>
        </w:rPr>
        <w:footnoteReference w:id="42"/>
      </w:r>
      <w:r w:rsidR="003F3484">
        <w:t xml:space="preserve">  </w:t>
      </w:r>
      <w:r w:rsidR="00B1575D">
        <w:t xml:space="preserve">The PUC forwards </w:t>
      </w:r>
      <w:r w:rsidR="003F3484">
        <w:t xml:space="preserve">an </w:t>
      </w:r>
      <w:r w:rsidR="003F3484" w:rsidRPr="003F3484">
        <w:t>appeal to review a rate charged pursuant to a written contract</w:t>
      </w:r>
      <w:r w:rsidR="00B1575D">
        <w:t xml:space="preserve"> </w:t>
      </w:r>
      <w:r w:rsidR="003F3484" w:rsidRPr="003F3484">
        <w:t xml:space="preserve">to </w:t>
      </w:r>
      <w:r w:rsidR="003F3484">
        <w:t xml:space="preserve">SOAH to </w:t>
      </w:r>
      <w:r w:rsidR="003F3484" w:rsidRPr="003F3484">
        <w:t>conduct an evidenti</w:t>
      </w:r>
      <w:r w:rsidR="003F3484">
        <w:t xml:space="preserve">ary hearing </w:t>
      </w:r>
      <w:r w:rsidR="00B1575D">
        <w:t xml:space="preserve">to </w:t>
      </w:r>
      <w:r w:rsidR="003F3484">
        <w:t>determine whether the protested rate adversely affects the public interest.</w:t>
      </w:r>
      <w:r w:rsidR="003F3484">
        <w:rPr>
          <w:rStyle w:val="FootnoteReference"/>
        </w:rPr>
        <w:footnoteReference w:id="43"/>
      </w:r>
      <w:r w:rsidR="00294747">
        <w:t xml:space="preserve">  </w:t>
      </w:r>
      <w:r w:rsidR="00B1575D">
        <w:t>After the hearing, t</w:t>
      </w:r>
      <w:r w:rsidR="008C279E">
        <w:t xml:space="preserve">he ALJ </w:t>
      </w:r>
      <w:r w:rsidR="003F3484">
        <w:t xml:space="preserve">prepares a </w:t>
      </w:r>
      <w:r w:rsidR="00771C14">
        <w:t xml:space="preserve">Proposal for Decision (PFD) </w:t>
      </w:r>
      <w:r w:rsidR="003F3484">
        <w:t>and order with proposed findings of fact and conclusions of law concerning whether the protested rate adversely affects the public interest, and submits that recommendation to the PUC.</w:t>
      </w:r>
      <w:r w:rsidR="002924BE">
        <w:rPr>
          <w:rStyle w:val="FootnoteReference"/>
        </w:rPr>
        <w:footnoteReference w:id="44"/>
      </w:r>
    </w:p>
    <w:p w:rsidR="00B13768" w:rsidRDefault="00B13768" w:rsidP="00893357"/>
    <w:p w:rsidR="002136A6" w:rsidRDefault="00B13768" w:rsidP="002924BE">
      <w:r>
        <w:tab/>
      </w:r>
      <w:r w:rsidR="002924BE">
        <w:t xml:space="preserve">If the </w:t>
      </w:r>
      <w:r w:rsidR="00771C14">
        <w:t xml:space="preserve">Commission </w:t>
      </w:r>
      <w:r w:rsidR="002924BE">
        <w:t xml:space="preserve">determines the protested rate does not adversely affect the public interest, the </w:t>
      </w:r>
      <w:r w:rsidR="00771C14">
        <w:t>Commission</w:t>
      </w:r>
      <w:r w:rsidR="002924BE">
        <w:t xml:space="preserve"> will deny the petition or appeal by final order.</w:t>
      </w:r>
      <w:r w:rsidR="002924BE">
        <w:rPr>
          <w:rStyle w:val="FootnoteReference"/>
        </w:rPr>
        <w:footnoteReference w:id="45"/>
      </w:r>
      <w:r>
        <w:t xml:space="preserve">  </w:t>
      </w:r>
      <w:r w:rsidR="00A869BC">
        <w:t>On the other hand</w:t>
      </w:r>
      <w:r w:rsidR="002924BE">
        <w:t xml:space="preserve">, if the </w:t>
      </w:r>
      <w:r w:rsidR="00771C14">
        <w:t>Commission</w:t>
      </w:r>
      <w:r w:rsidR="002924BE">
        <w:t xml:space="preserve"> determines the protested rate </w:t>
      </w:r>
      <w:r w:rsidR="00A869BC">
        <w:t xml:space="preserve">does </w:t>
      </w:r>
      <w:r w:rsidR="002924BE">
        <w:t xml:space="preserve">adversely affect the public interest, the </w:t>
      </w:r>
      <w:r w:rsidR="00771C14">
        <w:t>Commission</w:t>
      </w:r>
      <w:r w:rsidR="002924BE">
        <w:t xml:space="preserve"> will remand the matter to SOAH for </w:t>
      </w:r>
      <w:r w:rsidR="00B1575D">
        <w:t xml:space="preserve">a second </w:t>
      </w:r>
      <w:r w:rsidR="002924BE">
        <w:t>evidentiary proceeding on the rate.</w:t>
      </w:r>
      <w:r w:rsidR="002924BE">
        <w:rPr>
          <w:rStyle w:val="FootnoteReference"/>
        </w:rPr>
        <w:footnoteReference w:id="46"/>
      </w:r>
      <w:r w:rsidR="002924BE">
        <w:t xml:space="preserve">  No later than 90 days after the remand, the seller </w:t>
      </w:r>
      <w:r w:rsidR="00A869BC">
        <w:t xml:space="preserve">must </w:t>
      </w:r>
      <w:r w:rsidR="002924BE">
        <w:t xml:space="preserve">file a cost of service study and other </w:t>
      </w:r>
      <w:r w:rsidR="002924BE">
        <w:lastRenderedPageBreak/>
        <w:t xml:space="preserve">information </w:t>
      </w:r>
      <w:r w:rsidR="00A869BC">
        <w:t>that supports the protested rate.</w:t>
      </w:r>
      <w:r w:rsidR="00A869BC">
        <w:rPr>
          <w:rStyle w:val="FootnoteReference"/>
        </w:rPr>
        <w:footnoteReference w:id="47"/>
      </w:r>
      <w:r w:rsidR="00352997">
        <w:t xml:space="preserve">  </w:t>
      </w:r>
      <w:r w:rsidR="00771C14">
        <w:t xml:space="preserve">After </w:t>
      </w:r>
      <w:r w:rsidR="00B1575D">
        <w:t xml:space="preserve">the second </w:t>
      </w:r>
      <w:r w:rsidR="00771C14">
        <w:t>hearing, t</w:t>
      </w:r>
      <w:r w:rsidR="00352997" w:rsidRPr="00352997">
        <w:t xml:space="preserve">he </w:t>
      </w:r>
      <w:r w:rsidR="00352997">
        <w:t xml:space="preserve">ALJ </w:t>
      </w:r>
      <w:r w:rsidR="00352997" w:rsidRPr="00352997">
        <w:t>prepare</w:t>
      </w:r>
      <w:r w:rsidR="00352997">
        <w:t>s</w:t>
      </w:r>
      <w:r w:rsidR="00352997" w:rsidRPr="00352997">
        <w:t xml:space="preserve"> </w:t>
      </w:r>
      <w:r w:rsidR="00B1575D">
        <w:t xml:space="preserve">and submits to the Commission </w:t>
      </w:r>
      <w:r w:rsidR="00352997" w:rsidRPr="00352997">
        <w:t xml:space="preserve">a </w:t>
      </w:r>
      <w:r w:rsidR="00B1575D">
        <w:t xml:space="preserve">second </w:t>
      </w:r>
      <w:r w:rsidR="00352997">
        <w:t xml:space="preserve">PFD </w:t>
      </w:r>
      <w:r w:rsidR="00352997" w:rsidRPr="00352997">
        <w:t>and order with proposed findings of fact and conclusions of law recommending a rate</w:t>
      </w:r>
      <w:r w:rsidR="00352997">
        <w:t xml:space="preserve">, </w:t>
      </w:r>
      <w:r w:rsidR="00B1575D">
        <w:t xml:space="preserve">and the Commission </w:t>
      </w:r>
      <w:r w:rsidR="00352997" w:rsidRPr="00352997">
        <w:t>set</w:t>
      </w:r>
      <w:r w:rsidR="00B1575D">
        <w:t>s</w:t>
      </w:r>
      <w:r w:rsidR="00352997" w:rsidRPr="00352997">
        <w:t xml:space="preserve"> a rate consistent with the ratemaking mandates of </w:t>
      </w:r>
      <w:r w:rsidR="00352997">
        <w:t>chapter 13 of the Texas Water Code.</w:t>
      </w:r>
      <w:r w:rsidR="00352997">
        <w:rPr>
          <w:rStyle w:val="FootnoteReference"/>
        </w:rPr>
        <w:footnoteReference w:id="48"/>
      </w:r>
    </w:p>
    <w:p w:rsidR="00352997" w:rsidRPr="002136A6" w:rsidRDefault="00352997" w:rsidP="002924BE"/>
    <w:p w:rsidR="00885B8D" w:rsidRDefault="000F388E" w:rsidP="00723847">
      <w:pPr>
        <w:pStyle w:val="Heading2"/>
        <w:keepNext w:val="0"/>
      </w:pPr>
      <w:bookmarkStart w:id="9" w:name="_Toc431366928"/>
      <w:r>
        <w:t>Determining Whether Public Interest Is Adversely Affected</w:t>
      </w:r>
      <w:bookmarkEnd w:id="9"/>
    </w:p>
    <w:p w:rsidR="00893357" w:rsidRDefault="00893357" w:rsidP="00893357"/>
    <w:p w:rsidR="00893357" w:rsidRDefault="00893357" w:rsidP="00893357">
      <w:r>
        <w:tab/>
        <w:t xml:space="preserve">The Commission has adopted a rule </w:t>
      </w:r>
      <w:r w:rsidR="00731751">
        <w:t>(Public Interest Rule)</w:t>
      </w:r>
      <w:r w:rsidR="00731751">
        <w:rPr>
          <w:rStyle w:val="FootnoteReference"/>
        </w:rPr>
        <w:footnoteReference w:id="49"/>
      </w:r>
      <w:r w:rsidR="00731751">
        <w:t xml:space="preserve"> </w:t>
      </w:r>
      <w:r>
        <w:t xml:space="preserve">specifying how it will determine if </w:t>
      </w:r>
      <w:r w:rsidR="00771C14">
        <w:t xml:space="preserve">a </w:t>
      </w:r>
      <w:r>
        <w:t xml:space="preserve">protested rate adversely affects the public interest.  </w:t>
      </w:r>
      <w:r w:rsidR="00731751">
        <w:t xml:space="preserve">The rule </w:t>
      </w:r>
      <w:r w:rsidR="00AC52EA">
        <w:t>reads</w:t>
      </w:r>
      <w:r>
        <w:t>:</w:t>
      </w:r>
    </w:p>
    <w:p w:rsidR="00893357" w:rsidRDefault="00893357" w:rsidP="00893357"/>
    <w:p w:rsidR="00893357" w:rsidRDefault="00893357" w:rsidP="00C47495">
      <w:pPr>
        <w:pStyle w:val="Quote"/>
        <w:spacing w:line="240" w:lineRule="auto"/>
      </w:pPr>
      <w:r>
        <w:t xml:space="preserve">(a) The commission shall determine the protested rate adversely affects the public interest if after the evidentiary hearing on public interest the commission concludes at least one of the following public interest criteria have been violated: </w:t>
      </w:r>
    </w:p>
    <w:p w:rsidR="00893357" w:rsidRDefault="005C13A1" w:rsidP="00C47495">
      <w:pPr>
        <w:pStyle w:val="Quote"/>
        <w:spacing w:line="240" w:lineRule="auto"/>
      </w:pPr>
      <w:r>
        <w:tab/>
      </w:r>
      <w:r w:rsidR="00893357">
        <w:t>(1) the protested rate impairs the seller</w:t>
      </w:r>
      <w:r w:rsidR="00B71573">
        <w:t>’</w:t>
      </w:r>
      <w:r w:rsidR="00893357">
        <w:t>s ability to continue to provide service, based on the seller</w:t>
      </w:r>
      <w:r w:rsidR="00B71573">
        <w:t>’</w:t>
      </w:r>
      <w:r w:rsidR="00893357">
        <w:t xml:space="preserve">s financial integrity and operational capability; </w:t>
      </w:r>
    </w:p>
    <w:p w:rsidR="00893357" w:rsidRDefault="005C13A1" w:rsidP="00C47495">
      <w:pPr>
        <w:pStyle w:val="Quote"/>
        <w:spacing w:line="240" w:lineRule="auto"/>
      </w:pPr>
      <w:r>
        <w:tab/>
      </w:r>
      <w:r w:rsidR="00893357">
        <w:t>(2) the protested rate impairs the purchaser</w:t>
      </w:r>
      <w:r w:rsidR="00B71573">
        <w:t>’</w:t>
      </w:r>
      <w:r w:rsidR="00893357">
        <w:t>s ability to continue to provide service to its retail customers, based on the purchaser</w:t>
      </w:r>
      <w:r w:rsidR="00B71573">
        <w:t>’</w:t>
      </w:r>
      <w:r w:rsidR="00893357">
        <w:t xml:space="preserve">s financial integrity and operational capability; </w:t>
      </w:r>
    </w:p>
    <w:p w:rsidR="00893357" w:rsidRDefault="005C13A1" w:rsidP="00C47495">
      <w:pPr>
        <w:pStyle w:val="Quote"/>
        <w:spacing w:line="240" w:lineRule="auto"/>
      </w:pPr>
      <w:r>
        <w:tab/>
      </w:r>
      <w:r w:rsidR="00893357">
        <w:t>(3) the protested rate evidences the seller</w:t>
      </w:r>
      <w:r w:rsidR="00B71573">
        <w:t>’</w:t>
      </w:r>
      <w:r w:rsidR="00893357">
        <w:t xml:space="preserve">s abuse of monopoly power in its provision of water or sewer service to the purchaser.  In making this inquiry, the commission shall weigh all relevant factors. The factors may include: </w:t>
      </w:r>
    </w:p>
    <w:p w:rsidR="00893357" w:rsidRDefault="005C13A1" w:rsidP="00C47495">
      <w:pPr>
        <w:pStyle w:val="Quote"/>
        <w:spacing w:line="240" w:lineRule="auto"/>
      </w:pPr>
      <w:r>
        <w:tab/>
      </w:r>
      <w:r>
        <w:tab/>
      </w:r>
      <w:r w:rsidR="00893357">
        <w:t>(A) the disparate bargaining power of the parties, including the purchaser</w:t>
      </w:r>
      <w:r w:rsidR="00B71573">
        <w:t>’</w:t>
      </w:r>
      <w:r w:rsidR="00893357">
        <w:t>s alternative means, alternative costs, environmental impact, regulatory issues, and problems of obtaining alternative water or sewer service;</w:t>
      </w:r>
    </w:p>
    <w:p w:rsidR="00893357" w:rsidRDefault="005C13A1" w:rsidP="00C47495">
      <w:pPr>
        <w:pStyle w:val="Quote"/>
        <w:spacing w:line="240" w:lineRule="auto"/>
      </w:pPr>
      <w:r>
        <w:tab/>
      </w:r>
      <w:r>
        <w:tab/>
      </w:r>
      <w:r w:rsidR="00893357">
        <w:t>(B) the seller</w:t>
      </w:r>
      <w:r w:rsidR="00B71573">
        <w:t>’</w:t>
      </w:r>
      <w:r w:rsidR="00893357">
        <w:t xml:space="preserve">s failure to reasonably demonstrate the changed conditions that are the basis for a change in rates; </w:t>
      </w:r>
    </w:p>
    <w:p w:rsidR="00893357" w:rsidRDefault="005C13A1" w:rsidP="00C47495">
      <w:pPr>
        <w:pStyle w:val="Quote"/>
        <w:spacing w:line="240" w:lineRule="auto"/>
      </w:pPr>
      <w:r>
        <w:tab/>
      </w:r>
      <w:r>
        <w:tab/>
      </w:r>
      <w:r w:rsidR="00893357">
        <w:t>(C) the seller changed the computation of the revenue requirement or rate from one methodology to another;</w:t>
      </w:r>
    </w:p>
    <w:p w:rsidR="00893357" w:rsidRDefault="005C13A1" w:rsidP="00C47495">
      <w:pPr>
        <w:pStyle w:val="Quote"/>
        <w:spacing w:line="240" w:lineRule="auto"/>
      </w:pPr>
      <w:r>
        <w:tab/>
      </w:r>
      <w:r>
        <w:tab/>
      </w:r>
      <w:r w:rsidR="00893357">
        <w:t>(D) where the seller demands the protested rate pursuant to a contract, other valuable consideration received by a party incident to the contract;</w:t>
      </w:r>
    </w:p>
    <w:p w:rsidR="00893357" w:rsidRDefault="005C13A1" w:rsidP="00C47495">
      <w:pPr>
        <w:pStyle w:val="Quote"/>
        <w:spacing w:line="240" w:lineRule="auto"/>
      </w:pPr>
      <w:r>
        <w:tab/>
      </w:r>
      <w:r>
        <w:tab/>
      </w:r>
      <w:r w:rsidR="00893357">
        <w:t xml:space="preserve">(E) incentives necessary to encourage regional projects or water conservation measures; </w:t>
      </w:r>
    </w:p>
    <w:p w:rsidR="00893357" w:rsidRDefault="005C13A1" w:rsidP="00C47495">
      <w:pPr>
        <w:pStyle w:val="Quote"/>
        <w:spacing w:line="240" w:lineRule="auto"/>
      </w:pPr>
      <w:r>
        <w:tab/>
      </w:r>
      <w:r>
        <w:tab/>
      </w:r>
      <w:r w:rsidR="00893357">
        <w:t>(F) the seller</w:t>
      </w:r>
      <w:r w:rsidR="00B71573">
        <w:t>’</w:t>
      </w:r>
      <w:r w:rsidR="00893357">
        <w:t>s obligation to meet federal and state wastewater discharge and drinking water standards;</w:t>
      </w:r>
    </w:p>
    <w:p w:rsidR="00893357" w:rsidRDefault="005C13A1" w:rsidP="00C47495">
      <w:pPr>
        <w:pStyle w:val="Quote"/>
        <w:spacing w:line="240" w:lineRule="auto"/>
      </w:pPr>
      <w:r>
        <w:lastRenderedPageBreak/>
        <w:tab/>
      </w:r>
      <w:r>
        <w:tab/>
      </w:r>
      <w:r w:rsidR="00893357">
        <w:t>(G) the rates charged in Texas by other sellers of water or sewer service for resale;</w:t>
      </w:r>
    </w:p>
    <w:p w:rsidR="00893357" w:rsidRDefault="005C13A1" w:rsidP="00C47495">
      <w:pPr>
        <w:pStyle w:val="Quote"/>
        <w:spacing w:line="240" w:lineRule="auto"/>
      </w:pPr>
      <w:r>
        <w:tab/>
      </w:r>
      <w:r>
        <w:tab/>
      </w:r>
      <w:r w:rsidR="00893357">
        <w:t>(H) the seller</w:t>
      </w:r>
      <w:r w:rsidR="00B71573">
        <w:t>’</w:t>
      </w:r>
      <w:r w:rsidR="00893357">
        <w:t>s rates for water or sewer service charged to its retail customers, compared to the retail rates the purchaser charges its retail customers as a result of the wholesale rate the seller demands from the purchaser;</w:t>
      </w:r>
    </w:p>
    <w:p w:rsidR="00893357" w:rsidRDefault="005C13A1" w:rsidP="00C47495">
      <w:pPr>
        <w:pStyle w:val="Quote"/>
        <w:spacing w:line="240" w:lineRule="auto"/>
      </w:pPr>
      <w:r>
        <w:tab/>
      </w:r>
      <w:r w:rsidR="00893357">
        <w:t xml:space="preserve">(4) the protested rate is unreasonably preferential, prejudicial, or discriminatory, compared to the wholesale rates the seller charges other wholesale customers. </w:t>
      </w:r>
    </w:p>
    <w:p w:rsidR="00893357" w:rsidRDefault="00893357" w:rsidP="00C47495">
      <w:pPr>
        <w:pStyle w:val="Quote"/>
        <w:spacing w:line="240" w:lineRule="auto"/>
      </w:pPr>
      <w:r>
        <w:t>(b) The commission shall not determine whether the protested rate adversely affects the public interest based o</w:t>
      </w:r>
      <w:r w:rsidR="00674968">
        <w:t>n an analysis of the seller</w:t>
      </w:r>
      <w:r w:rsidR="00B71573">
        <w:t>’</w:t>
      </w:r>
      <w:r>
        <w:t xml:space="preserve">s cost of service.  </w:t>
      </w:r>
    </w:p>
    <w:p w:rsidR="00893357" w:rsidRDefault="00893357" w:rsidP="00893357"/>
    <w:p w:rsidR="00A5479B" w:rsidRDefault="00A5479B" w:rsidP="00A5479B">
      <w:r>
        <w:tab/>
      </w:r>
      <w:r w:rsidR="00564BC8">
        <w:t xml:space="preserve">Of these many factors, </w:t>
      </w:r>
      <w:r w:rsidR="005C13A1">
        <w:t xml:space="preserve">TCMUD 12 alleges only </w:t>
      </w:r>
      <w:r w:rsidR="00564BC8">
        <w:t>that WTCPUA has disparately greater bargaining power than TCMUD 12 and changed its methodologies for computing its revenue requirement and rates, thereby abusing its monopoly power.  T</w:t>
      </w:r>
      <w:r>
        <w:t>CMUD 12 concede</w:t>
      </w:r>
      <w:r w:rsidR="002D49AC">
        <w:t>s</w:t>
      </w:r>
      <w:r>
        <w:t xml:space="preserve"> that it ha</w:t>
      </w:r>
      <w:r w:rsidR="002D49AC">
        <w:t>s</w:t>
      </w:r>
      <w:r>
        <w:t xml:space="preserve"> not pleaded or presented evidence concerning the </w:t>
      </w:r>
      <w:r w:rsidR="00564BC8">
        <w:t>other public</w:t>
      </w:r>
      <w:r w:rsidR="00C6101F">
        <w:t xml:space="preserve"> </w:t>
      </w:r>
      <w:r w:rsidR="00564BC8">
        <w:t>interest</w:t>
      </w:r>
      <w:r w:rsidR="00C801F6">
        <w:t xml:space="preserve"> factors</w:t>
      </w:r>
      <w:r w:rsidR="00F7212A">
        <w:t>.</w:t>
      </w:r>
      <w:r>
        <w:t xml:space="preserve">  </w:t>
      </w:r>
      <w:r w:rsidR="00771C14">
        <w:t>T</w:t>
      </w:r>
      <w:r>
        <w:t>he ALJ granted WTCPUA</w:t>
      </w:r>
      <w:r w:rsidR="00B71573">
        <w:t>’</w:t>
      </w:r>
      <w:r>
        <w:t>s motion for partial summary judgement</w:t>
      </w:r>
      <w:r w:rsidR="00C06647">
        <w:t xml:space="preserve">, concluding </w:t>
      </w:r>
      <w:r>
        <w:t xml:space="preserve"> that the Protested Rates do not adversely affect the public interest when judged by </w:t>
      </w:r>
      <w:r w:rsidR="00564BC8">
        <w:t>the</w:t>
      </w:r>
      <w:r w:rsidR="00771C14">
        <w:t xml:space="preserve"> unpleaded criteria</w:t>
      </w:r>
      <w:r w:rsidR="00C06647">
        <w:t xml:space="preserve"> </w:t>
      </w:r>
      <w:r w:rsidR="00564BC8">
        <w:t xml:space="preserve">set out in subsections </w:t>
      </w:r>
      <w:r w:rsidR="00564BC8" w:rsidRPr="008157B8">
        <w:t>(a)(1)</w:t>
      </w:r>
      <w:r w:rsidR="00564BC8">
        <w:t>,</w:t>
      </w:r>
      <w:r w:rsidR="00564BC8" w:rsidRPr="008157B8">
        <w:t xml:space="preserve"> (2)</w:t>
      </w:r>
      <w:r w:rsidR="00564BC8">
        <w:t>,</w:t>
      </w:r>
      <w:r w:rsidR="00564BC8" w:rsidRPr="008157B8">
        <w:t xml:space="preserve"> (3)(B)</w:t>
      </w:r>
      <w:r w:rsidR="00564BC8">
        <w:t xml:space="preserve"> and (D)–</w:t>
      </w:r>
      <w:r w:rsidR="00564BC8" w:rsidRPr="008157B8">
        <w:t xml:space="preserve">(H), and (4) </w:t>
      </w:r>
      <w:r w:rsidR="00564BC8">
        <w:t>of the Public Interest Rule</w:t>
      </w:r>
      <w:r>
        <w:t>.</w:t>
      </w:r>
      <w:r w:rsidR="00F7212A">
        <w:rPr>
          <w:rStyle w:val="FootnoteReference"/>
        </w:rPr>
        <w:footnoteReference w:id="50"/>
      </w:r>
    </w:p>
    <w:p w:rsidR="00A5479B" w:rsidRDefault="00A5479B" w:rsidP="00893357"/>
    <w:p w:rsidR="00885B8D" w:rsidRDefault="005E000B" w:rsidP="00AA0A13">
      <w:pPr>
        <w:pStyle w:val="Heading1"/>
      </w:pPr>
      <w:bookmarkStart w:id="10" w:name="_Toc431366929"/>
      <w:r>
        <w:rPr>
          <w:caps w:val="0"/>
        </w:rPr>
        <w:t>ALLEGED ABUSE OF MONOPOLY POWER</w:t>
      </w:r>
      <w:bookmarkEnd w:id="10"/>
    </w:p>
    <w:p w:rsidR="006B68FD" w:rsidRDefault="006B68FD" w:rsidP="006B68FD"/>
    <w:p w:rsidR="00A5479B" w:rsidRDefault="002F5875" w:rsidP="002F5875">
      <w:r>
        <w:tab/>
        <w:t xml:space="preserve">In this case, TCMUD 12 claims that WTCPUA has monopoly power </w:t>
      </w:r>
      <w:r w:rsidR="00C801F6">
        <w:t xml:space="preserve">and abused it </w:t>
      </w:r>
      <w:r>
        <w:t>because</w:t>
      </w:r>
      <w:r w:rsidR="002D49AC">
        <w:t>:</w:t>
      </w:r>
      <w:r>
        <w:t xml:space="preserve"> (1) WTCPU</w:t>
      </w:r>
      <w:r w:rsidR="00C47495">
        <w:t>A</w:t>
      </w:r>
      <w:r>
        <w:t xml:space="preserve"> has </w:t>
      </w:r>
      <w:r w:rsidR="002D49AC">
        <w:t xml:space="preserve">disparately </w:t>
      </w:r>
      <w:r>
        <w:t>greater bargaining power than TCMUD 12</w:t>
      </w:r>
      <w:r w:rsidR="002D49AC">
        <w:t>,</w:t>
      </w:r>
      <w:r>
        <w:t xml:space="preserve"> and (2)</w:t>
      </w:r>
      <w:r w:rsidR="00C47495">
        <w:t> </w:t>
      </w:r>
      <w:r>
        <w:t xml:space="preserve">WTCPUA changed </w:t>
      </w:r>
      <w:r w:rsidR="002D49AC">
        <w:t xml:space="preserve">its </w:t>
      </w:r>
      <w:r>
        <w:t>methodolog</w:t>
      </w:r>
      <w:r w:rsidR="002D49AC">
        <w:t xml:space="preserve">ies, to the long-term disadvantage of TCMUD 12, when it </w:t>
      </w:r>
      <w:r>
        <w:t>compute</w:t>
      </w:r>
      <w:r w:rsidR="002D49AC">
        <w:t>d</w:t>
      </w:r>
      <w:r>
        <w:t xml:space="preserve"> the Protested Rate</w:t>
      </w:r>
      <w:r w:rsidR="002D49AC">
        <w:t>s and the revenue requirement underlying them</w:t>
      </w:r>
      <w:r>
        <w:t xml:space="preserve">.  </w:t>
      </w:r>
      <w:r w:rsidR="002D49AC">
        <w:t>Based on those alleged abuses of monopoly power</w:t>
      </w:r>
      <w:r>
        <w:t>, TCMUD 12 contends that the Protested Rate</w:t>
      </w:r>
      <w:r w:rsidR="002D49AC">
        <w:t>s</w:t>
      </w:r>
      <w:r>
        <w:t xml:space="preserve"> adversel</w:t>
      </w:r>
      <w:r w:rsidR="00A5479B">
        <w:t>y affect the public interest.</w:t>
      </w:r>
    </w:p>
    <w:p w:rsidR="00A5479B" w:rsidRDefault="00A5479B" w:rsidP="002F5875"/>
    <w:p w:rsidR="002F5875" w:rsidRDefault="002F5875" w:rsidP="002F5875">
      <w:r>
        <w:tab/>
        <w:t xml:space="preserve">The other parties </w:t>
      </w:r>
      <w:r w:rsidR="00C06647">
        <w:t>believe that TCMUD 12 has not proven that the Protested Rates adversely affect the public interest</w:t>
      </w:r>
      <w:r>
        <w:t xml:space="preserve">.  They insist that TCMUD 12 </w:t>
      </w:r>
      <w:r w:rsidR="002D49AC">
        <w:t xml:space="preserve">has failed to prove that </w:t>
      </w:r>
      <w:r w:rsidR="00C801F6">
        <w:t>WTCPUA changed its revenue-requirement or rate computation methodologies</w:t>
      </w:r>
      <w:r w:rsidR="00C47495">
        <w:t xml:space="preserve">.  They also argue that TCMUD 12 failed to prove that </w:t>
      </w:r>
      <w:r w:rsidR="002D49AC">
        <w:t xml:space="preserve">WTCPUA, or LCRA before it, </w:t>
      </w:r>
      <w:r>
        <w:t xml:space="preserve">has </w:t>
      </w:r>
      <w:r w:rsidR="002D49AC">
        <w:t xml:space="preserve">or had </w:t>
      </w:r>
      <w:r w:rsidR="004360F8">
        <w:t xml:space="preserve">disparately </w:t>
      </w:r>
      <w:r>
        <w:lastRenderedPageBreak/>
        <w:t>greater bargaining power than TCMUD 12</w:t>
      </w:r>
      <w:r w:rsidR="002D49AC">
        <w:t xml:space="preserve"> </w:t>
      </w:r>
      <w:r w:rsidR="00C801F6">
        <w:t xml:space="preserve">or </w:t>
      </w:r>
      <w:r w:rsidR="00C47495">
        <w:t xml:space="preserve">that WTCPUA or LCRA has or had </w:t>
      </w:r>
      <w:r w:rsidR="00C801F6">
        <w:t xml:space="preserve">monopoly power </w:t>
      </w:r>
      <w:r w:rsidR="002D49AC">
        <w:t xml:space="preserve">or </w:t>
      </w:r>
      <w:r>
        <w:t>abused monopoly power</w:t>
      </w:r>
      <w:r w:rsidR="00C801F6">
        <w:t xml:space="preserve"> if it existed.</w:t>
      </w:r>
      <w:r>
        <w:t xml:space="preserve">  Moreover, they contend that TCMUD 12</w:t>
      </w:r>
      <w:r w:rsidR="00C06647">
        <w:t xml:space="preserve"> seeks to improperly rely on a cost-of-service analysis to prove its case</w:t>
      </w:r>
      <w:r>
        <w:t>, c</w:t>
      </w:r>
      <w:r w:rsidR="004360F8">
        <w:t xml:space="preserve">ontrary to </w:t>
      </w:r>
      <w:r w:rsidR="00DE3C79">
        <w:t>the</w:t>
      </w:r>
      <w:r w:rsidR="00C06647">
        <w:t xml:space="preserve"> prohibition in </w:t>
      </w:r>
      <w:r w:rsidR="004360F8">
        <w:t>the Public Interest Rule</w:t>
      </w:r>
      <w:r>
        <w:t>.</w:t>
      </w:r>
    </w:p>
    <w:p w:rsidR="00B14DDD" w:rsidRDefault="00B14DDD" w:rsidP="002F5875"/>
    <w:p w:rsidR="002F5875" w:rsidRDefault="00B14DDD" w:rsidP="002F5875">
      <w:r>
        <w:tab/>
        <w:t>The ALJ agrees with the parties other than TCMUD 12.  He concludes that TCMUD</w:t>
      </w:r>
      <w:r w:rsidR="007B5034">
        <w:t> </w:t>
      </w:r>
      <w:r>
        <w:t xml:space="preserve">12 failed to prove that </w:t>
      </w:r>
      <w:r w:rsidRPr="00B14DDD">
        <w:t xml:space="preserve">WTCPUA </w:t>
      </w:r>
      <w:r w:rsidR="00C801F6">
        <w:t xml:space="preserve">has or </w:t>
      </w:r>
      <w:r w:rsidRPr="00B14DDD">
        <w:t>abused mono</w:t>
      </w:r>
      <w:r w:rsidR="00162360">
        <w:t>poly power</w:t>
      </w:r>
      <w:r w:rsidR="000D0C4D">
        <w:t xml:space="preserve"> or that the public interest is affected by the Protested Rates.</w:t>
      </w:r>
    </w:p>
    <w:p w:rsidR="000D0C4D" w:rsidRDefault="000D0C4D" w:rsidP="002F5875"/>
    <w:p w:rsidR="00885B8D" w:rsidRDefault="00885B8D" w:rsidP="00723847">
      <w:pPr>
        <w:pStyle w:val="Heading2"/>
        <w:keepNext w:val="0"/>
      </w:pPr>
      <w:bookmarkStart w:id="11" w:name="_Toc431366930"/>
      <w:r>
        <w:t>Bargaining Power of the Parties</w:t>
      </w:r>
      <w:bookmarkEnd w:id="11"/>
    </w:p>
    <w:p w:rsidR="000B1C58" w:rsidRDefault="000B1C58" w:rsidP="000B1C58"/>
    <w:p w:rsidR="006B68FD" w:rsidRDefault="006B68FD" w:rsidP="000B1C58">
      <w:r>
        <w:tab/>
      </w:r>
      <w:r w:rsidR="00211C42">
        <w:t>T</w:t>
      </w:r>
      <w:r>
        <w:t>he Public Interest Rule specifies</w:t>
      </w:r>
      <w:r w:rsidR="00211C42">
        <w:t xml:space="preserve"> five factors to be considered </w:t>
      </w:r>
      <w:r w:rsidR="00C801F6">
        <w:t xml:space="preserve">when </w:t>
      </w:r>
      <w:r w:rsidR="00211C42">
        <w:t>determin</w:t>
      </w:r>
      <w:r w:rsidR="00C801F6">
        <w:t>ing</w:t>
      </w:r>
      <w:r w:rsidR="00211C42">
        <w:t xml:space="preserve"> if the parties to a contract ha</w:t>
      </w:r>
      <w:r w:rsidR="00C801F6">
        <w:t>ve</w:t>
      </w:r>
      <w:r w:rsidR="00211C42">
        <w:t xml:space="preserve"> disparate bargaining power: </w:t>
      </w:r>
      <w:r>
        <w:t xml:space="preserve">(1) </w:t>
      </w:r>
      <w:r w:rsidRPr="006B68FD">
        <w:t>purchaser</w:t>
      </w:r>
      <w:r w:rsidR="00B71573">
        <w:t>’</w:t>
      </w:r>
      <w:r w:rsidRPr="006B68FD">
        <w:t xml:space="preserve">s alternative means, </w:t>
      </w:r>
      <w:r w:rsidR="00C47495">
        <w:t>(2) </w:t>
      </w:r>
      <w:r w:rsidR="00C801F6">
        <w:t xml:space="preserve">purchaser’s </w:t>
      </w:r>
      <w:r w:rsidRPr="006B68FD">
        <w:t xml:space="preserve">alternative costs, </w:t>
      </w:r>
      <w:r>
        <w:t xml:space="preserve">(3) </w:t>
      </w:r>
      <w:r w:rsidRPr="006B68FD">
        <w:t xml:space="preserve">environmental impact, </w:t>
      </w:r>
      <w:r>
        <w:t xml:space="preserve">(4) </w:t>
      </w:r>
      <w:r w:rsidRPr="006B68FD">
        <w:t xml:space="preserve">regulatory issues, and </w:t>
      </w:r>
      <w:r>
        <w:t xml:space="preserve">(5) </w:t>
      </w:r>
      <w:r w:rsidRPr="006B68FD">
        <w:t>problems of obtaining alternative water service</w:t>
      </w:r>
      <w:r>
        <w:t>.</w:t>
      </w:r>
      <w:r>
        <w:rPr>
          <w:rStyle w:val="FootnoteReference"/>
        </w:rPr>
        <w:footnoteReference w:id="51"/>
      </w:r>
      <w:r w:rsidR="00970FC1">
        <w:t xml:space="preserve">  TCMUD 12 does not argue that it and WTCPUA have disparate bargaining power due to environmental impact or regulatory issues.  Instead, it contends that the other three factors show it has less bargaining power than WTCPUA.</w:t>
      </w:r>
      <w:r w:rsidR="00EB0B92">
        <w:t xml:space="preserve">  The other parties contend that TCMUD 12 has failed to prove that.</w:t>
      </w:r>
    </w:p>
    <w:p w:rsidR="00EB0B92" w:rsidRDefault="00EB0B92" w:rsidP="000B1C58"/>
    <w:p w:rsidR="00EB0B92" w:rsidRDefault="00885B8D" w:rsidP="002610FC">
      <w:pPr>
        <w:pStyle w:val="Heading3"/>
        <w:keepNext w:val="0"/>
        <w:spacing w:line="240" w:lineRule="auto"/>
        <w:ind w:left="1440" w:hanging="720"/>
      </w:pPr>
      <w:bookmarkStart w:id="12" w:name="_Toc431366931"/>
      <w:r>
        <w:t>Alternative Means</w:t>
      </w:r>
      <w:r w:rsidR="00F64BE6">
        <w:t xml:space="preserve"> </w:t>
      </w:r>
      <w:r w:rsidR="009A4B5F">
        <w:t>of</w:t>
      </w:r>
      <w:r w:rsidR="00F64BE6">
        <w:t xml:space="preserve"> Service and Problems</w:t>
      </w:r>
      <w:r w:rsidR="001D1EAB">
        <w:t xml:space="preserve"> </w:t>
      </w:r>
      <w:r w:rsidR="009A4B5F">
        <w:t>in</w:t>
      </w:r>
      <w:r w:rsidR="001D1EAB">
        <w:t xml:space="preserve"> Obtaining</w:t>
      </w:r>
      <w:r w:rsidR="00C47495">
        <w:t xml:space="preserve"> Alternative Service</w:t>
      </w:r>
      <w:bookmarkEnd w:id="12"/>
    </w:p>
    <w:p w:rsidR="00B67116" w:rsidRDefault="001A7A62" w:rsidP="00C1697A">
      <w:pPr>
        <w:pStyle w:val="Heading4"/>
      </w:pPr>
      <w:bookmarkStart w:id="13" w:name="_Toc431366932"/>
      <w:r>
        <w:t xml:space="preserve">TCMUD 12 Is </w:t>
      </w:r>
      <w:r w:rsidR="00B67116">
        <w:t>Free To Seek An Alternative</w:t>
      </w:r>
      <w:bookmarkEnd w:id="13"/>
    </w:p>
    <w:p w:rsidR="00B67116" w:rsidRDefault="00B67116" w:rsidP="00EB0B92"/>
    <w:p w:rsidR="00287091" w:rsidRDefault="00D26621" w:rsidP="00287091">
      <w:r>
        <w:tab/>
        <w:t xml:space="preserve">The ALJ concludes that TCMUD 12 was and is free to reduce the quantity of water services it receives from WTCPUA and obtain that service elsewhere.  </w:t>
      </w:r>
      <w:r w:rsidR="00287091">
        <w:t xml:space="preserve">TCMUD 12 claims that a provision of the Water Services Agreement does not permit it </w:t>
      </w:r>
      <w:r w:rsidR="00287091" w:rsidRPr="00934F46">
        <w:t>to seek an</w:t>
      </w:r>
      <w:r w:rsidR="00287091" w:rsidRPr="007F6998">
        <w:t xml:space="preserve"> alternative supplier of wholesale water service </w:t>
      </w:r>
      <w:r w:rsidR="00287091">
        <w:t xml:space="preserve">because its demand does not exceed the </w:t>
      </w:r>
      <w:r w:rsidR="00287091" w:rsidRPr="007F6998">
        <w:t xml:space="preserve">amount specified in the </w:t>
      </w:r>
      <w:r w:rsidR="00287091" w:rsidRPr="007F6998">
        <w:lastRenderedPageBreak/>
        <w:t>agreement.</w:t>
      </w:r>
      <w:r w:rsidR="00287091" w:rsidRPr="007F6998">
        <w:rPr>
          <w:rStyle w:val="FootnoteReference"/>
        </w:rPr>
        <w:t xml:space="preserve"> </w:t>
      </w:r>
      <w:r w:rsidR="00287091" w:rsidRPr="007F6998">
        <w:rPr>
          <w:rStyle w:val="FootnoteReference"/>
        </w:rPr>
        <w:footnoteReference w:id="52"/>
      </w:r>
      <w:r w:rsidR="00287091" w:rsidRPr="007F6998">
        <w:t xml:space="preserve">  </w:t>
      </w:r>
      <w:r w:rsidR="00287091">
        <w:t xml:space="preserve">However, WTCPUA looks at the same provision and notes that it does </w:t>
      </w:r>
      <w:r w:rsidR="00287091" w:rsidRPr="00C23A1D">
        <w:t>not require TCMUD 12 to obtain all of its raw</w:t>
      </w:r>
      <w:r w:rsidR="00BF7661">
        <w:t>-</w:t>
      </w:r>
      <w:r w:rsidR="00287091" w:rsidRPr="00C23A1D">
        <w:t>water treatment servic</w:t>
      </w:r>
      <w:r w:rsidR="00287091">
        <w:t>es from the LCRA.</w:t>
      </w:r>
      <w:r w:rsidR="00287091">
        <w:rPr>
          <w:rStyle w:val="FootnoteReference"/>
        </w:rPr>
        <w:footnoteReference w:id="53"/>
      </w:r>
      <w:r w:rsidR="00287091">
        <w:t xml:space="preserve">  Accordingly, WTCPUA has stipulated that TCMUD 12 is free to </w:t>
      </w:r>
      <w:r w:rsidR="00DE3C79">
        <w:t xml:space="preserve">use </w:t>
      </w:r>
      <w:r w:rsidR="00287091">
        <w:t>an alternative</w:t>
      </w:r>
      <w:r w:rsidR="00DE3C79">
        <w:t xml:space="preserve"> even if its demand </w:t>
      </w:r>
      <w:r w:rsidR="0084588F">
        <w:t xml:space="preserve">for treatment </w:t>
      </w:r>
      <w:r w:rsidR="00DE3C79">
        <w:t>does not exceed the amount specified in the agreement</w:t>
      </w:r>
      <w:r w:rsidR="00287091">
        <w:t>.</w:t>
      </w:r>
    </w:p>
    <w:p w:rsidR="00287091" w:rsidRDefault="00287091" w:rsidP="00287091"/>
    <w:p w:rsidR="00287091" w:rsidRDefault="00287091" w:rsidP="00287091">
      <w:r>
        <w:tab/>
        <w:t xml:space="preserve">To the extent there might </w:t>
      </w:r>
      <w:r w:rsidR="00093EAC">
        <w:t xml:space="preserve">still </w:t>
      </w:r>
      <w:r>
        <w:t xml:space="preserve">be doubt, WTCPUA removed it by offering TCMUD 12 a conditional option of amending </w:t>
      </w:r>
      <w:r w:rsidR="00DE3C79">
        <w:t xml:space="preserve">the </w:t>
      </w:r>
      <w:r>
        <w:t xml:space="preserve">Water Services Agreement and reducing its reserved capacity in the WTCPUA system.  </w:t>
      </w:r>
      <w:r w:rsidR="00C801F6">
        <w:t xml:space="preserve">Under the Water Services Agreement, TCMUD 12 is entitled to receive treatment from WCTPUA for </w:t>
      </w:r>
      <w:r w:rsidR="004F41F5">
        <w:t xml:space="preserve">a maximum flow </w:t>
      </w:r>
      <w:r w:rsidR="00C801F6">
        <w:t xml:space="preserve">of 3,980,000 gallons per day (gpd) of water, which is TCMUD 12’s </w:t>
      </w:r>
      <w:r w:rsidR="00D702AD">
        <w:t xml:space="preserve">maximum </w:t>
      </w:r>
      <w:r w:rsidR="00C801F6">
        <w:t>reserved capacity</w:t>
      </w:r>
      <w:r w:rsidR="004F41F5">
        <w:t xml:space="preserve"> in WTCPUA’s system</w:t>
      </w:r>
      <w:r w:rsidR="00C801F6">
        <w:t>.</w:t>
      </w:r>
      <w:r w:rsidR="00C801F6">
        <w:rPr>
          <w:rStyle w:val="FootnoteReference"/>
        </w:rPr>
        <w:footnoteReference w:id="54"/>
      </w:r>
      <w:r w:rsidR="00C801F6">
        <w:t xml:space="preserve">  </w:t>
      </w:r>
      <w:r>
        <w:t xml:space="preserve">In </w:t>
      </w:r>
      <w:r w:rsidR="0070079F">
        <w:t>a</w:t>
      </w:r>
      <w:r>
        <w:t xml:space="preserve"> December 17, 2013 notice of the Protested Rates to take effect January 1, 2014, </w:t>
      </w:r>
      <w:r w:rsidRPr="00796BDC">
        <w:t xml:space="preserve">WTCPUA offered </w:t>
      </w:r>
      <w:r>
        <w:t xml:space="preserve">to allow TCMUD 12 to amend its contract to reduce its </w:t>
      </w:r>
      <w:r w:rsidRPr="00796BDC">
        <w:t xml:space="preserve">maximum reserved </w:t>
      </w:r>
      <w:r>
        <w:t xml:space="preserve">capacity in </w:t>
      </w:r>
      <w:r w:rsidRPr="00796BDC">
        <w:t>WTCPUA</w:t>
      </w:r>
      <w:r w:rsidR="00B71573">
        <w:t>’</w:t>
      </w:r>
      <w:r>
        <w:t>s West Travis County Facilities.</w:t>
      </w:r>
      <w:r w:rsidRPr="00796BDC">
        <w:rPr>
          <w:vertAlign w:val="superscript"/>
        </w:rPr>
        <w:footnoteReference w:id="55"/>
      </w:r>
    </w:p>
    <w:p w:rsidR="00287091" w:rsidRDefault="00287091" w:rsidP="00287091"/>
    <w:p w:rsidR="00287091" w:rsidRPr="006D5BB5" w:rsidRDefault="00287091" w:rsidP="00287091">
      <w:r>
        <w:tab/>
      </w:r>
      <w:r w:rsidR="00093EAC">
        <w:t xml:space="preserve">TCMUD 12 </w:t>
      </w:r>
      <w:r>
        <w:t xml:space="preserve">contends </w:t>
      </w:r>
      <w:r w:rsidR="0070079F">
        <w:t xml:space="preserve">that </w:t>
      </w:r>
      <w:r>
        <w:t>the offer was illusory and manipulative because it was only open for 10 days during the winter holiday season.</w:t>
      </w:r>
      <w:r>
        <w:rPr>
          <w:rStyle w:val="FootnoteReference"/>
        </w:rPr>
        <w:footnoteReference w:id="56"/>
      </w:r>
      <w:r>
        <w:t xml:space="preserve">  But the evidence shows that the offer was sincere and WTCPUA </w:t>
      </w:r>
      <w:r w:rsidR="0070079F">
        <w:t xml:space="preserve">has </w:t>
      </w:r>
      <w:r>
        <w:t xml:space="preserve">left it open.  WTCPUA made the same offer to </w:t>
      </w:r>
      <w:r w:rsidR="0070079F">
        <w:t>its</w:t>
      </w:r>
      <w:r>
        <w:t xml:space="preserve"> </w:t>
      </w:r>
      <w:r w:rsidR="0070079F">
        <w:t xml:space="preserve">13 </w:t>
      </w:r>
      <w:r>
        <w:t xml:space="preserve">other </w:t>
      </w:r>
      <w:r w:rsidRPr="00796BDC">
        <w:t>wholesale customers</w:t>
      </w:r>
      <w:r w:rsidR="00D702AD">
        <w:t xml:space="preserve">.  As of </w:t>
      </w:r>
      <w:r w:rsidR="00D702AD" w:rsidRPr="006D5BB5">
        <w:t>December 19, 2014</w:t>
      </w:r>
      <w:r w:rsidR="00D702AD">
        <w:t xml:space="preserve">, approximately one year after WTCPUA made the offer, </w:t>
      </w:r>
      <w:r w:rsidR="00093EAC">
        <w:t xml:space="preserve">the following </w:t>
      </w:r>
      <w:r w:rsidR="0070079F">
        <w:t xml:space="preserve">six had chosen </w:t>
      </w:r>
      <w:r w:rsidRPr="00796BDC">
        <w:t>to amend their agreements</w:t>
      </w:r>
      <w:r>
        <w:t xml:space="preserve"> and </w:t>
      </w:r>
      <w:r w:rsidR="001A5820">
        <w:t xml:space="preserve">change </w:t>
      </w:r>
      <w:r w:rsidR="00093EAC">
        <w:t>their maximum reserved capacities, as detailed below</w:t>
      </w:r>
      <w:r>
        <w:t>:</w:t>
      </w:r>
    </w:p>
    <w:p w:rsidR="00287091" w:rsidRPr="006D5BB5" w:rsidRDefault="00287091" w:rsidP="00287091"/>
    <w:tbl>
      <w:tblPr>
        <w:tblStyle w:val="TableGrid"/>
        <w:tblW w:w="9558" w:type="dxa"/>
        <w:tblLook w:val="04A0" w:firstRow="1" w:lastRow="0" w:firstColumn="1" w:lastColumn="0" w:noHBand="0" w:noVBand="1"/>
      </w:tblPr>
      <w:tblGrid>
        <w:gridCol w:w="3078"/>
        <w:gridCol w:w="1710"/>
        <w:gridCol w:w="2610"/>
        <w:gridCol w:w="2160"/>
      </w:tblGrid>
      <w:tr w:rsidR="00287091" w:rsidRPr="006D5BB5" w:rsidTr="00486C75">
        <w:trPr>
          <w:cantSplit/>
        </w:trPr>
        <w:tc>
          <w:tcPr>
            <w:tcW w:w="3078" w:type="dxa"/>
            <w:vAlign w:val="center"/>
          </w:tcPr>
          <w:p w:rsidR="00287091" w:rsidRPr="006D5BB5" w:rsidRDefault="00287091" w:rsidP="0014417F">
            <w:pPr>
              <w:spacing w:line="240" w:lineRule="auto"/>
              <w:jc w:val="left"/>
              <w:rPr>
                <w:b/>
              </w:rPr>
            </w:pPr>
            <w:r w:rsidRPr="006D5BB5">
              <w:rPr>
                <w:b/>
              </w:rPr>
              <w:t>Entity</w:t>
            </w:r>
          </w:p>
        </w:tc>
        <w:tc>
          <w:tcPr>
            <w:tcW w:w="1710" w:type="dxa"/>
            <w:vAlign w:val="center"/>
          </w:tcPr>
          <w:p w:rsidR="00287091" w:rsidRDefault="00287091" w:rsidP="0014417F">
            <w:pPr>
              <w:spacing w:line="240" w:lineRule="auto"/>
              <w:jc w:val="left"/>
              <w:rPr>
                <w:b/>
              </w:rPr>
            </w:pPr>
            <w:r w:rsidRPr="006D5BB5">
              <w:rPr>
                <w:b/>
              </w:rPr>
              <w:t>Original</w:t>
            </w:r>
          </w:p>
          <w:p w:rsidR="00287091" w:rsidRDefault="00287091" w:rsidP="0014417F">
            <w:pPr>
              <w:spacing w:line="240" w:lineRule="auto"/>
              <w:jc w:val="left"/>
              <w:rPr>
                <w:b/>
              </w:rPr>
            </w:pPr>
            <w:r w:rsidRPr="006D5BB5">
              <w:rPr>
                <w:b/>
              </w:rPr>
              <w:t>Max</w:t>
            </w:r>
            <w:r>
              <w:rPr>
                <w:b/>
              </w:rPr>
              <w:t xml:space="preserve">. </w:t>
            </w:r>
            <w:r w:rsidRPr="006D5BB5">
              <w:rPr>
                <w:b/>
              </w:rPr>
              <w:t>Day</w:t>
            </w:r>
          </w:p>
          <w:p w:rsidR="00287091" w:rsidRPr="006D5BB5" w:rsidRDefault="00287091" w:rsidP="0014417F">
            <w:pPr>
              <w:spacing w:line="240" w:lineRule="auto"/>
              <w:jc w:val="left"/>
              <w:rPr>
                <w:b/>
              </w:rPr>
            </w:pPr>
            <w:r w:rsidRPr="006D5BB5">
              <w:rPr>
                <w:b/>
              </w:rPr>
              <w:t>Reservation</w:t>
            </w:r>
          </w:p>
        </w:tc>
        <w:tc>
          <w:tcPr>
            <w:tcW w:w="2610" w:type="dxa"/>
            <w:vAlign w:val="center"/>
          </w:tcPr>
          <w:p w:rsidR="00287091" w:rsidRPr="006D5BB5" w:rsidRDefault="00287091" w:rsidP="0014417F">
            <w:pPr>
              <w:spacing w:line="240" w:lineRule="auto"/>
              <w:jc w:val="left"/>
              <w:rPr>
                <w:b/>
              </w:rPr>
            </w:pPr>
            <w:r w:rsidRPr="006D5BB5">
              <w:rPr>
                <w:b/>
              </w:rPr>
              <w:t>Amendment Date</w:t>
            </w:r>
          </w:p>
        </w:tc>
        <w:tc>
          <w:tcPr>
            <w:tcW w:w="2160" w:type="dxa"/>
            <w:vAlign w:val="center"/>
          </w:tcPr>
          <w:p w:rsidR="00287091" w:rsidRDefault="00287091" w:rsidP="0014417F">
            <w:pPr>
              <w:spacing w:line="240" w:lineRule="auto"/>
              <w:jc w:val="left"/>
              <w:rPr>
                <w:b/>
              </w:rPr>
            </w:pPr>
            <w:r>
              <w:rPr>
                <w:b/>
              </w:rPr>
              <w:t>Amended</w:t>
            </w:r>
          </w:p>
          <w:p w:rsidR="00287091" w:rsidRDefault="00287091" w:rsidP="0014417F">
            <w:pPr>
              <w:spacing w:line="240" w:lineRule="auto"/>
              <w:jc w:val="left"/>
              <w:rPr>
                <w:b/>
              </w:rPr>
            </w:pPr>
            <w:r w:rsidRPr="006D5BB5">
              <w:rPr>
                <w:b/>
              </w:rPr>
              <w:t>Max</w:t>
            </w:r>
            <w:r>
              <w:rPr>
                <w:b/>
              </w:rPr>
              <w:t>. Day</w:t>
            </w:r>
          </w:p>
          <w:p w:rsidR="00287091" w:rsidRPr="006D5BB5" w:rsidRDefault="00287091" w:rsidP="0014417F">
            <w:pPr>
              <w:spacing w:line="240" w:lineRule="auto"/>
              <w:jc w:val="left"/>
              <w:rPr>
                <w:b/>
              </w:rPr>
            </w:pPr>
            <w:r w:rsidRPr="006D5BB5">
              <w:rPr>
                <w:b/>
              </w:rPr>
              <w:t>Reservation</w:t>
            </w:r>
          </w:p>
        </w:tc>
      </w:tr>
      <w:tr w:rsidR="00287091" w:rsidRPr="006D5BB5" w:rsidTr="00486C75">
        <w:trPr>
          <w:cantSplit/>
        </w:trPr>
        <w:tc>
          <w:tcPr>
            <w:tcW w:w="3078" w:type="dxa"/>
            <w:vAlign w:val="center"/>
          </w:tcPr>
          <w:p w:rsidR="00287091" w:rsidRPr="006D5BB5" w:rsidRDefault="00287091" w:rsidP="006B6610">
            <w:pPr>
              <w:spacing w:line="240" w:lineRule="auto"/>
              <w:jc w:val="left"/>
            </w:pPr>
            <w:r w:rsidRPr="006D5BB5">
              <w:t>Hays County WCID No. 1</w:t>
            </w:r>
          </w:p>
        </w:tc>
        <w:tc>
          <w:tcPr>
            <w:tcW w:w="1710" w:type="dxa"/>
            <w:vAlign w:val="center"/>
          </w:tcPr>
          <w:p w:rsidR="00287091" w:rsidRPr="006D5BB5" w:rsidRDefault="00287091" w:rsidP="00331D04">
            <w:pPr>
              <w:spacing w:line="240" w:lineRule="auto"/>
              <w:jc w:val="left"/>
            </w:pPr>
            <w:r w:rsidRPr="006D5BB5">
              <w:t xml:space="preserve">345,600 </w:t>
            </w:r>
            <w:r w:rsidR="00D702AD">
              <w:t>gpd</w:t>
            </w:r>
            <w:r w:rsidR="00331D04">
              <w:rPr>
                <w:rStyle w:val="FootnoteReference"/>
              </w:rPr>
              <w:footnoteReference w:id="57"/>
            </w:r>
          </w:p>
        </w:tc>
        <w:tc>
          <w:tcPr>
            <w:tcW w:w="2610" w:type="dxa"/>
            <w:vAlign w:val="center"/>
          </w:tcPr>
          <w:p w:rsidR="00287091" w:rsidRPr="006D5BB5" w:rsidRDefault="00287091" w:rsidP="0014417F">
            <w:pPr>
              <w:spacing w:line="240" w:lineRule="auto"/>
              <w:jc w:val="left"/>
            </w:pPr>
            <w:r w:rsidRPr="006D5BB5">
              <w:t>Sept. 26, 2013</w:t>
            </w:r>
          </w:p>
        </w:tc>
        <w:tc>
          <w:tcPr>
            <w:tcW w:w="2160" w:type="dxa"/>
            <w:vAlign w:val="center"/>
          </w:tcPr>
          <w:p w:rsidR="00287091" w:rsidRPr="006D5BB5" w:rsidRDefault="00287091" w:rsidP="0014417F">
            <w:pPr>
              <w:spacing w:line="240" w:lineRule="auto"/>
              <w:jc w:val="left"/>
            </w:pPr>
            <w:r w:rsidRPr="006D5BB5">
              <w:t xml:space="preserve">1,221,120 </w:t>
            </w:r>
            <w:r w:rsidR="00D702AD">
              <w:t>gpd</w:t>
            </w:r>
          </w:p>
        </w:tc>
      </w:tr>
      <w:tr w:rsidR="00287091" w:rsidRPr="006D5BB5" w:rsidTr="00486C75">
        <w:trPr>
          <w:cantSplit/>
        </w:trPr>
        <w:tc>
          <w:tcPr>
            <w:tcW w:w="3078" w:type="dxa"/>
            <w:vAlign w:val="center"/>
          </w:tcPr>
          <w:p w:rsidR="00287091" w:rsidRPr="006D5BB5" w:rsidRDefault="00287091" w:rsidP="0014417F">
            <w:pPr>
              <w:spacing w:line="240" w:lineRule="auto"/>
              <w:jc w:val="left"/>
            </w:pPr>
            <w:r w:rsidRPr="006D5BB5">
              <w:t>Hays County WCID No. 2</w:t>
            </w:r>
            <w:r w:rsidRPr="006D5BB5">
              <w:rPr>
                <w:vertAlign w:val="superscript"/>
              </w:rPr>
              <w:footnoteReference w:id="58"/>
            </w:r>
          </w:p>
        </w:tc>
        <w:tc>
          <w:tcPr>
            <w:tcW w:w="1710" w:type="dxa"/>
            <w:vAlign w:val="center"/>
          </w:tcPr>
          <w:p w:rsidR="00287091" w:rsidRPr="006D5BB5" w:rsidRDefault="00287091" w:rsidP="0014417F">
            <w:pPr>
              <w:spacing w:line="240" w:lineRule="auto"/>
              <w:jc w:val="left"/>
            </w:pPr>
            <w:r w:rsidRPr="006D5BB5">
              <w:t xml:space="preserve">618,624 </w:t>
            </w:r>
            <w:r w:rsidR="00D702AD">
              <w:t>gpd</w:t>
            </w:r>
          </w:p>
        </w:tc>
        <w:tc>
          <w:tcPr>
            <w:tcW w:w="2610" w:type="dxa"/>
            <w:vAlign w:val="center"/>
          </w:tcPr>
          <w:p w:rsidR="00287091" w:rsidRPr="006D5BB5" w:rsidRDefault="00287091" w:rsidP="0014417F">
            <w:pPr>
              <w:spacing w:line="240" w:lineRule="auto"/>
              <w:jc w:val="left"/>
            </w:pPr>
            <w:r w:rsidRPr="006D5BB5">
              <w:t>Aug. 14, 2014</w:t>
            </w:r>
          </w:p>
        </w:tc>
        <w:tc>
          <w:tcPr>
            <w:tcW w:w="2160" w:type="dxa"/>
            <w:vAlign w:val="center"/>
          </w:tcPr>
          <w:p w:rsidR="00287091" w:rsidRPr="006D5BB5" w:rsidRDefault="00287091" w:rsidP="0014417F">
            <w:pPr>
              <w:spacing w:line="240" w:lineRule="auto"/>
              <w:jc w:val="left"/>
            </w:pPr>
            <w:r w:rsidRPr="006D5BB5">
              <w:t xml:space="preserve">1,166,170 </w:t>
            </w:r>
            <w:r w:rsidR="00D702AD">
              <w:t>gpd</w:t>
            </w:r>
          </w:p>
        </w:tc>
      </w:tr>
      <w:tr w:rsidR="00287091" w:rsidRPr="006D5BB5" w:rsidTr="00486C75">
        <w:trPr>
          <w:cantSplit/>
        </w:trPr>
        <w:tc>
          <w:tcPr>
            <w:tcW w:w="3078" w:type="dxa"/>
            <w:vAlign w:val="center"/>
          </w:tcPr>
          <w:p w:rsidR="00287091" w:rsidRPr="006D5BB5" w:rsidRDefault="00287091" w:rsidP="0014417F">
            <w:pPr>
              <w:spacing w:line="240" w:lineRule="auto"/>
              <w:jc w:val="left"/>
            </w:pPr>
            <w:r w:rsidRPr="006D5BB5">
              <w:lastRenderedPageBreak/>
              <w:t>Reunion Ranch WCID</w:t>
            </w:r>
            <w:r w:rsidRPr="006D5BB5">
              <w:rPr>
                <w:vertAlign w:val="superscript"/>
              </w:rPr>
              <w:footnoteReference w:id="59"/>
            </w:r>
          </w:p>
        </w:tc>
        <w:tc>
          <w:tcPr>
            <w:tcW w:w="1710" w:type="dxa"/>
            <w:vAlign w:val="center"/>
          </w:tcPr>
          <w:p w:rsidR="00287091" w:rsidRPr="006D5BB5" w:rsidRDefault="00287091" w:rsidP="0014417F">
            <w:pPr>
              <w:spacing w:line="240" w:lineRule="auto"/>
              <w:jc w:val="left"/>
            </w:pPr>
            <w:r w:rsidRPr="006D5BB5">
              <w:t xml:space="preserve">553,000 </w:t>
            </w:r>
            <w:r w:rsidR="00D702AD">
              <w:t>gpd</w:t>
            </w:r>
          </w:p>
        </w:tc>
        <w:tc>
          <w:tcPr>
            <w:tcW w:w="2610" w:type="dxa"/>
            <w:vAlign w:val="center"/>
          </w:tcPr>
          <w:p w:rsidR="00287091" w:rsidRPr="006D5BB5" w:rsidRDefault="00287091" w:rsidP="0014417F">
            <w:pPr>
              <w:spacing w:line="240" w:lineRule="auto"/>
              <w:jc w:val="left"/>
            </w:pPr>
            <w:r w:rsidRPr="006D5BB5">
              <w:t>Mar. 28, 2014</w:t>
            </w:r>
          </w:p>
        </w:tc>
        <w:tc>
          <w:tcPr>
            <w:tcW w:w="2160" w:type="dxa"/>
            <w:vAlign w:val="center"/>
          </w:tcPr>
          <w:p w:rsidR="00287091" w:rsidRPr="006D5BB5" w:rsidRDefault="00287091" w:rsidP="0014417F">
            <w:pPr>
              <w:spacing w:line="240" w:lineRule="auto"/>
              <w:jc w:val="left"/>
            </w:pPr>
            <w:r w:rsidRPr="006D5BB5">
              <w:t xml:space="preserve">603,692 </w:t>
            </w:r>
            <w:r w:rsidR="00D702AD">
              <w:t>gpd</w:t>
            </w:r>
          </w:p>
        </w:tc>
      </w:tr>
      <w:tr w:rsidR="00287091" w:rsidRPr="006D5BB5" w:rsidTr="00486C75">
        <w:trPr>
          <w:cantSplit/>
        </w:trPr>
        <w:tc>
          <w:tcPr>
            <w:tcW w:w="3078" w:type="dxa"/>
            <w:vAlign w:val="center"/>
          </w:tcPr>
          <w:p w:rsidR="00287091" w:rsidRPr="006D5BB5" w:rsidRDefault="00287091" w:rsidP="0014417F">
            <w:pPr>
              <w:spacing w:line="240" w:lineRule="auto"/>
              <w:jc w:val="left"/>
            </w:pPr>
            <w:r w:rsidRPr="006D5BB5">
              <w:t>Senna Hills MUD</w:t>
            </w:r>
            <w:r w:rsidRPr="006D5BB5">
              <w:rPr>
                <w:vertAlign w:val="superscript"/>
              </w:rPr>
              <w:footnoteReference w:id="60"/>
            </w:r>
          </w:p>
        </w:tc>
        <w:tc>
          <w:tcPr>
            <w:tcW w:w="1710" w:type="dxa"/>
            <w:vAlign w:val="center"/>
          </w:tcPr>
          <w:p w:rsidR="00287091" w:rsidRPr="006D5BB5" w:rsidRDefault="00287091" w:rsidP="0014417F">
            <w:pPr>
              <w:spacing w:line="240" w:lineRule="auto"/>
              <w:jc w:val="left"/>
            </w:pPr>
            <w:r w:rsidRPr="006D5BB5">
              <w:t xml:space="preserve">907,000 </w:t>
            </w:r>
            <w:r w:rsidR="00D702AD">
              <w:t>gpd</w:t>
            </w:r>
          </w:p>
        </w:tc>
        <w:tc>
          <w:tcPr>
            <w:tcW w:w="2610" w:type="dxa"/>
            <w:vAlign w:val="center"/>
          </w:tcPr>
          <w:p w:rsidR="00287091" w:rsidRPr="006D5BB5" w:rsidRDefault="000C5376" w:rsidP="0014417F">
            <w:pPr>
              <w:spacing w:line="240" w:lineRule="auto"/>
              <w:jc w:val="left"/>
            </w:pPr>
            <w:r>
              <w:t>After</w:t>
            </w:r>
            <w:r w:rsidR="00287091" w:rsidRPr="006D5BB5">
              <w:t xml:space="preserve"> Nov. 21, 2013</w:t>
            </w:r>
            <w:r w:rsidR="00287091" w:rsidRPr="006D5BB5">
              <w:rPr>
                <w:vertAlign w:val="superscript"/>
              </w:rPr>
              <w:footnoteReference w:id="61"/>
            </w:r>
          </w:p>
        </w:tc>
        <w:tc>
          <w:tcPr>
            <w:tcW w:w="2160" w:type="dxa"/>
            <w:vAlign w:val="center"/>
          </w:tcPr>
          <w:p w:rsidR="00287091" w:rsidRPr="006D5BB5" w:rsidRDefault="00287091" w:rsidP="0014417F">
            <w:pPr>
              <w:spacing w:line="240" w:lineRule="auto"/>
              <w:jc w:val="left"/>
            </w:pPr>
            <w:r w:rsidRPr="006D5BB5">
              <w:t xml:space="preserve">575,000 </w:t>
            </w:r>
            <w:r w:rsidR="00D702AD">
              <w:t>gpd</w:t>
            </w:r>
          </w:p>
        </w:tc>
      </w:tr>
      <w:tr w:rsidR="00287091" w:rsidRPr="006D5BB5" w:rsidTr="00486C75">
        <w:trPr>
          <w:cantSplit/>
        </w:trPr>
        <w:tc>
          <w:tcPr>
            <w:tcW w:w="3078" w:type="dxa"/>
            <w:vAlign w:val="center"/>
          </w:tcPr>
          <w:p w:rsidR="00287091" w:rsidRPr="006D5BB5" w:rsidRDefault="00287091" w:rsidP="0014417F">
            <w:pPr>
              <w:spacing w:line="240" w:lineRule="auto"/>
              <w:jc w:val="left"/>
            </w:pPr>
            <w:r w:rsidRPr="006D5BB5">
              <w:t>Lazy 9 MUD</w:t>
            </w:r>
            <w:r w:rsidRPr="006D5BB5">
              <w:rPr>
                <w:vertAlign w:val="superscript"/>
              </w:rPr>
              <w:footnoteReference w:id="62"/>
            </w:r>
          </w:p>
        </w:tc>
        <w:tc>
          <w:tcPr>
            <w:tcW w:w="1710" w:type="dxa"/>
            <w:vAlign w:val="center"/>
          </w:tcPr>
          <w:p w:rsidR="00287091" w:rsidRPr="006D5BB5" w:rsidRDefault="00287091" w:rsidP="0014417F">
            <w:pPr>
              <w:spacing w:line="240" w:lineRule="auto"/>
              <w:jc w:val="left"/>
            </w:pPr>
            <w:r w:rsidRPr="006D5BB5">
              <w:t xml:space="preserve">5,068,000 </w:t>
            </w:r>
            <w:r w:rsidR="00D702AD">
              <w:t>gpd</w:t>
            </w:r>
          </w:p>
        </w:tc>
        <w:tc>
          <w:tcPr>
            <w:tcW w:w="2610" w:type="dxa"/>
            <w:vAlign w:val="center"/>
          </w:tcPr>
          <w:p w:rsidR="00287091" w:rsidRPr="006D5BB5" w:rsidRDefault="00287091" w:rsidP="0014417F">
            <w:pPr>
              <w:spacing w:line="240" w:lineRule="auto"/>
              <w:jc w:val="left"/>
            </w:pPr>
            <w:r w:rsidRPr="006D5BB5">
              <w:t>Jan. 16, 2014</w:t>
            </w:r>
          </w:p>
        </w:tc>
        <w:tc>
          <w:tcPr>
            <w:tcW w:w="2160" w:type="dxa"/>
            <w:vAlign w:val="center"/>
          </w:tcPr>
          <w:p w:rsidR="00287091" w:rsidRPr="006D5BB5" w:rsidRDefault="00287091" w:rsidP="0014417F">
            <w:pPr>
              <w:spacing w:line="240" w:lineRule="auto"/>
              <w:jc w:val="left"/>
            </w:pPr>
            <w:r w:rsidRPr="006D5BB5">
              <w:t xml:space="preserve">2,080,000 </w:t>
            </w:r>
            <w:r w:rsidR="00D702AD">
              <w:t>gpd</w:t>
            </w:r>
          </w:p>
        </w:tc>
      </w:tr>
      <w:tr w:rsidR="00287091" w:rsidRPr="006D5BB5" w:rsidTr="00486C75">
        <w:trPr>
          <w:cantSplit/>
        </w:trPr>
        <w:tc>
          <w:tcPr>
            <w:tcW w:w="3078" w:type="dxa"/>
            <w:vAlign w:val="center"/>
          </w:tcPr>
          <w:p w:rsidR="00287091" w:rsidRPr="006D5BB5" w:rsidRDefault="00287091" w:rsidP="0014417F">
            <w:pPr>
              <w:spacing w:line="240" w:lineRule="auto"/>
              <w:jc w:val="left"/>
            </w:pPr>
            <w:r w:rsidRPr="006D5BB5">
              <w:t>Barton Creek West WSC</w:t>
            </w:r>
            <w:r w:rsidRPr="006D5BB5">
              <w:rPr>
                <w:vertAlign w:val="superscript"/>
              </w:rPr>
              <w:footnoteReference w:id="63"/>
            </w:r>
          </w:p>
        </w:tc>
        <w:tc>
          <w:tcPr>
            <w:tcW w:w="1710" w:type="dxa"/>
            <w:vAlign w:val="center"/>
          </w:tcPr>
          <w:p w:rsidR="00287091" w:rsidRPr="006D5BB5" w:rsidRDefault="00287091" w:rsidP="0014417F">
            <w:pPr>
              <w:spacing w:line="240" w:lineRule="auto"/>
              <w:jc w:val="left"/>
            </w:pPr>
            <w:r w:rsidRPr="006D5BB5">
              <w:t xml:space="preserve">965,952 </w:t>
            </w:r>
            <w:r w:rsidR="00D702AD">
              <w:t>gpd</w:t>
            </w:r>
          </w:p>
        </w:tc>
        <w:tc>
          <w:tcPr>
            <w:tcW w:w="2610" w:type="dxa"/>
            <w:vAlign w:val="center"/>
          </w:tcPr>
          <w:p w:rsidR="00287091" w:rsidRPr="006D5BB5" w:rsidRDefault="00287091" w:rsidP="0014417F">
            <w:pPr>
              <w:spacing w:line="240" w:lineRule="auto"/>
              <w:jc w:val="left"/>
            </w:pPr>
            <w:r w:rsidRPr="006D5BB5">
              <w:t>Mar. 18, 2014</w:t>
            </w:r>
          </w:p>
        </w:tc>
        <w:tc>
          <w:tcPr>
            <w:tcW w:w="2160" w:type="dxa"/>
            <w:vAlign w:val="center"/>
          </w:tcPr>
          <w:p w:rsidR="00287091" w:rsidRPr="006D5BB5" w:rsidRDefault="00287091" w:rsidP="0014417F">
            <w:pPr>
              <w:spacing w:line="240" w:lineRule="auto"/>
              <w:jc w:val="left"/>
            </w:pPr>
            <w:r w:rsidRPr="006D5BB5">
              <w:t xml:space="preserve">679,000 </w:t>
            </w:r>
            <w:r w:rsidR="00D702AD">
              <w:t>gpd</w:t>
            </w:r>
          </w:p>
        </w:tc>
      </w:tr>
    </w:tbl>
    <w:p w:rsidR="00287091" w:rsidRDefault="00287091" w:rsidP="00287091"/>
    <w:p w:rsidR="00B67116" w:rsidRDefault="00C1697A" w:rsidP="00B67116">
      <w:pPr>
        <w:pStyle w:val="Heading4"/>
      </w:pPr>
      <w:bookmarkStart w:id="14" w:name="_Toc431366933"/>
      <w:r>
        <w:t>T</w:t>
      </w:r>
      <w:r w:rsidR="00B67116">
        <w:t>reatment Capacity Needed</w:t>
      </w:r>
      <w:bookmarkEnd w:id="14"/>
    </w:p>
    <w:p w:rsidR="00D26621" w:rsidRDefault="00D26621" w:rsidP="00457663"/>
    <w:p w:rsidR="00457663" w:rsidRDefault="00D26621" w:rsidP="00457663">
      <w:r>
        <w:tab/>
      </w:r>
      <w:r w:rsidR="002F3CCB">
        <w:t xml:space="preserve">Nevertheless, </w:t>
      </w:r>
      <w:r w:rsidR="00DB3CB3">
        <w:t>TCMUD 12</w:t>
      </w:r>
      <w:r w:rsidR="00457663">
        <w:t xml:space="preserve"> </w:t>
      </w:r>
      <w:r w:rsidR="001F2194">
        <w:t xml:space="preserve">argues that voluntarily surrendering part of its reserved capacity in the WTCPUA </w:t>
      </w:r>
      <w:r w:rsidR="001F2194" w:rsidRPr="00EF49BE">
        <w:t>would have been foolish</w:t>
      </w:r>
      <w:r w:rsidR="001F2194">
        <w:t xml:space="preserve"> because </w:t>
      </w:r>
      <w:r w:rsidR="00457663">
        <w:t xml:space="preserve">it </w:t>
      </w:r>
      <w:r w:rsidR="00457663" w:rsidRPr="00EF49BE">
        <w:t xml:space="preserve">is a very young district, </w:t>
      </w:r>
      <w:r w:rsidR="001F2194">
        <w:t xml:space="preserve">the </w:t>
      </w:r>
      <w:r w:rsidR="00457663">
        <w:t xml:space="preserve">population in its service area is </w:t>
      </w:r>
      <w:r w:rsidR="00457663" w:rsidRPr="00EF49BE">
        <w:t>growing</w:t>
      </w:r>
      <w:r w:rsidR="00457663">
        <w:t>,</w:t>
      </w:r>
      <w:r w:rsidR="00457663" w:rsidRPr="00EF49BE">
        <w:t xml:space="preserve"> </w:t>
      </w:r>
      <w:r w:rsidR="001F2194">
        <w:t xml:space="preserve">and </w:t>
      </w:r>
      <w:r w:rsidR="00457663">
        <w:t xml:space="preserve">it </w:t>
      </w:r>
      <w:r w:rsidR="00457663" w:rsidRPr="00EF49BE">
        <w:t xml:space="preserve">expects to need </w:t>
      </w:r>
      <w:r w:rsidR="001F2194">
        <w:t xml:space="preserve">its all of its reserved capacity </w:t>
      </w:r>
      <w:r w:rsidR="00457663">
        <w:t xml:space="preserve">between </w:t>
      </w:r>
      <w:r w:rsidR="00457663" w:rsidRPr="00EF49BE">
        <w:t xml:space="preserve">2022 </w:t>
      </w:r>
      <w:r w:rsidR="00457663">
        <w:t xml:space="preserve">and </w:t>
      </w:r>
      <w:r w:rsidR="00457663" w:rsidRPr="00EF49BE">
        <w:t>2025</w:t>
      </w:r>
      <w:r w:rsidR="001F2194">
        <w:t>.</w:t>
      </w:r>
      <w:r w:rsidR="00457663" w:rsidRPr="00EF49BE">
        <w:rPr>
          <w:vertAlign w:val="superscript"/>
        </w:rPr>
        <w:footnoteReference w:id="64"/>
      </w:r>
      <w:r w:rsidR="00457663">
        <w:t xml:space="preserve"> </w:t>
      </w:r>
      <w:r w:rsidR="001F2194">
        <w:t xml:space="preserve"> </w:t>
      </w:r>
      <w:r w:rsidR="002F3CCB">
        <w:t xml:space="preserve">Under the Water Services Agreement, WTCPUA is obligated to provide TCMUD 12 with treatment services for approximately </w:t>
      </w:r>
      <w:r w:rsidR="002F3CCB" w:rsidRPr="00EF49BE">
        <w:t>1,640 retail water connections, or close to 2,125 LUEs</w:t>
      </w:r>
      <w:r w:rsidR="002F3CCB">
        <w:t>.</w:t>
      </w:r>
      <w:r w:rsidR="002F3CCB" w:rsidRPr="00EF49BE">
        <w:rPr>
          <w:vertAlign w:val="superscript"/>
        </w:rPr>
        <w:footnoteReference w:id="65"/>
      </w:r>
      <w:r w:rsidR="002F3CCB">
        <w:t xml:space="preserve">  </w:t>
      </w:r>
      <w:r w:rsidR="001F2194">
        <w:t xml:space="preserve">That is </w:t>
      </w:r>
      <w:r w:rsidR="00093EAC">
        <w:t xml:space="preserve">the </w:t>
      </w:r>
      <w:r w:rsidR="001F2194">
        <w:t xml:space="preserve">same </w:t>
      </w:r>
      <w:r w:rsidR="00457663" w:rsidRPr="00EF49BE">
        <w:t xml:space="preserve">number of LUEs that could be served with </w:t>
      </w:r>
      <w:r w:rsidR="00EA180B">
        <w:t xml:space="preserve">the </w:t>
      </w:r>
      <w:r w:rsidR="00457663" w:rsidRPr="00EF49BE">
        <w:t xml:space="preserve">maximum flow </w:t>
      </w:r>
      <w:r w:rsidR="001F2194">
        <w:t xml:space="preserve">of </w:t>
      </w:r>
      <w:r w:rsidR="00457663" w:rsidRPr="00EF49BE">
        <w:t xml:space="preserve">3,980,000 </w:t>
      </w:r>
      <w:r w:rsidR="00457663">
        <w:t xml:space="preserve">gpd </w:t>
      </w:r>
      <w:r w:rsidR="001F2194">
        <w:t xml:space="preserve">that TCMUD 12 is entitled to </w:t>
      </w:r>
      <w:r w:rsidR="006B6610">
        <w:t>have treated under the Water Services Agreement</w:t>
      </w:r>
      <w:r w:rsidR="00457663">
        <w:t>.</w:t>
      </w:r>
      <w:r w:rsidR="00457663" w:rsidRPr="00EF49BE">
        <w:rPr>
          <w:vertAlign w:val="superscript"/>
        </w:rPr>
        <w:footnoteReference w:id="66"/>
      </w:r>
      <w:r w:rsidR="00457663">
        <w:t xml:space="preserve">  </w:t>
      </w:r>
    </w:p>
    <w:p w:rsidR="00457663" w:rsidRDefault="00457663" w:rsidP="00457663"/>
    <w:p w:rsidR="0006787C" w:rsidRDefault="0006787C" w:rsidP="0006787C">
      <w:r>
        <w:tab/>
        <w:t>WTC</w:t>
      </w:r>
      <w:r w:rsidR="00093EAC">
        <w:t>PUA</w:t>
      </w:r>
      <w:r>
        <w:t xml:space="preserve"> contends that </w:t>
      </w:r>
      <w:r w:rsidRPr="00D075F9">
        <w:t>TCMUD 12</w:t>
      </w:r>
      <w:r w:rsidR="00B71573">
        <w:t>’</w:t>
      </w:r>
      <w:r w:rsidRPr="00D075F9">
        <w:t xml:space="preserve">s Raw Water Contract with LCRA </w:t>
      </w:r>
      <w:r>
        <w:t>limits the amount of water it could feasibly divert and ask WTC</w:t>
      </w:r>
      <w:r w:rsidR="00093EAC">
        <w:t>PUA</w:t>
      </w:r>
      <w:r>
        <w:t xml:space="preserve"> to treat, but TCMUD </w:t>
      </w:r>
      <w:r w:rsidR="00093EAC">
        <w:t xml:space="preserve">12 </w:t>
      </w:r>
      <w:r>
        <w:t xml:space="preserve">disagrees.  Their disagreement </w:t>
      </w:r>
      <w:r w:rsidR="009C7E31">
        <w:t xml:space="preserve">is </w:t>
      </w:r>
      <w:r>
        <w:t xml:space="preserve">a complex dispute over the meaning of the Raw Water Contract and the Water Services Agreement, which the Commission has no jurisdiction to </w:t>
      </w:r>
      <w:r w:rsidR="00A02D4A">
        <w:t>decide</w:t>
      </w:r>
      <w:r>
        <w:t>.  For that reason, the ALJ sees no need to address it.</w:t>
      </w:r>
    </w:p>
    <w:p w:rsidR="0006787C" w:rsidRDefault="0006787C" w:rsidP="00457663"/>
    <w:p w:rsidR="00D075F9" w:rsidRDefault="00D075F9" w:rsidP="00D075F9">
      <w:r>
        <w:tab/>
        <w:t xml:space="preserve">WTCPUA </w:t>
      </w:r>
      <w:r w:rsidR="0006787C">
        <w:t xml:space="preserve">also </w:t>
      </w:r>
      <w:r>
        <w:t xml:space="preserve">claims TCMUD 12 is </w:t>
      </w:r>
      <w:r w:rsidRPr="00D075F9">
        <w:t>grossly overstat</w:t>
      </w:r>
      <w:r>
        <w:t xml:space="preserve">ing its </w:t>
      </w:r>
      <w:r w:rsidR="004E5E94">
        <w:t xml:space="preserve">projected </w:t>
      </w:r>
      <w:r>
        <w:t>need for water treatment capacity</w:t>
      </w:r>
      <w:r w:rsidR="00E3787E">
        <w:t xml:space="preserve">.  </w:t>
      </w:r>
      <w:r w:rsidR="002B7C5B">
        <w:t xml:space="preserve">Joseph A. DiQuinzio, Jr. is president of JadCo Management, Inc., which is </w:t>
      </w:r>
      <w:r w:rsidR="002B7C5B">
        <w:lastRenderedPageBreak/>
        <w:t>the general manager of TCMUD 12.</w:t>
      </w:r>
      <w:r w:rsidR="002B7C5B">
        <w:rPr>
          <w:rStyle w:val="FootnoteReference"/>
        </w:rPr>
        <w:footnoteReference w:id="67"/>
      </w:r>
      <w:r w:rsidR="002B7C5B">
        <w:t xml:space="preserve">  </w:t>
      </w:r>
      <w:r w:rsidR="00A215D0">
        <w:t xml:space="preserve">He </w:t>
      </w:r>
      <w:r w:rsidR="002B7C5B">
        <w:t xml:space="preserve">has 32 years of general water supply experience in the geographical area </w:t>
      </w:r>
      <w:r w:rsidR="00A215D0">
        <w:t xml:space="preserve">where </w:t>
      </w:r>
      <w:r w:rsidR="00093EAC">
        <w:t xml:space="preserve">TCMUD 12 </w:t>
      </w:r>
      <w:r w:rsidR="002B7C5B">
        <w:t>serves.</w:t>
      </w:r>
      <w:r w:rsidR="002B7C5B">
        <w:rPr>
          <w:rStyle w:val="FootnoteReference"/>
        </w:rPr>
        <w:footnoteReference w:id="68"/>
      </w:r>
      <w:r w:rsidR="002B7C5B">
        <w:t xml:space="preserve">  </w:t>
      </w:r>
      <w:r w:rsidR="00A215D0">
        <w:t>I</w:t>
      </w:r>
      <w:r w:rsidR="00E3787E" w:rsidRPr="00D075F9">
        <w:t xml:space="preserve">n a discovery response </w:t>
      </w:r>
      <w:r w:rsidR="00A215D0">
        <w:t>for this case, Mr.</w:t>
      </w:r>
      <w:r w:rsidR="00C47495">
        <w:t> </w:t>
      </w:r>
      <w:r w:rsidR="00A215D0">
        <w:t xml:space="preserve">DiQuinzio stated </w:t>
      </w:r>
      <w:r w:rsidR="00E3787E" w:rsidRPr="00D075F9">
        <w:t xml:space="preserve">that the full buildout </w:t>
      </w:r>
      <w:r w:rsidR="00C47495">
        <w:t xml:space="preserve">of </w:t>
      </w:r>
      <w:r w:rsidR="006B6610">
        <w:t>TCMUD</w:t>
      </w:r>
      <w:r w:rsidR="00A73A95">
        <w:t>s</w:t>
      </w:r>
      <w:r w:rsidR="006B6610">
        <w:t xml:space="preserve"> 11, 12, and 13 combined </w:t>
      </w:r>
      <w:r w:rsidR="00E3787E" w:rsidRPr="00D075F9">
        <w:t>is 2,125 LUEs,</w:t>
      </w:r>
      <w:r w:rsidR="00E3787E" w:rsidRPr="00D075F9">
        <w:rPr>
          <w:vertAlign w:val="superscript"/>
        </w:rPr>
        <w:footnoteReference w:id="69"/>
      </w:r>
      <w:r w:rsidR="00E3787E" w:rsidRPr="00D075F9">
        <w:t xml:space="preserve"> but </w:t>
      </w:r>
      <w:r w:rsidR="00E3787E">
        <w:t>at</w:t>
      </w:r>
      <w:r w:rsidR="00E3787E" w:rsidRPr="00D075F9">
        <w:t xml:space="preserve"> the hearing on the merits</w:t>
      </w:r>
      <w:r w:rsidR="00A215D0">
        <w:t xml:space="preserve">, he testified </w:t>
      </w:r>
      <w:r w:rsidR="00E3787E" w:rsidRPr="00D075F9">
        <w:t xml:space="preserve">that </w:t>
      </w:r>
      <w:r w:rsidR="00E3787E">
        <w:t xml:space="preserve">TCMUDs 11, 12, and 13 </w:t>
      </w:r>
      <w:r w:rsidR="00B71573">
        <w:t>“</w:t>
      </w:r>
      <w:r w:rsidR="00E3787E" w:rsidRPr="00D075F9">
        <w:t>at this point are very much unsure as to how quickly they will build out and to what degree they will build out.</w:t>
      </w:r>
      <w:r w:rsidR="00C47495">
        <w:t>”</w:t>
      </w:r>
      <w:r w:rsidR="00E3787E" w:rsidRPr="00D075F9">
        <w:rPr>
          <w:vertAlign w:val="superscript"/>
        </w:rPr>
        <w:footnoteReference w:id="70"/>
      </w:r>
      <w:r w:rsidR="00E3787E">
        <w:t xml:space="preserve">  </w:t>
      </w:r>
      <w:r w:rsidR="00B039E9">
        <w:t xml:space="preserve">TCMUD 12 has never </w:t>
      </w:r>
      <w:r w:rsidR="00A215D0">
        <w:t>served</w:t>
      </w:r>
      <w:r w:rsidR="00B039E9">
        <w:t xml:space="preserve"> close to 2,125 LUEs</w:t>
      </w:r>
      <w:r w:rsidR="00A73A95">
        <w:t xml:space="preserve"> and, as the following table demonstrates, </w:t>
      </w:r>
      <w:r w:rsidR="00B039E9">
        <w:t>the increase in it</w:t>
      </w:r>
      <w:r w:rsidR="00BC0823">
        <w:t>s</w:t>
      </w:r>
      <w:r w:rsidR="00A215D0">
        <w:t xml:space="preserve"> number of customers or connection</w:t>
      </w:r>
      <w:r w:rsidR="00A73A95">
        <w:t>s</w:t>
      </w:r>
      <w:r w:rsidR="00A215D0">
        <w:t xml:space="preserve"> </w:t>
      </w:r>
      <w:r w:rsidR="00B039E9">
        <w:t>has been very modest</w:t>
      </w:r>
      <w:r>
        <w:t>:</w:t>
      </w:r>
    </w:p>
    <w:p w:rsidR="00D075F9" w:rsidRPr="00D075F9" w:rsidRDefault="00D075F9" w:rsidP="00AA0A13">
      <w:pPr>
        <w:keepNext/>
      </w:pPr>
    </w:p>
    <w:tbl>
      <w:tblPr>
        <w:tblStyle w:val="TableGrid"/>
        <w:tblW w:w="0" w:type="auto"/>
        <w:jc w:val="center"/>
        <w:tblLook w:val="04A0" w:firstRow="1" w:lastRow="0" w:firstColumn="1" w:lastColumn="0" w:noHBand="0" w:noVBand="1"/>
      </w:tblPr>
      <w:tblGrid>
        <w:gridCol w:w="1743"/>
        <w:gridCol w:w="2656"/>
      </w:tblGrid>
      <w:tr w:rsidR="00D075F9" w:rsidRPr="00D075F9" w:rsidTr="00D075F9">
        <w:trPr>
          <w:jc w:val="center"/>
        </w:trPr>
        <w:tc>
          <w:tcPr>
            <w:tcW w:w="0" w:type="auto"/>
          </w:tcPr>
          <w:p w:rsidR="00D075F9" w:rsidRPr="00D075F9" w:rsidRDefault="00D075F9" w:rsidP="00AA0A13">
            <w:pPr>
              <w:keepNext/>
              <w:spacing w:line="240" w:lineRule="auto"/>
              <w:rPr>
                <w:b/>
              </w:rPr>
            </w:pPr>
            <w:r>
              <w:rPr>
                <w:b/>
              </w:rPr>
              <w:t>Date</w:t>
            </w:r>
          </w:p>
        </w:tc>
        <w:tc>
          <w:tcPr>
            <w:tcW w:w="0" w:type="auto"/>
          </w:tcPr>
          <w:p w:rsidR="00D075F9" w:rsidRPr="00D075F9" w:rsidRDefault="00D075F9" w:rsidP="00AA0A13">
            <w:pPr>
              <w:keepNext/>
              <w:spacing w:line="240" w:lineRule="auto"/>
              <w:rPr>
                <w:b/>
              </w:rPr>
            </w:pPr>
            <w:r w:rsidRPr="00D075F9">
              <w:rPr>
                <w:b/>
              </w:rPr>
              <w:t>Number of Customers</w:t>
            </w:r>
            <w:r w:rsidRPr="00BC0823">
              <w:rPr>
                <w:vertAlign w:val="superscript"/>
              </w:rPr>
              <w:footnoteReference w:id="71"/>
            </w:r>
          </w:p>
        </w:tc>
      </w:tr>
      <w:tr w:rsidR="00D075F9" w:rsidRPr="00D075F9" w:rsidTr="00D075F9">
        <w:trPr>
          <w:jc w:val="center"/>
        </w:trPr>
        <w:tc>
          <w:tcPr>
            <w:tcW w:w="0" w:type="auto"/>
          </w:tcPr>
          <w:p w:rsidR="00D075F9" w:rsidRPr="00D075F9" w:rsidRDefault="00D075F9" w:rsidP="00AA0A13">
            <w:pPr>
              <w:keepNext/>
              <w:spacing w:line="240" w:lineRule="auto"/>
            </w:pPr>
            <w:r w:rsidRPr="00D075F9">
              <w:t>January 1, 2008</w:t>
            </w:r>
          </w:p>
        </w:tc>
        <w:tc>
          <w:tcPr>
            <w:tcW w:w="0" w:type="auto"/>
          </w:tcPr>
          <w:p w:rsidR="00D075F9" w:rsidRPr="00D075F9" w:rsidRDefault="00D075F9" w:rsidP="00AA0A13">
            <w:pPr>
              <w:keepNext/>
              <w:spacing w:line="240" w:lineRule="auto"/>
            </w:pPr>
            <w:r w:rsidRPr="00D075F9">
              <w:t>0</w:t>
            </w:r>
          </w:p>
        </w:tc>
      </w:tr>
      <w:tr w:rsidR="00D075F9" w:rsidRPr="00D075F9" w:rsidTr="00D075F9">
        <w:trPr>
          <w:jc w:val="center"/>
        </w:trPr>
        <w:tc>
          <w:tcPr>
            <w:tcW w:w="0" w:type="auto"/>
          </w:tcPr>
          <w:p w:rsidR="00D075F9" w:rsidRPr="00D075F9" w:rsidRDefault="00D075F9" w:rsidP="00AA0A13">
            <w:pPr>
              <w:keepNext/>
              <w:spacing w:line="240" w:lineRule="auto"/>
            </w:pPr>
            <w:r w:rsidRPr="00D075F9">
              <w:t>January 1, 2009</w:t>
            </w:r>
          </w:p>
        </w:tc>
        <w:tc>
          <w:tcPr>
            <w:tcW w:w="0" w:type="auto"/>
          </w:tcPr>
          <w:p w:rsidR="00D075F9" w:rsidRPr="00D075F9" w:rsidRDefault="00D075F9" w:rsidP="00AA0A13">
            <w:pPr>
              <w:keepNext/>
              <w:spacing w:line="240" w:lineRule="auto"/>
            </w:pPr>
            <w:r w:rsidRPr="00D075F9">
              <w:t>0</w:t>
            </w:r>
          </w:p>
        </w:tc>
      </w:tr>
      <w:tr w:rsidR="00D075F9" w:rsidRPr="00D075F9" w:rsidTr="00D075F9">
        <w:trPr>
          <w:jc w:val="center"/>
        </w:trPr>
        <w:tc>
          <w:tcPr>
            <w:tcW w:w="0" w:type="auto"/>
          </w:tcPr>
          <w:p w:rsidR="00D075F9" w:rsidRPr="00D075F9" w:rsidRDefault="00D075F9" w:rsidP="00AA0A13">
            <w:pPr>
              <w:keepNext/>
              <w:spacing w:line="240" w:lineRule="auto"/>
            </w:pPr>
            <w:r w:rsidRPr="00D075F9">
              <w:t>January 1, 2010</w:t>
            </w:r>
          </w:p>
        </w:tc>
        <w:tc>
          <w:tcPr>
            <w:tcW w:w="0" w:type="auto"/>
          </w:tcPr>
          <w:p w:rsidR="00D075F9" w:rsidRPr="00D075F9" w:rsidRDefault="00D075F9" w:rsidP="00AA0A13">
            <w:pPr>
              <w:keepNext/>
              <w:spacing w:line="240" w:lineRule="auto"/>
            </w:pPr>
            <w:r w:rsidRPr="00D075F9">
              <w:t>less than 10</w:t>
            </w:r>
          </w:p>
        </w:tc>
      </w:tr>
      <w:tr w:rsidR="00D075F9" w:rsidRPr="00D075F9" w:rsidTr="00D075F9">
        <w:trPr>
          <w:jc w:val="center"/>
        </w:trPr>
        <w:tc>
          <w:tcPr>
            <w:tcW w:w="0" w:type="auto"/>
          </w:tcPr>
          <w:p w:rsidR="00D075F9" w:rsidRPr="00D075F9" w:rsidRDefault="00D075F9" w:rsidP="00AA0A13">
            <w:pPr>
              <w:keepNext/>
              <w:spacing w:line="240" w:lineRule="auto"/>
            </w:pPr>
            <w:r w:rsidRPr="00D075F9">
              <w:t>January 1, 2011</w:t>
            </w:r>
          </w:p>
        </w:tc>
        <w:tc>
          <w:tcPr>
            <w:tcW w:w="0" w:type="auto"/>
          </w:tcPr>
          <w:p w:rsidR="00D075F9" w:rsidRPr="00D075F9" w:rsidRDefault="00D075F9" w:rsidP="00AA0A13">
            <w:pPr>
              <w:keepNext/>
              <w:spacing w:line="240" w:lineRule="auto"/>
            </w:pPr>
            <w:r w:rsidRPr="00D075F9">
              <w:t>10</w:t>
            </w:r>
          </w:p>
        </w:tc>
      </w:tr>
      <w:tr w:rsidR="00D075F9" w:rsidRPr="00D075F9" w:rsidTr="00D075F9">
        <w:trPr>
          <w:jc w:val="center"/>
        </w:trPr>
        <w:tc>
          <w:tcPr>
            <w:tcW w:w="0" w:type="auto"/>
          </w:tcPr>
          <w:p w:rsidR="00D075F9" w:rsidRPr="00D075F9" w:rsidRDefault="00D075F9" w:rsidP="00AA0A13">
            <w:pPr>
              <w:keepNext/>
              <w:spacing w:line="240" w:lineRule="auto"/>
            </w:pPr>
            <w:r w:rsidRPr="00D075F9">
              <w:t>January 1, 2012</w:t>
            </w:r>
          </w:p>
        </w:tc>
        <w:tc>
          <w:tcPr>
            <w:tcW w:w="0" w:type="auto"/>
          </w:tcPr>
          <w:p w:rsidR="00D075F9" w:rsidRPr="00D075F9" w:rsidRDefault="00D075F9" w:rsidP="00AA0A13">
            <w:pPr>
              <w:keepNext/>
              <w:spacing w:line="240" w:lineRule="auto"/>
            </w:pPr>
            <w:r w:rsidRPr="00D075F9">
              <w:t>23</w:t>
            </w:r>
          </w:p>
        </w:tc>
      </w:tr>
      <w:tr w:rsidR="00D075F9" w:rsidRPr="00D075F9" w:rsidTr="00D075F9">
        <w:trPr>
          <w:jc w:val="center"/>
        </w:trPr>
        <w:tc>
          <w:tcPr>
            <w:tcW w:w="0" w:type="auto"/>
          </w:tcPr>
          <w:p w:rsidR="00D075F9" w:rsidRPr="00D075F9" w:rsidRDefault="00D075F9" w:rsidP="00AA0A13">
            <w:pPr>
              <w:keepNext/>
              <w:spacing w:line="240" w:lineRule="auto"/>
            </w:pPr>
            <w:r w:rsidRPr="00D075F9">
              <w:t>January 1, 2013</w:t>
            </w:r>
          </w:p>
        </w:tc>
        <w:tc>
          <w:tcPr>
            <w:tcW w:w="0" w:type="auto"/>
          </w:tcPr>
          <w:p w:rsidR="00D075F9" w:rsidRPr="00D075F9" w:rsidRDefault="00D075F9" w:rsidP="00AA0A13">
            <w:pPr>
              <w:keepNext/>
              <w:spacing w:line="240" w:lineRule="auto"/>
            </w:pPr>
            <w:r w:rsidRPr="00D075F9">
              <w:t>48</w:t>
            </w:r>
          </w:p>
        </w:tc>
      </w:tr>
      <w:tr w:rsidR="00D075F9" w:rsidRPr="00D075F9" w:rsidTr="00D075F9">
        <w:trPr>
          <w:jc w:val="center"/>
        </w:trPr>
        <w:tc>
          <w:tcPr>
            <w:tcW w:w="0" w:type="auto"/>
          </w:tcPr>
          <w:p w:rsidR="00D075F9" w:rsidRPr="00D075F9" w:rsidRDefault="00D075F9" w:rsidP="00AA0A13">
            <w:pPr>
              <w:keepNext/>
              <w:spacing w:line="240" w:lineRule="auto"/>
            </w:pPr>
            <w:r w:rsidRPr="00D075F9">
              <w:t>January 1, 2014</w:t>
            </w:r>
          </w:p>
        </w:tc>
        <w:tc>
          <w:tcPr>
            <w:tcW w:w="0" w:type="auto"/>
          </w:tcPr>
          <w:p w:rsidR="00D075F9" w:rsidRPr="00D075F9" w:rsidRDefault="00D075F9" w:rsidP="00AA0A13">
            <w:pPr>
              <w:keepNext/>
              <w:spacing w:line="240" w:lineRule="auto"/>
            </w:pPr>
            <w:r w:rsidRPr="00D075F9">
              <w:t>132</w:t>
            </w:r>
          </w:p>
        </w:tc>
      </w:tr>
    </w:tbl>
    <w:p w:rsidR="00E3787E" w:rsidRDefault="00E3787E" w:rsidP="00AA0A13">
      <w:pPr>
        <w:keepNext/>
      </w:pPr>
    </w:p>
    <w:p w:rsidR="0006787C" w:rsidRDefault="0006787C" w:rsidP="0006787C">
      <w:r>
        <w:tab/>
        <w:t xml:space="preserve">Given that </w:t>
      </w:r>
      <w:r w:rsidR="008006A6">
        <w:t xml:space="preserve">evidence, </w:t>
      </w:r>
      <w:r>
        <w:t xml:space="preserve">the ALJ concludes that </w:t>
      </w:r>
      <w:r w:rsidR="00E624CA">
        <w:t xml:space="preserve">replacing </w:t>
      </w:r>
      <w:r w:rsidR="001A7A62">
        <w:t xml:space="preserve">all or part of </w:t>
      </w:r>
      <w:r w:rsidR="008006A6">
        <w:t xml:space="preserve">its </w:t>
      </w:r>
      <w:r>
        <w:t xml:space="preserve">reserved </w:t>
      </w:r>
      <w:r w:rsidR="008006A6">
        <w:t>wa</w:t>
      </w:r>
      <w:r w:rsidR="004A5D20">
        <w:t>te</w:t>
      </w:r>
      <w:r w:rsidR="00035FD7">
        <w:t>r</w:t>
      </w:r>
      <w:r w:rsidR="008006A6">
        <w:t xml:space="preserve"> treatment </w:t>
      </w:r>
      <w:r>
        <w:t>capacity in the WTCPUA system was a</w:t>
      </w:r>
      <w:r w:rsidR="00A73A95">
        <w:t xml:space="preserve"> viable</w:t>
      </w:r>
      <w:r>
        <w:t xml:space="preserve"> </w:t>
      </w:r>
      <w:r w:rsidR="008006A6">
        <w:t xml:space="preserve">alternative available to </w:t>
      </w:r>
      <w:r>
        <w:t>TCMUD 12.  TCMUD 12 argu</w:t>
      </w:r>
      <w:r w:rsidR="008006A6">
        <w:t xml:space="preserve">es that the </w:t>
      </w:r>
      <w:r>
        <w:t xml:space="preserve">cost </w:t>
      </w:r>
      <w:r w:rsidR="008006A6">
        <w:t>of that option made it unacceptable.  T</w:t>
      </w:r>
      <w:r>
        <w:t>h</w:t>
      </w:r>
      <w:r w:rsidR="00E624CA">
        <w:t>at</w:t>
      </w:r>
      <w:r>
        <w:t xml:space="preserve"> argument</w:t>
      </w:r>
      <w:r w:rsidR="00E624CA">
        <w:t xml:space="preserve"> i</w:t>
      </w:r>
      <w:r>
        <w:t xml:space="preserve">s considered later in the PFD. </w:t>
      </w:r>
    </w:p>
    <w:p w:rsidR="0006787C" w:rsidRDefault="0006787C" w:rsidP="0006787C"/>
    <w:p w:rsidR="00B67116" w:rsidRDefault="00B67116" w:rsidP="00B67116">
      <w:pPr>
        <w:pStyle w:val="Heading4"/>
      </w:pPr>
      <w:bookmarkStart w:id="15" w:name="_Toc431366934"/>
      <w:r>
        <w:t>Available Alternatives</w:t>
      </w:r>
      <w:bookmarkEnd w:id="15"/>
    </w:p>
    <w:p w:rsidR="00D21CDF" w:rsidRDefault="00D21CDF" w:rsidP="0006787C"/>
    <w:p w:rsidR="00B67116" w:rsidRDefault="00D21CDF" w:rsidP="0006787C">
      <w:r>
        <w:tab/>
        <w:t>TCMUD 12 believes that service from LCRA was its only option when it entered into the Water Services Agreement with LCRA</w:t>
      </w:r>
      <w:r w:rsidR="007E01B6">
        <w:t>,</w:t>
      </w:r>
      <w:r>
        <w:t xml:space="preserve"> and service from WTCPUA was its only option after WTCPUA acquired the West Travis County System from LCRA.  WTCPUA disputes that.</w:t>
      </w:r>
    </w:p>
    <w:p w:rsidR="00D21CDF" w:rsidRDefault="00D21CDF" w:rsidP="00D21CDF"/>
    <w:p w:rsidR="00D21CDF" w:rsidRDefault="00D21CDF" w:rsidP="00D21CDF">
      <w:r>
        <w:tab/>
      </w:r>
      <w:r w:rsidR="00CF3362">
        <w:t xml:space="preserve">The ALJ concludes that building its own facilities to </w:t>
      </w:r>
      <w:r w:rsidR="00CF3362" w:rsidRPr="000E4642">
        <w:t xml:space="preserve">transport, treat, and deliver </w:t>
      </w:r>
      <w:r w:rsidR="00CF3362">
        <w:t>the raw water it purchases from LCRA is a</w:t>
      </w:r>
      <w:r w:rsidR="007E01B6">
        <w:t xml:space="preserve"> viable</w:t>
      </w:r>
      <w:r w:rsidR="00CF3362">
        <w:t xml:space="preserve"> alternative available to </w:t>
      </w:r>
      <w:r w:rsidR="00CF3362" w:rsidRPr="000E4642">
        <w:t>TCMUD 12</w:t>
      </w:r>
      <w:r w:rsidR="00CF3362">
        <w:t xml:space="preserve"> to serve itself and TCMUDs 11 and 13.  </w:t>
      </w:r>
      <w:r>
        <w:t>There is no evidence that TCMUD 12 is legally barred from building its own facilities to treat the raw water it purchases from LCRA to potable standards for its customers and the customers of TCMUD</w:t>
      </w:r>
      <w:r w:rsidR="007E01B6">
        <w:t>s</w:t>
      </w:r>
      <w:r>
        <w:t xml:space="preserve"> 11 and 13 to use.  To the contrary, as </w:t>
      </w:r>
      <w:r w:rsidRPr="00AE2603">
        <w:t>municipal utility district</w:t>
      </w:r>
      <w:r w:rsidR="00CF3362">
        <w:t>s</w:t>
      </w:r>
      <w:r w:rsidRPr="00AE2603">
        <w:t>, TCMUD</w:t>
      </w:r>
      <w:r>
        <w:t>s</w:t>
      </w:r>
      <w:r w:rsidRPr="00AE2603">
        <w:t xml:space="preserve"> </w:t>
      </w:r>
      <w:r w:rsidR="00CF3362">
        <w:t xml:space="preserve">11, </w:t>
      </w:r>
      <w:r>
        <w:t>12, and 13</w:t>
      </w:r>
      <w:r w:rsidRPr="00AE2603">
        <w:t xml:space="preserve"> ha</w:t>
      </w:r>
      <w:r>
        <w:t xml:space="preserve">ve </w:t>
      </w:r>
      <w:r w:rsidRPr="00AE2603">
        <w:t>statutory authority to construct and operate water treatment facilities.</w:t>
      </w:r>
      <w:r w:rsidRPr="00AE2603">
        <w:rPr>
          <w:vertAlign w:val="superscript"/>
        </w:rPr>
        <w:footnoteReference w:id="72"/>
      </w:r>
      <w:r w:rsidRPr="00AE2603">
        <w:t xml:space="preserve">  </w:t>
      </w:r>
      <w:r>
        <w:t>TCMUD 12 claims that building its own facilities is a cost-prohibitive alternative.  Alternative cost arguments are considered later in the PFD.</w:t>
      </w:r>
    </w:p>
    <w:p w:rsidR="00D21CDF" w:rsidRPr="00EB0B92" w:rsidRDefault="00D21CDF" w:rsidP="00D21CDF"/>
    <w:p w:rsidR="003A5B5B" w:rsidRDefault="002B7C5B" w:rsidP="00A91BB1">
      <w:r>
        <w:tab/>
      </w:r>
      <w:r w:rsidR="00CF3362">
        <w:t>On the other hand, t</w:t>
      </w:r>
      <w:r w:rsidR="004457BA">
        <w:t xml:space="preserve">he ALJ </w:t>
      </w:r>
      <w:r w:rsidR="00D21CDF">
        <w:t xml:space="preserve">does not </w:t>
      </w:r>
      <w:r w:rsidR="00A13CE4">
        <w:t>conclude</w:t>
      </w:r>
      <w:r w:rsidR="004457BA">
        <w:t xml:space="preserve"> </w:t>
      </w:r>
      <w:r w:rsidR="00D21CDF">
        <w:t xml:space="preserve">that </w:t>
      </w:r>
      <w:r w:rsidR="004457BA">
        <w:t xml:space="preserve">TCMUD 12 </w:t>
      </w:r>
      <w:r w:rsidR="00D21CDF">
        <w:t xml:space="preserve">has or had other </w:t>
      </w:r>
      <w:r w:rsidR="00465200">
        <w:t xml:space="preserve">available </w:t>
      </w:r>
      <w:r w:rsidR="00D21CDF">
        <w:t>alternatives besides self-service.</w:t>
      </w:r>
      <w:r w:rsidR="004457BA">
        <w:t xml:space="preserve"> </w:t>
      </w:r>
      <w:r w:rsidR="00E75D60">
        <w:t xml:space="preserve"> </w:t>
      </w:r>
      <w:r w:rsidR="000265DB">
        <w:t xml:space="preserve">Mr. </w:t>
      </w:r>
      <w:r w:rsidR="000D4FF9">
        <w:t>DiQuinzio</w:t>
      </w:r>
      <w:r w:rsidR="000265DB">
        <w:t xml:space="preserve"> testified, based on his experience, that </w:t>
      </w:r>
      <w:r w:rsidR="000265DB" w:rsidRPr="00A70850">
        <w:t xml:space="preserve">LCRA </w:t>
      </w:r>
      <w:r w:rsidR="000265DB">
        <w:t>w</w:t>
      </w:r>
      <w:r w:rsidR="000265DB" w:rsidRPr="00A70850">
        <w:t xml:space="preserve">as </w:t>
      </w:r>
      <w:r w:rsidR="000265DB" w:rsidRPr="000265DB">
        <w:t xml:space="preserve">the only water service </w:t>
      </w:r>
      <w:r w:rsidR="000265DB" w:rsidRPr="00A70850">
        <w:t>supplier capable of serving The Highlands</w:t>
      </w:r>
      <w:r w:rsidR="007E01B6">
        <w:t xml:space="preserve"> (TCMUD 12’</w:t>
      </w:r>
      <w:r w:rsidR="00C47495">
        <w:t>s</w:t>
      </w:r>
      <w:r w:rsidR="007E01B6">
        <w:t xml:space="preserve"> service area)</w:t>
      </w:r>
      <w:r w:rsidR="000265DB">
        <w:t>.</w:t>
      </w:r>
      <w:r w:rsidR="000265DB" w:rsidRPr="00A70850">
        <w:rPr>
          <w:vertAlign w:val="superscript"/>
        </w:rPr>
        <w:footnoteReference w:id="73"/>
      </w:r>
      <w:r w:rsidR="000265DB">
        <w:t xml:space="preserve">  He admitted </w:t>
      </w:r>
      <w:r w:rsidR="00A91BB1">
        <w:t>that from 2009 through 2014 no one on behalf of TCMUD 12 met with representatives of a provider of wholesale</w:t>
      </w:r>
      <w:r w:rsidR="000265DB">
        <w:t>, treated-</w:t>
      </w:r>
      <w:r w:rsidR="00A91BB1">
        <w:t xml:space="preserve">water services </w:t>
      </w:r>
      <w:r w:rsidR="000265DB">
        <w:t xml:space="preserve">other than </w:t>
      </w:r>
      <w:r w:rsidR="00A91BB1">
        <w:t xml:space="preserve">LCRA, but </w:t>
      </w:r>
      <w:r w:rsidR="000265DB">
        <w:t xml:space="preserve">he </w:t>
      </w:r>
      <w:r w:rsidR="00A91BB1">
        <w:t xml:space="preserve">insisted that </w:t>
      </w:r>
      <w:r w:rsidR="00B71573">
        <w:t>“</w:t>
      </w:r>
      <w:r w:rsidR="00A91BB1" w:rsidRPr="00B23C21">
        <w:t>there were no other available wholesale water suppliers to meet with.</w:t>
      </w:r>
      <w:r w:rsidR="00B71573">
        <w:t>”</w:t>
      </w:r>
      <w:r w:rsidR="00A91BB1" w:rsidRPr="00B23C21">
        <w:rPr>
          <w:vertAlign w:val="superscript"/>
        </w:rPr>
        <w:footnoteReference w:id="74"/>
      </w:r>
      <w:r w:rsidR="00C26D2C">
        <w:t xml:space="preserve">  </w:t>
      </w:r>
      <w:r w:rsidR="00A91BB1">
        <w:t xml:space="preserve">Apparently, Mr. </w:t>
      </w:r>
      <w:r w:rsidR="000D4FF9">
        <w:t>DiQuinzio</w:t>
      </w:r>
      <w:r w:rsidR="00A91BB1">
        <w:t xml:space="preserve"> was referring</w:t>
      </w:r>
      <w:r w:rsidR="00A060C8">
        <w:t>,</w:t>
      </w:r>
      <w:r w:rsidR="00A91BB1">
        <w:t xml:space="preserve"> </w:t>
      </w:r>
      <w:r w:rsidR="00C26D2C">
        <w:t>in part</w:t>
      </w:r>
      <w:r w:rsidR="00A060C8">
        <w:t>,</w:t>
      </w:r>
      <w:r w:rsidR="00C26D2C">
        <w:t xml:space="preserve"> to the </w:t>
      </w:r>
      <w:r w:rsidR="00A91BB1">
        <w:t xml:space="preserve">time before October 2009 when TCMUD 12 entered into the Water </w:t>
      </w:r>
      <w:r w:rsidR="00A91BB1" w:rsidRPr="00A70850">
        <w:t>Services Agreement</w:t>
      </w:r>
      <w:r w:rsidR="00A91BB1">
        <w:t xml:space="preserve"> with LCRA.</w:t>
      </w:r>
      <w:r w:rsidR="00A91BB1">
        <w:rPr>
          <w:rStyle w:val="FootnoteReference"/>
        </w:rPr>
        <w:footnoteReference w:id="75"/>
      </w:r>
      <w:r w:rsidR="00A91BB1">
        <w:t xml:space="preserve">  As to at least a portion of that time period, WTCPUA apparently agrees with him.  </w:t>
      </w:r>
      <w:r w:rsidR="00A91BB1" w:rsidRPr="007F6998">
        <w:t>WTCPUA</w:t>
      </w:r>
      <w:r w:rsidR="00B71573">
        <w:t>’</w:t>
      </w:r>
      <w:r w:rsidR="00A91BB1">
        <w:t xml:space="preserve">s internet site </w:t>
      </w:r>
      <w:r w:rsidR="00A91BB1" w:rsidRPr="007F6998">
        <w:t>descri</w:t>
      </w:r>
      <w:r w:rsidR="00A91BB1">
        <w:t xml:space="preserve">bes LCRA as </w:t>
      </w:r>
      <w:r w:rsidR="00B71573">
        <w:t>“</w:t>
      </w:r>
      <w:r w:rsidR="00A91BB1">
        <w:t>monopolistic</w:t>
      </w:r>
      <w:r w:rsidR="00B71573">
        <w:t>”</w:t>
      </w:r>
      <w:r w:rsidR="00A91BB1">
        <w:t xml:space="preserve"> in 2007,</w:t>
      </w:r>
      <w:r w:rsidR="00A91BB1" w:rsidRPr="007F6998">
        <w:rPr>
          <w:rStyle w:val="FootnoteReference"/>
        </w:rPr>
        <w:footnoteReference w:id="76"/>
      </w:r>
      <w:r w:rsidR="00A91BB1">
        <w:t xml:space="preserve"> before WTCPUA obtained the West Travis County System from LCRA in 2012.</w:t>
      </w:r>
      <w:r w:rsidR="003A5B5B">
        <w:t xml:space="preserve">  </w:t>
      </w:r>
      <w:r w:rsidR="002F744B">
        <w:t xml:space="preserve">As to the period </w:t>
      </w:r>
      <w:r w:rsidR="000709ED">
        <w:t xml:space="preserve">since early 2012 when WTCPUA assumed operation of the West Travis County System from LCRA, </w:t>
      </w:r>
      <w:r w:rsidR="00A91BB1">
        <w:t xml:space="preserve">Mr. </w:t>
      </w:r>
      <w:r w:rsidR="000D4FF9">
        <w:t>DiQuinzio</w:t>
      </w:r>
      <w:r w:rsidR="00A91BB1">
        <w:t xml:space="preserve"> testified that there is no centralized water treatment plant at </w:t>
      </w:r>
      <w:r w:rsidR="003E13B6">
        <w:t>The Highlands</w:t>
      </w:r>
      <w:r w:rsidR="00E624CA">
        <w:t xml:space="preserve"> that </w:t>
      </w:r>
      <w:r w:rsidR="00A91BB1">
        <w:t xml:space="preserve">might serve as an alternative </w:t>
      </w:r>
      <w:r w:rsidR="00FF3A33">
        <w:t>to the one that WTCPUA now owns</w:t>
      </w:r>
      <w:r w:rsidR="00A060C8">
        <w:t>,</w:t>
      </w:r>
      <w:r w:rsidR="00FF3A33">
        <w:t xml:space="preserve"> and </w:t>
      </w:r>
      <w:r w:rsidR="00A060C8">
        <w:t xml:space="preserve">he </w:t>
      </w:r>
      <w:r w:rsidR="00FF3A33">
        <w:t xml:space="preserve">noted </w:t>
      </w:r>
      <w:r w:rsidR="00A91BB1">
        <w:t>that LCRA considered the possibility of building one and rejected that option between 2008 and 2009.</w:t>
      </w:r>
      <w:r w:rsidR="00A91BB1">
        <w:rPr>
          <w:rStyle w:val="FootnoteReference"/>
        </w:rPr>
        <w:footnoteReference w:id="77"/>
      </w:r>
    </w:p>
    <w:p w:rsidR="003A5B5B" w:rsidRDefault="003A5B5B" w:rsidP="00A91BB1"/>
    <w:p w:rsidR="00A91BB1" w:rsidRDefault="003A5B5B" w:rsidP="00A91BB1">
      <w:r>
        <w:tab/>
      </w:r>
      <w:r w:rsidR="00A91BB1">
        <w:t>WTCPUA responds that TCMUD 12</w:t>
      </w:r>
      <w:r w:rsidR="00B71573">
        <w:t>’</w:t>
      </w:r>
      <w:r w:rsidR="00A91BB1">
        <w:t xml:space="preserve">s evidence concerning alternative </w:t>
      </w:r>
      <w:r w:rsidR="000709ED">
        <w:t xml:space="preserve">providers </w:t>
      </w:r>
      <w:r w:rsidR="00A91BB1">
        <w:t>is conclusory and poorly supported</w:t>
      </w:r>
      <w:r>
        <w:t xml:space="preserve">, </w:t>
      </w:r>
      <w:r w:rsidR="00A91BB1">
        <w:t xml:space="preserve">and TCMUD 12 has failed to adequately explore </w:t>
      </w:r>
      <w:r>
        <w:t xml:space="preserve">possible </w:t>
      </w:r>
      <w:r w:rsidR="00A91BB1">
        <w:t xml:space="preserve">alternatives.  According to WTCPUA, TCMUD 12 had </w:t>
      </w:r>
      <w:r w:rsidR="00A91BB1" w:rsidRPr="00EA7AE0">
        <w:t xml:space="preserve">at least four viable alternatives </w:t>
      </w:r>
      <w:r w:rsidR="00A91BB1">
        <w:t>in 2009</w:t>
      </w:r>
      <w:r w:rsidR="00D021AA">
        <w:t xml:space="preserve"> </w:t>
      </w:r>
      <w:r w:rsidR="00A91BB1">
        <w:t xml:space="preserve">when it entered </w:t>
      </w:r>
      <w:r w:rsidR="00F23167">
        <w:t xml:space="preserve">into </w:t>
      </w:r>
      <w:r w:rsidR="00A91BB1">
        <w:t>the Water Services Agreement with LCRA</w:t>
      </w:r>
      <w:r w:rsidR="00D021AA">
        <w:t xml:space="preserve"> </w:t>
      </w:r>
      <w:r w:rsidR="00A91BB1">
        <w:t xml:space="preserve">and </w:t>
      </w:r>
      <w:r w:rsidR="000F1545">
        <w:t xml:space="preserve">in </w:t>
      </w:r>
      <w:r w:rsidR="00A91BB1" w:rsidRPr="00EA7AE0">
        <w:t>2013</w:t>
      </w:r>
      <w:r w:rsidR="00D021AA">
        <w:t xml:space="preserve"> </w:t>
      </w:r>
      <w:r w:rsidR="00A91BB1">
        <w:t xml:space="preserve">when it entered </w:t>
      </w:r>
      <w:r>
        <w:t xml:space="preserve">into </w:t>
      </w:r>
      <w:r w:rsidR="00A91BB1">
        <w:t>the Transfer Agreement with LCRA and WTCPUA</w:t>
      </w:r>
      <w:r w:rsidR="00A91BB1" w:rsidRPr="00EA7AE0">
        <w:t xml:space="preserve">: </w:t>
      </w:r>
      <w:r w:rsidR="00A91BB1">
        <w:t xml:space="preserve">(1) the City of Austin, (2) </w:t>
      </w:r>
      <w:r w:rsidR="00A91BB1" w:rsidRPr="00EA7AE0">
        <w:t>Lakeway M</w:t>
      </w:r>
      <w:r w:rsidR="00A91BB1">
        <w:t>unicipal Utility District (LMUD)</w:t>
      </w:r>
      <w:r w:rsidR="00A91BB1" w:rsidRPr="00EA7AE0">
        <w:t xml:space="preserve">, </w:t>
      </w:r>
      <w:r w:rsidR="00A91BB1">
        <w:t xml:space="preserve">(3) </w:t>
      </w:r>
      <w:r w:rsidR="00A91BB1" w:rsidRPr="00EA7AE0">
        <w:t xml:space="preserve">Hurst Creek Municipal Utility District (HCMUD), </w:t>
      </w:r>
      <w:r w:rsidR="00A91BB1">
        <w:t xml:space="preserve">and (4) </w:t>
      </w:r>
      <w:r w:rsidR="00A91BB1" w:rsidRPr="00EA7AE0">
        <w:t>TCMUD 12</w:t>
      </w:r>
      <w:r w:rsidR="00D021AA">
        <w:t>,</w:t>
      </w:r>
      <w:r w:rsidR="00A91BB1" w:rsidRPr="00EA7AE0">
        <w:t xml:space="preserve"> itself</w:t>
      </w:r>
      <w:r w:rsidR="00A91BB1">
        <w:t>.</w:t>
      </w:r>
    </w:p>
    <w:p w:rsidR="00A91BB1" w:rsidRDefault="00A91BB1" w:rsidP="00A91BB1"/>
    <w:p w:rsidR="00A91BB1" w:rsidRDefault="00A91BB1" w:rsidP="00A91BB1">
      <w:r>
        <w:tab/>
      </w:r>
      <w:r w:rsidR="00D021AA">
        <w:t>TCMUD 12</w:t>
      </w:r>
      <w:r w:rsidR="00B71573">
        <w:t>’</w:t>
      </w:r>
      <w:r w:rsidR="00D021AA">
        <w:t>s delivery point, near Highway 71 in Travis County, is not in t</w:t>
      </w:r>
      <w:r w:rsidRPr="00BA055B">
        <w:t>he City of Austin</w:t>
      </w:r>
      <w:r w:rsidR="00B71573">
        <w:t>’</w:t>
      </w:r>
      <w:r w:rsidRPr="00BA055B">
        <w:t xml:space="preserve">s </w:t>
      </w:r>
      <w:r w:rsidR="00D021AA">
        <w:t>service area, and Austin</w:t>
      </w:r>
      <w:r w:rsidR="00B71573">
        <w:t>’</w:t>
      </w:r>
      <w:r w:rsidR="00D021AA">
        <w:t xml:space="preserve">s nearest water treatment plant, near </w:t>
      </w:r>
      <w:r>
        <w:t>the intersection of Ranch Road 620 and Ranch to Mar</w:t>
      </w:r>
      <w:r w:rsidR="00F00095">
        <w:t>ket</w:t>
      </w:r>
      <w:r>
        <w:t xml:space="preserve"> Road 2</w:t>
      </w:r>
      <w:r w:rsidR="00F23167">
        <w:t>2</w:t>
      </w:r>
      <w:r>
        <w:t xml:space="preserve">22, </w:t>
      </w:r>
      <w:r w:rsidR="00F23167">
        <w:t xml:space="preserve">is </w:t>
      </w:r>
      <w:r w:rsidR="00B71573">
        <w:t>“</w:t>
      </w:r>
      <w:r w:rsidR="00F23167">
        <w:t>extremely far</w:t>
      </w:r>
      <w:r w:rsidR="00B71573">
        <w:t>”</w:t>
      </w:r>
      <w:r w:rsidRPr="00BA055B">
        <w:t xml:space="preserve"> from </w:t>
      </w:r>
      <w:r>
        <w:t>TCMUD 12</w:t>
      </w:r>
      <w:r w:rsidR="00B71573">
        <w:t>’</w:t>
      </w:r>
      <w:r>
        <w:t>s point of delivery</w:t>
      </w:r>
      <w:r w:rsidRPr="00BA055B">
        <w:t>.</w:t>
      </w:r>
      <w:r w:rsidRPr="00BA055B">
        <w:rPr>
          <w:rStyle w:val="FootnoteReference"/>
        </w:rPr>
        <w:footnoteReference w:id="78"/>
      </w:r>
      <w:r>
        <w:t xml:space="preserve">  The ALJ concludes that service from the City of Austin is not a</w:t>
      </w:r>
      <w:r w:rsidR="000F1545">
        <w:t xml:space="preserve"> realistic </w:t>
      </w:r>
      <w:r>
        <w:t xml:space="preserve">alternative </w:t>
      </w:r>
      <w:r w:rsidR="00F00095">
        <w:t>available to</w:t>
      </w:r>
      <w:r>
        <w:t xml:space="preserve"> </w:t>
      </w:r>
      <w:r w:rsidR="007E01B6">
        <w:t>TCMUDs 11</w:t>
      </w:r>
      <w:r>
        <w:t>, 12, and 13.</w:t>
      </w:r>
    </w:p>
    <w:p w:rsidR="00A91BB1" w:rsidRDefault="00A91BB1" w:rsidP="00A91BB1"/>
    <w:p w:rsidR="00A91BB1" w:rsidRDefault="00A91BB1" w:rsidP="00A91BB1">
      <w:r>
        <w:tab/>
        <w:t xml:space="preserve">TCMUD 11, </w:t>
      </w:r>
      <w:r w:rsidR="00982F5E">
        <w:t xml:space="preserve">on whose behalf TCMUD 12 has also </w:t>
      </w:r>
      <w:r>
        <w:t>petitione</w:t>
      </w:r>
      <w:r w:rsidR="00982F5E">
        <w:t>d</w:t>
      </w:r>
      <w:r>
        <w:t>, obtains wholesale water and treatment services</w:t>
      </w:r>
      <w:r w:rsidR="00F23167">
        <w:t xml:space="preserve"> </w:t>
      </w:r>
      <w:r>
        <w:t>to serve Rough Hollow from LMUD under a contract.</w:t>
      </w:r>
      <w:r>
        <w:rPr>
          <w:rStyle w:val="FootnoteReference"/>
        </w:rPr>
        <w:footnoteReference w:id="79"/>
      </w:r>
      <w:r>
        <w:t xml:space="preserve">  The contract limits service to 362,500 g</w:t>
      </w:r>
      <w:r w:rsidR="00982F5E">
        <w:t>pd</w:t>
      </w:r>
      <w:r>
        <w:t>.</w:t>
      </w:r>
      <w:r>
        <w:rPr>
          <w:rStyle w:val="FootnoteReference"/>
        </w:rPr>
        <w:footnoteReference w:id="80"/>
      </w:r>
      <w:r>
        <w:t xml:space="preserve">  </w:t>
      </w:r>
      <w:r w:rsidRPr="00BA15FE">
        <w:t>Mr. DiQuinzio is the general manager of TCMUD 11.</w:t>
      </w:r>
      <w:r w:rsidRPr="00BA15FE">
        <w:rPr>
          <w:vertAlign w:val="superscript"/>
        </w:rPr>
        <w:footnoteReference w:id="81"/>
      </w:r>
      <w:r w:rsidRPr="00BA15FE">
        <w:t xml:space="preserve">  </w:t>
      </w:r>
      <w:r w:rsidR="00A060C8">
        <w:t>Based on his routine dealings with LMUD, h</w:t>
      </w:r>
      <w:r>
        <w:t>e testified</w:t>
      </w:r>
      <w:r w:rsidR="00A060C8">
        <w:t>,</w:t>
      </w:r>
      <w:r>
        <w:t xml:space="preserve"> that there is no possibility of obtaining additional water service capacity from LMUD to </w:t>
      </w:r>
      <w:r w:rsidR="00A060C8">
        <w:t xml:space="preserve">serve </w:t>
      </w:r>
      <w:r>
        <w:t>The Highlands.</w:t>
      </w:r>
      <w:r>
        <w:rPr>
          <w:rStyle w:val="FootnoteReference"/>
        </w:rPr>
        <w:footnoteReference w:id="82"/>
      </w:r>
      <w:r>
        <w:t xml:space="preserve">  Additionally, he testified that the Rough Hollow Area, served by TCMUD 11, is not hydrologically connected to The Highlands area, served by TCMUD 12.</w:t>
      </w:r>
      <w:r>
        <w:rPr>
          <w:rStyle w:val="FootnoteReference"/>
        </w:rPr>
        <w:footnoteReference w:id="83"/>
      </w:r>
      <w:r>
        <w:t xml:space="preserve">  There is a 12-inch, emergency interconnection between the MUDs, but Mr. DiQuinzio testified that it is </w:t>
      </w:r>
      <w:r w:rsidR="00B71573">
        <w:t>“</w:t>
      </w:r>
      <w:r>
        <w:t>valved off</w:t>
      </w:r>
      <w:r w:rsidR="00A060C8">
        <w:t>,</w:t>
      </w:r>
      <w:r w:rsidR="00B71573">
        <w:t>”</w:t>
      </w:r>
      <w:r>
        <w:t xml:space="preserve"> and LMUD has refused permission to open that interconnection.</w:t>
      </w:r>
      <w:r>
        <w:rPr>
          <w:rStyle w:val="FootnoteReference"/>
        </w:rPr>
        <w:footnoteReference w:id="84"/>
      </w:r>
    </w:p>
    <w:p w:rsidR="00A91BB1" w:rsidRDefault="00A91BB1" w:rsidP="00A91BB1"/>
    <w:p w:rsidR="00A91BB1" w:rsidRDefault="00A91BB1" w:rsidP="00A91BB1">
      <w:r>
        <w:tab/>
        <w:t>Moreo</w:t>
      </w:r>
      <w:r w:rsidR="00C47495">
        <w:t>ver, other evidence shows why L</w:t>
      </w:r>
      <w:r>
        <w:t>MUD is not</w:t>
      </w:r>
      <w:r w:rsidR="00B62E04">
        <w:t xml:space="preserve">, </w:t>
      </w:r>
      <w:r>
        <w:t>and HCMUD likely would not be</w:t>
      </w:r>
      <w:r w:rsidR="00B62E04">
        <w:t xml:space="preserve">, </w:t>
      </w:r>
      <w:r>
        <w:t>willing to provide treated water to TCMUD 11 or 12.  HCMUD, LMUD, TCMUD 11, and a homeowners association</w:t>
      </w:r>
      <w:r w:rsidR="00B62E04">
        <w:t xml:space="preserve">, </w:t>
      </w:r>
      <w:r w:rsidRPr="00237A82">
        <w:t>Lakeway Rough Hollow South Community, Inc.</w:t>
      </w:r>
      <w:r w:rsidR="00B62E04">
        <w:t>,</w:t>
      </w:r>
      <w:r w:rsidRPr="00237A82">
        <w:rPr>
          <w:vertAlign w:val="superscript"/>
        </w:rPr>
        <w:footnoteReference w:id="85"/>
      </w:r>
      <w:r w:rsidR="00B62E04">
        <w:t xml:space="preserve"> </w:t>
      </w:r>
      <w:r>
        <w:t xml:space="preserve">purchased the </w:t>
      </w:r>
      <w:r w:rsidRPr="00237A82">
        <w:t xml:space="preserve">Lakeway Regional Raw Water Transportation System </w:t>
      </w:r>
      <w:r>
        <w:t xml:space="preserve">(Lakeway Regional System) </w:t>
      </w:r>
      <w:r w:rsidRPr="00237A82">
        <w:t>from LCRA in 2011.</w:t>
      </w:r>
      <w:r w:rsidRPr="00237A82">
        <w:rPr>
          <w:vertAlign w:val="superscript"/>
        </w:rPr>
        <w:footnoteReference w:id="86"/>
      </w:r>
      <w:r w:rsidRPr="00237A82">
        <w:t xml:space="preserve">  </w:t>
      </w:r>
      <w:r>
        <w:t xml:space="preserve">They </w:t>
      </w:r>
      <w:r w:rsidRPr="00237A82">
        <w:t xml:space="preserve">purchased the </w:t>
      </w:r>
      <w:r>
        <w:t>s</w:t>
      </w:r>
      <w:r w:rsidRPr="00237A82">
        <w:t>ystem because LCRA was divesting itself of a variety of water and sewer system infrastructures</w:t>
      </w:r>
      <w:r w:rsidR="00A060C8">
        <w:t xml:space="preserve">, including the </w:t>
      </w:r>
      <w:r w:rsidRPr="00237A82">
        <w:t xml:space="preserve">West Travis County </w:t>
      </w:r>
      <w:r>
        <w:t xml:space="preserve">System </w:t>
      </w:r>
      <w:r w:rsidR="00A060C8">
        <w:t xml:space="preserve">that LCRA sold </w:t>
      </w:r>
      <w:r>
        <w:t>to WTCPUA.</w:t>
      </w:r>
      <w:r w:rsidR="00A060C8" w:rsidRPr="00237A82">
        <w:rPr>
          <w:vertAlign w:val="superscript"/>
        </w:rPr>
        <w:footnoteReference w:id="87"/>
      </w:r>
      <w:r>
        <w:t xml:space="preserve">  </w:t>
      </w:r>
      <w:r w:rsidRPr="00237A82">
        <w:t xml:space="preserve">The </w:t>
      </w:r>
      <w:r>
        <w:t>o</w:t>
      </w:r>
      <w:r w:rsidRPr="00237A82">
        <w:t xml:space="preserve">wners of the Lakeway </w:t>
      </w:r>
      <w:r>
        <w:t xml:space="preserve">Regional </w:t>
      </w:r>
      <w:r w:rsidR="00A060C8">
        <w:t xml:space="preserve">System </w:t>
      </w:r>
      <w:r w:rsidRPr="00237A82">
        <w:t>entered into an operating agreement</w:t>
      </w:r>
      <w:r w:rsidRPr="00237A82">
        <w:rPr>
          <w:vertAlign w:val="superscript"/>
        </w:rPr>
        <w:footnoteReference w:id="88"/>
      </w:r>
      <w:r w:rsidRPr="00237A82">
        <w:t xml:space="preserve"> </w:t>
      </w:r>
      <w:r>
        <w:t xml:space="preserve">that </w:t>
      </w:r>
      <w:r w:rsidRPr="00237A82">
        <w:t xml:space="preserve">reflects the capacity of the existing system at an average lake level of 640 msl, </w:t>
      </w:r>
      <w:r w:rsidR="00B62E04">
        <w:t xml:space="preserve">and </w:t>
      </w:r>
      <w:r w:rsidRPr="00237A82">
        <w:t>the four owners</w:t>
      </w:r>
      <w:r w:rsidR="00B71573">
        <w:t>’</w:t>
      </w:r>
      <w:r w:rsidRPr="00237A82">
        <w:t xml:space="preserve"> percentage share</w:t>
      </w:r>
      <w:r w:rsidR="002877A3">
        <w:t>s</w:t>
      </w:r>
      <w:r w:rsidRPr="00237A82">
        <w:t xml:space="preserve"> of the system</w:t>
      </w:r>
      <w:r>
        <w:t>.</w:t>
      </w:r>
      <w:r w:rsidRPr="00237A82">
        <w:rPr>
          <w:vertAlign w:val="superscript"/>
        </w:rPr>
        <w:footnoteReference w:id="89"/>
      </w:r>
    </w:p>
    <w:p w:rsidR="00A91BB1" w:rsidRDefault="00A91BB1" w:rsidP="00A91BB1"/>
    <w:p w:rsidR="00A91BB1" w:rsidRDefault="00A91BB1" w:rsidP="00A91BB1">
      <w:r>
        <w:tab/>
      </w:r>
      <w:r w:rsidRPr="00237A82">
        <w:t xml:space="preserve">Mr. DiQuinzio is </w:t>
      </w:r>
      <w:r>
        <w:t>very familiar with the Lakeway Regional System and its ownership and operating agreement because he is the general m</w:t>
      </w:r>
      <w:r w:rsidRPr="00237A82">
        <w:t xml:space="preserve">anager of TCMUD 11, and </w:t>
      </w:r>
      <w:r>
        <w:t>signed the related contracts.</w:t>
      </w:r>
      <w:r>
        <w:rPr>
          <w:rStyle w:val="FootnoteReference"/>
        </w:rPr>
        <w:footnoteReference w:id="90"/>
      </w:r>
      <w:r>
        <w:t xml:space="preserve">  </w:t>
      </w:r>
      <w:r w:rsidRPr="00237A82">
        <w:t xml:space="preserve">The </w:t>
      </w:r>
      <w:r>
        <w:t>s</w:t>
      </w:r>
      <w:r w:rsidRPr="00237A82">
        <w:t xml:space="preserve">ystem consists of facilities </w:t>
      </w:r>
      <w:r>
        <w:t>for withdrawing raw water from Lake Travis, which the system</w:t>
      </w:r>
      <w:r w:rsidR="00B71573">
        <w:t>’</w:t>
      </w:r>
      <w:r>
        <w:t xml:space="preserve">s </w:t>
      </w:r>
      <w:r w:rsidRPr="00237A82">
        <w:t xml:space="preserve">four </w:t>
      </w:r>
      <w:r>
        <w:t xml:space="preserve">owners </w:t>
      </w:r>
      <w:r w:rsidRPr="00237A82">
        <w:t xml:space="preserve">separately </w:t>
      </w:r>
      <w:r>
        <w:t xml:space="preserve">purchase </w:t>
      </w:r>
      <w:r w:rsidRPr="00237A82">
        <w:t>from LCRA</w:t>
      </w:r>
      <w:r>
        <w:t>,</w:t>
      </w:r>
      <w:r w:rsidRPr="00237A82">
        <w:t xml:space="preserve"> </w:t>
      </w:r>
      <w:r>
        <w:t>and transporting that water to the owners.</w:t>
      </w:r>
      <w:r w:rsidRPr="00237A82">
        <w:rPr>
          <w:vertAlign w:val="superscript"/>
        </w:rPr>
        <w:footnoteReference w:id="91"/>
      </w:r>
      <w:r w:rsidRPr="00237A82">
        <w:t xml:space="preserve">  The </w:t>
      </w:r>
      <w:r>
        <w:t>s</w:t>
      </w:r>
      <w:r w:rsidRPr="00237A82">
        <w:t>ystem does not include any water treatment facilities.</w:t>
      </w:r>
      <w:r>
        <w:t xml:space="preserve">  Except for the indirect connection through LMUD discussed above, t</w:t>
      </w:r>
      <w:r w:rsidRPr="00237A82">
        <w:t xml:space="preserve">he </w:t>
      </w:r>
      <w:r>
        <w:t>Lakeway Regional S</w:t>
      </w:r>
      <w:r w:rsidRPr="00237A82">
        <w:t>ystem is not connected to any facilities that would allow it to serve The Highlands.</w:t>
      </w:r>
      <w:r w:rsidRPr="00237A82">
        <w:rPr>
          <w:vertAlign w:val="superscript"/>
        </w:rPr>
        <w:footnoteReference w:id="92"/>
      </w:r>
      <w:r>
        <w:t xml:space="preserve">  The system </w:t>
      </w:r>
      <w:r w:rsidRPr="00237A82">
        <w:t xml:space="preserve">provides raw water for the </w:t>
      </w:r>
      <w:r>
        <w:t xml:space="preserve">Rough Hollow </w:t>
      </w:r>
      <w:r w:rsidRPr="00237A82">
        <w:t xml:space="preserve">portion of TCMUD 11 </w:t>
      </w:r>
      <w:r>
        <w:t xml:space="preserve">and </w:t>
      </w:r>
      <w:r w:rsidRPr="00237A82">
        <w:t>transport</w:t>
      </w:r>
      <w:r>
        <w:t xml:space="preserve">s it to </w:t>
      </w:r>
      <w:r w:rsidRPr="00237A82">
        <w:t>LMUD</w:t>
      </w:r>
      <w:r w:rsidR="00B71573">
        <w:t>’</w:t>
      </w:r>
      <w:r w:rsidRPr="00237A82">
        <w:t>s water services facilities</w:t>
      </w:r>
      <w:r>
        <w:t xml:space="preserve"> for treatment</w:t>
      </w:r>
      <w:r w:rsidRPr="00237A82">
        <w:t>.</w:t>
      </w:r>
      <w:r w:rsidRPr="00237A82">
        <w:rPr>
          <w:vertAlign w:val="superscript"/>
        </w:rPr>
        <w:footnoteReference w:id="93"/>
      </w:r>
      <w:r w:rsidRPr="00237A82">
        <w:t xml:space="preserve">  </w:t>
      </w:r>
    </w:p>
    <w:p w:rsidR="00A91BB1" w:rsidRPr="00237A82" w:rsidRDefault="00A91BB1" w:rsidP="00A91BB1"/>
    <w:p w:rsidR="00A91BB1" w:rsidRDefault="00A91BB1" w:rsidP="00A91BB1">
      <w:r>
        <w:lastRenderedPageBreak/>
        <w:tab/>
      </w:r>
      <w:r w:rsidRPr="00237A82">
        <w:t>Mr. DiQuinzio</w:t>
      </w:r>
      <w:r>
        <w:t xml:space="preserve"> testified that there are many impediments to TCMUD 12 using the Lakeway Regional System to serve </w:t>
      </w:r>
      <w:r w:rsidR="005C3C79">
        <w:t xml:space="preserve">The </w:t>
      </w:r>
      <w:r>
        <w:t>Highlands.</w:t>
      </w:r>
      <w:r w:rsidRPr="00237A82">
        <w:rPr>
          <w:vertAlign w:val="superscript"/>
        </w:rPr>
        <w:t xml:space="preserve"> </w:t>
      </w:r>
      <w:r w:rsidRPr="00237A82">
        <w:rPr>
          <w:vertAlign w:val="superscript"/>
        </w:rPr>
        <w:footnoteReference w:id="94"/>
      </w:r>
      <w:r>
        <w:t xml:space="preserve">  </w:t>
      </w:r>
      <w:r w:rsidRPr="00237A82">
        <w:t>TCMUD 12 is not an owner</w:t>
      </w:r>
      <w:r>
        <w:t>,</w:t>
      </w:r>
      <w:r>
        <w:rPr>
          <w:rStyle w:val="FootnoteReference"/>
        </w:rPr>
        <w:footnoteReference w:id="95"/>
      </w:r>
      <w:r w:rsidRPr="00237A82">
        <w:t xml:space="preserve"> and </w:t>
      </w:r>
      <w:r>
        <w:t>there is no evidence that it has any r</w:t>
      </w:r>
      <w:r w:rsidRPr="00237A82">
        <w:t>ight</w:t>
      </w:r>
      <w:r>
        <w:t xml:space="preserve"> to water from </w:t>
      </w:r>
      <w:r w:rsidRPr="00237A82">
        <w:t xml:space="preserve">the </w:t>
      </w:r>
      <w:r>
        <w:t>s</w:t>
      </w:r>
      <w:r w:rsidRPr="00237A82">
        <w:t xml:space="preserve">ystem.  </w:t>
      </w:r>
      <w:r w:rsidRPr="00CD1669">
        <w:t>TCMUD 11</w:t>
      </w:r>
      <w:r w:rsidR="00B71573">
        <w:t>’</w:t>
      </w:r>
      <w:r w:rsidRPr="00CD1669">
        <w:t xml:space="preserve">s ownership interest is only 2%, representing only 0.144 </w:t>
      </w:r>
      <w:r w:rsidR="00A060C8">
        <w:t>million gallons per day (</w:t>
      </w:r>
      <w:r w:rsidR="001723BE">
        <w:t>mgd</w:t>
      </w:r>
      <w:r w:rsidR="00A060C8">
        <w:t>)</w:t>
      </w:r>
      <w:r w:rsidRPr="00CD1669">
        <w:t xml:space="preserve"> at an average lake level of 640 msl, which would be insufficient as an alternative to the 3.98 </w:t>
      </w:r>
      <w:r w:rsidR="00B62E04">
        <w:t xml:space="preserve">mgd of treatment service that </w:t>
      </w:r>
      <w:r w:rsidRPr="00CD1669">
        <w:t>WTCPUA is obligated to provide to TCMUD 12.</w:t>
      </w:r>
      <w:r w:rsidRPr="00CD1669">
        <w:rPr>
          <w:rStyle w:val="FootnoteReference"/>
        </w:rPr>
        <w:footnoteReference w:id="96"/>
      </w:r>
      <w:r>
        <w:t xml:space="preserve">  The system owners would have to consent to TCMUD 12</w:t>
      </w:r>
      <w:r w:rsidR="00B71573">
        <w:t>’</w:t>
      </w:r>
      <w:r>
        <w:t xml:space="preserve">s use of the system, </w:t>
      </w:r>
      <w:r w:rsidRPr="00CD1669">
        <w:t xml:space="preserve">and if </w:t>
      </w:r>
      <w:r>
        <w:t xml:space="preserve">any </w:t>
      </w:r>
      <w:r w:rsidRPr="00CD1669">
        <w:t>owner wanted to sell some of its capacity</w:t>
      </w:r>
      <w:r>
        <w:t xml:space="preserve">, the </w:t>
      </w:r>
      <w:r w:rsidRPr="00CD1669">
        <w:t xml:space="preserve">other owners </w:t>
      </w:r>
      <w:r>
        <w:t xml:space="preserve">would have a </w:t>
      </w:r>
      <w:r w:rsidRPr="00CD1669">
        <w:t>right of first refusal to purchase that capacity</w:t>
      </w:r>
      <w:r>
        <w:t>.</w:t>
      </w:r>
      <w:r w:rsidRPr="00CD1669">
        <w:rPr>
          <w:rStyle w:val="FootnoteReference"/>
        </w:rPr>
        <w:footnoteReference w:id="97"/>
      </w:r>
    </w:p>
    <w:p w:rsidR="00A91BB1" w:rsidRDefault="00A91BB1" w:rsidP="00A91BB1"/>
    <w:p w:rsidR="00A91BB1" w:rsidRDefault="00A91BB1" w:rsidP="00A91BB1">
      <w:r>
        <w:tab/>
        <w:t>T</w:t>
      </w:r>
      <w:r w:rsidRPr="00CD1669">
        <w:t xml:space="preserve">he entire capacity </w:t>
      </w:r>
      <w:r>
        <w:t xml:space="preserve">of </w:t>
      </w:r>
      <w:r w:rsidRPr="00CD1669">
        <w:t xml:space="preserve">the </w:t>
      </w:r>
      <w:r>
        <w:t xml:space="preserve">floating </w:t>
      </w:r>
      <w:r w:rsidRPr="00CD1669">
        <w:t xml:space="preserve">barge </w:t>
      </w:r>
      <w:r>
        <w:t xml:space="preserve">that the Lakeway Regional System uses to withdraw raw water </w:t>
      </w:r>
      <w:r w:rsidRPr="00CD1669">
        <w:t xml:space="preserve">is </w:t>
      </w:r>
      <w:r>
        <w:t xml:space="preserve">allocated to and </w:t>
      </w:r>
      <w:r w:rsidRPr="00CD1669">
        <w:t xml:space="preserve">needed by the </w:t>
      </w:r>
      <w:r>
        <w:t xml:space="preserve">system </w:t>
      </w:r>
      <w:r w:rsidRPr="00CD1669">
        <w:t>owners to transport raw water</w:t>
      </w:r>
      <w:r>
        <w:t xml:space="preserve"> to them because they have no other access to raw water.</w:t>
      </w:r>
      <w:r w:rsidRPr="00CD1669">
        <w:rPr>
          <w:rStyle w:val="FootnoteReference"/>
        </w:rPr>
        <w:footnoteReference w:id="98"/>
      </w:r>
      <w:r>
        <w:t xml:space="preserve">  U</w:t>
      </w:r>
      <w:r w:rsidRPr="00CD1669">
        <w:t xml:space="preserve">nder drought conditions, the effective capacity of the </w:t>
      </w:r>
      <w:r>
        <w:t xml:space="preserve">barge </w:t>
      </w:r>
      <w:r w:rsidRPr="00CD1669">
        <w:t xml:space="preserve">drops with the lake levels, and to achieve greater capacity, the barge would have to be moved farther out into the Lake, which </w:t>
      </w:r>
      <w:r>
        <w:t xml:space="preserve">would be physically limited </w:t>
      </w:r>
      <w:r w:rsidRPr="00CD1669">
        <w:t>and cost</w:t>
      </w:r>
      <w:r>
        <w:t>ly.</w:t>
      </w:r>
      <w:r w:rsidRPr="00CD1669">
        <w:rPr>
          <w:rStyle w:val="FootnoteReference"/>
        </w:rPr>
        <w:footnoteReference w:id="99"/>
      </w:r>
      <w:r>
        <w:t xml:space="preserve">  It is true that </w:t>
      </w:r>
      <w:r w:rsidRPr="00CD1669">
        <w:t xml:space="preserve">the </w:t>
      </w:r>
      <w:r>
        <w:t xml:space="preserve">Lakeway Regional </w:t>
      </w:r>
      <w:r w:rsidRPr="00CD1669">
        <w:t>System is designed to achieve a capacity of 9</w:t>
      </w:r>
      <w:r w:rsidR="001723BE">
        <w:t>.0</w:t>
      </w:r>
      <w:r w:rsidRPr="00CD1669">
        <w:t xml:space="preserve"> </w:t>
      </w:r>
      <w:r w:rsidR="001723BE">
        <w:t>mgd</w:t>
      </w:r>
      <w:r w:rsidRPr="00CD1669">
        <w:t xml:space="preserve"> by adding two raw water pumps with associated electrical and other upgrades and improvements to the </w:t>
      </w:r>
      <w:r>
        <w:t>s</w:t>
      </w:r>
      <w:r w:rsidRPr="00CD1669">
        <w:t>ystem; however, the barge may not be structurally capable of adding pumps without significant capital improvements</w:t>
      </w:r>
      <w:r>
        <w:t xml:space="preserve">, which may </w:t>
      </w:r>
      <w:r w:rsidRPr="00CD1669">
        <w:t>not be possible due to low lake levels.</w:t>
      </w:r>
      <w:r w:rsidRPr="00F004AE">
        <w:rPr>
          <w:rStyle w:val="FootnoteReference"/>
        </w:rPr>
        <w:footnoteReference w:id="100"/>
      </w:r>
    </w:p>
    <w:p w:rsidR="00A91BB1" w:rsidRPr="00CD1669" w:rsidRDefault="00A91BB1" w:rsidP="00A91BB1">
      <w:pPr>
        <w:pStyle w:val="ListParagraph"/>
        <w:ind w:left="0"/>
      </w:pPr>
    </w:p>
    <w:p w:rsidR="00FE2C4A" w:rsidRDefault="00A91BB1" w:rsidP="00EB0B92">
      <w:r>
        <w:tab/>
        <w:t xml:space="preserve">Even if TCMUD 12 could obtain its raw water through the Lakeway Regional System, the water would not be </w:t>
      </w:r>
      <w:r w:rsidRPr="00237A82">
        <w:t>potable</w:t>
      </w:r>
      <w:r>
        <w:t>,</w:t>
      </w:r>
      <w:r w:rsidRPr="00237A82">
        <w:t xml:space="preserve"> </w:t>
      </w:r>
      <w:r>
        <w:t xml:space="preserve">like the water treated and delivered to TCMUD 12 by </w:t>
      </w:r>
      <w:r w:rsidR="00D87867">
        <w:t>W</w:t>
      </w:r>
      <w:r w:rsidR="003E13B6">
        <w:t>T</w:t>
      </w:r>
      <w:r w:rsidR="00D87867">
        <w:t>CPUA</w:t>
      </w:r>
      <w:r>
        <w:t xml:space="preserve">.  LMUD, HCMUD, or TCMUD 12 would still need </w:t>
      </w:r>
      <w:r w:rsidRPr="00237A82">
        <w:t xml:space="preserve">a </w:t>
      </w:r>
      <w:r>
        <w:t xml:space="preserve">water </w:t>
      </w:r>
      <w:r w:rsidRPr="00237A82">
        <w:t xml:space="preserve">transmission system, treatment plant, and storage facility </w:t>
      </w:r>
      <w:r>
        <w:t xml:space="preserve">to </w:t>
      </w:r>
      <w:r w:rsidRPr="00237A82">
        <w:t xml:space="preserve">provide </w:t>
      </w:r>
      <w:r>
        <w:t xml:space="preserve">potable water to </w:t>
      </w:r>
      <w:r w:rsidR="003E13B6">
        <w:t>The Highlands</w:t>
      </w:r>
      <w:r w:rsidRPr="00237A82">
        <w:t>.</w:t>
      </w:r>
      <w:r w:rsidRPr="00237A82">
        <w:rPr>
          <w:vertAlign w:val="superscript"/>
        </w:rPr>
        <w:footnoteReference w:id="101"/>
      </w:r>
      <w:r>
        <w:t xml:space="preserve">  There is no </w:t>
      </w:r>
      <w:r>
        <w:lastRenderedPageBreak/>
        <w:t xml:space="preserve">evidence that HCMUD or LMUD would be willing to take on that responsibility, cost, and risk.  Given the hosts of problems and obstacles, the ALJ concludes that LMUD and HCMUD are not alternatives </w:t>
      </w:r>
      <w:r w:rsidR="001723BE">
        <w:t xml:space="preserve">available </w:t>
      </w:r>
      <w:r>
        <w:t xml:space="preserve">to </w:t>
      </w:r>
      <w:r w:rsidR="007E01B6">
        <w:t>TCMUDs 11</w:t>
      </w:r>
      <w:r w:rsidR="00F27EB2">
        <w:t xml:space="preserve">, 12, and 13 </w:t>
      </w:r>
      <w:r w:rsidR="00304D66">
        <w:t>for w</w:t>
      </w:r>
      <w:r>
        <w:t>ater treatment services.</w:t>
      </w:r>
    </w:p>
    <w:p w:rsidR="002877A3" w:rsidRDefault="002877A3" w:rsidP="00F27EB2"/>
    <w:p w:rsidR="00EB0B92" w:rsidRDefault="00465200" w:rsidP="003F5A07">
      <w:pPr>
        <w:pStyle w:val="Heading4"/>
      </w:pPr>
      <w:bookmarkStart w:id="16" w:name="_Toc431366935"/>
      <w:r>
        <w:t>Costs of Alternatives</w:t>
      </w:r>
      <w:bookmarkEnd w:id="16"/>
    </w:p>
    <w:p w:rsidR="003644CC" w:rsidRDefault="003644CC" w:rsidP="003644CC"/>
    <w:p w:rsidR="00BD142F" w:rsidRDefault="00BD142F" w:rsidP="003644CC">
      <w:r>
        <w:tab/>
      </w:r>
      <w:r w:rsidR="00A060C8">
        <w:t>Next</w:t>
      </w:r>
      <w:r w:rsidR="00C75591">
        <w:t>,</w:t>
      </w:r>
      <w:r w:rsidR="002575DD">
        <w:t xml:space="preserve"> </w:t>
      </w:r>
      <w:r>
        <w:t xml:space="preserve">the ALJ examines the costs associated with the two </w:t>
      </w:r>
      <w:r w:rsidR="00DF5D95">
        <w:t xml:space="preserve">intertwined </w:t>
      </w:r>
      <w:r>
        <w:t>alternatives available to TCMUD 12: (1) red</w:t>
      </w:r>
      <w:r w:rsidR="00302EF0">
        <w:t xml:space="preserve">ucing its </w:t>
      </w:r>
      <w:r w:rsidR="00A060C8">
        <w:t xml:space="preserve">treatment </w:t>
      </w:r>
      <w:r w:rsidR="00302EF0">
        <w:t xml:space="preserve">capacity reserved with WTCPUA and </w:t>
      </w:r>
      <w:r>
        <w:t>(2)</w:t>
      </w:r>
      <w:r w:rsidR="00C75591">
        <w:t> </w:t>
      </w:r>
      <w:r>
        <w:t xml:space="preserve">building its own </w:t>
      </w:r>
      <w:r w:rsidR="00302EF0">
        <w:t xml:space="preserve">treatment </w:t>
      </w:r>
      <w:r>
        <w:t>facilities</w:t>
      </w:r>
      <w:r w:rsidR="00DF5D95">
        <w:t xml:space="preserve">.  TCMUD </w:t>
      </w:r>
      <w:r w:rsidR="00465200">
        <w:t xml:space="preserve">12 </w:t>
      </w:r>
      <w:r w:rsidR="00DF5D95">
        <w:t xml:space="preserve">contends that reducing its reserved capacity in the WTCPUA system </w:t>
      </w:r>
      <w:r w:rsidR="00A060C8">
        <w:t xml:space="preserve">would leave it unable to serve the </w:t>
      </w:r>
      <w:r w:rsidR="00A060C8" w:rsidRPr="00D075F9">
        <w:t xml:space="preserve">2,125 </w:t>
      </w:r>
      <w:r w:rsidR="00A060C8">
        <w:t>LUEs it expects at full buildout,</w:t>
      </w:r>
      <w:r w:rsidR="00A060C8">
        <w:rPr>
          <w:rStyle w:val="FootnoteReference"/>
        </w:rPr>
        <w:footnoteReference w:id="102"/>
      </w:r>
      <w:r w:rsidR="00A060C8">
        <w:t xml:space="preserve"> </w:t>
      </w:r>
      <w:r w:rsidR="00465200">
        <w:t xml:space="preserve">and building its own facilities to serve </w:t>
      </w:r>
      <w:r w:rsidR="00A060C8">
        <w:t xml:space="preserve">that many </w:t>
      </w:r>
      <w:r w:rsidR="00465200">
        <w:t>connections would cost it another $25,520,000</w:t>
      </w:r>
      <w:r w:rsidR="00A060C8">
        <w:t xml:space="preserve"> and</w:t>
      </w:r>
      <w:r w:rsidR="00465200">
        <w:t xml:space="preserve"> </w:t>
      </w:r>
      <w:r w:rsidR="00DF5D95">
        <w:t xml:space="preserve">potentially strand the $1.5 million it invested </w:t>
      </w:r>
      <w:r w:rsidR="00465200">
        <w:t xml:space="preserve">in the WTCPUA </w:t>
      </w:r>
      <w:r w:rsidR="00DF5D95">
        <w:t>system</w:t>
      </w:r>
      <w:r w:rsidR="0014417F">
        <w:t xml:space="preserve"> through connection fees</w:t>
      </w:r>
      <w:r w:rsidR="00A060C8">
        <w:t>.</w:t>
      </w:r>
      <w:r w:rsidR="0014417F">
        <w:rPr>
          <w:rStyle w:val="FootnoteReference"/>
        </w:rPr>
        <w:footnoteReference w:id="103"/>
      </w:r>
      <w:r w:rsidR="00DF5D95">
        <w:t xml:space="preserve"> </w:t>
      </w:r>
      <w:r w:rsidR="00465200">
        <w:t xml:space="preserve"> TCMUD 12 claims that these costs make reducing its reserve</w:t>
      </w:r>
      <w:r w:rsidR="00207BEB">
        <w:t xml:space="preserve"> and </w:t>
      </w:r>
      <w:r w:rsidR="00465200">
        <w:t>building its own facilities</w:t>
      </w:r>
      <w:r w:rsidR="00207BEB">
        <w:t xml:space="preserve"> cost</w:t>
      </w:r>
      <w:r w:rsidR="000F2AC7">
        <w:t>-</w:t>
      </w:r>
      <w:r w:rsidR="00207BEB">
        <w:t>prohibited alternatives.</w:t>
      </w:r>
    </w:p>
    <w:p w:rsidR="00BD142F" w:rsidRDefault="00BD142F" w:rsidP="003644CC"/>
    <w:p w:rsidR="00514706" w:rsidRDefault="00BD142F" w:rsidP="0014417F">
      <w:r>
        <w:tab/>
      </w:r>
      <w:r w:rsidR="0014417F">
        <w:t xml:space="preserve">TCMUD 12 </w:t>
      </w:r>
      <w:r w:rsidR="00BC40C0">
        <w:t xml:space="preserve">has </w:t>
      </w:r>
      <w:r w:rsidR="0014417F">
        <w:t>paid $1.5 million in connection fees to LCRA</w:t>
      </w:r>
      <w:r w:rsidR="00292E13">
        <w:t>.  U</w:t>
      </w:r>
      <w:r w:rsidR="0014417F">
        <w:t>nder the Transfer Agreement</w:t>
      </w:r>
      <w:r w:rsidR="001723BE">
        <w:t>,</w:t>
      </w:r>
      <w:r w:rsidR="000F2AC7">
        <w:t xml:space="preserve"> LCRA </w:t>
      </w:r>
      <w:r w:rsidR="0014417F">
        <w:t xml:space="preserve">transferred </w:t>
      </w:r>
      <w:r w:rsidR="000F2AC7">
        <w:t xml:space="preserve">the fees to </w:t>
      </w:r>
      <w:r w:rsidR="0014417F">
        <w:t>WTCPU</w:t>
      </w:r>
      <w:r w:rsidR="001723BE">
        <w:t>A</w:t>
      </w:r>
      <w:r w:rsidR="00292E13">
        <w:t>,</w:t>
      </w:r>
      <w:r w:rsidR="0014417F">
        <w:t xml:space="preserve"> and TCMUD 12 is entitled to full credit for them.</w:t>
      </w:r>
      <w:r w:rsidR="0014417F">
        <w:rPr>
          <w:rStyle w:val="FootnoteReference"/>
        </w:rPr>
        <w:footnoteReference w:id="104"/>
      </w:r>
      <w:r w:rsidR="0014417F">
        <w:t xml:space="preserve">  WTCPUA claims that under the Water Services </w:t>
      </w:r>
      <w:r w:rsidR="001723BE">
        <w:t>and Transfer Agreement</w:t>
      </w:r>
      <w:r w:rsidR="00292E13">
        <w:t>s</w:t>
      </w:r>
      <w:r w:rsidR="001723BE">
        <w:t xml:space="preserve"> </w:t>
      </w:r>
      <w:r w:rsidR="0014417F" w:rsidRPr="0014417F">
        <w:t>TCMUD 12 may</w:t>
      </w:r>
      <w:r w:rsidR="0014417F">
        <w:t xml:space="preserve"> </w:t>
      </w:r>
      <w:r w:rsidR="0014417F" w:rsidRPr="0014417F">
        <w:t xml:space="preserve">sell its investment in the WTCPUA system to </w:t>
      </w:r>
      <w:r w:rsidR="007E01B6">
        <w:t>TCMUDs 11</w:t>
      </w:r>
      <w:r w:rsidR="001723BE">
        <w:t xml:space="preserve"> or 13 without WTCPUA</w:t>
      </w:r>
      <w:r w:rsidR="00B71573">
        <w:t>’</w:t>
      </w:r>
      <w:r w:rsidR="001723BE">
        <w:t xml:space="preserve">s consent, or </w:t>
      </w:r>
      <w:r w:rsidR="0014417F">
        <w:t xml:space="preserve">to a third party </w:t>
      </w:r>
      <w:r w:rsidR="008B44C6">
        <w:t>with</w:t>
      </w:r>
      <w:r w:rsidR="004A2F83">
        <w:t xml:space="preserve"> </w:t>
      </w:r>
      <w:r w:rsidR="008B44C6">
        <w:t>WTCPUA</w:t>
      </w:r>
      <w:r w:rsidR="00B71573">
        <w:t>’</w:t>
      </w:r>
      <w:r w:rsidR="008B44C6">
        <w:t>s</w:t>
      </w:r>
      <w:r w:rsidR="004A2F83">
        <w:t xml:space="preserve"> </w:t>
      </w:r>
      <w:r w:rsidR="001723BE">
        <w:t>consent</w:t>
      </w:r>
      <w:r w:rsidR="004A2F83">
        <w:t>, wh</w:t>
      </w:r>
      <w:r w:rsidR="008B44C6">
        <w:t xml:space="preserve">ich may not be unreasonably withheld or </w:t>
      </w:r>
      <w:r w:rsidR="001723BE">
        <w:t>d</w:t>
      </w:r>
      <w:r w:rsidR="008B44C6">
        <w:t>elayed</w:t>
      </w:r>
      <w:r w:rsidR="0014417F" w:rsidRPr="0014417F">
        <w:t>.</w:t>
      </w:r>
      <w:r w:rsidR="0014417F" w:rsidRPr="0014417F">
        <w:rPr>
          <w:vertAlign w:val="superscript"/>
        </w:rPr>
        <w:footnoteReference w:id="105"/>
      </w:r>
      <w:r w:rsidR="004A2F83">
        <w:t xml:space="preserve">  </w:t>
      </w:r>
      <w:r w:rsidR="00514706">
        <w:t>However, t</w:t>
      </w:r>
      <w:r w:rsidR="004A2F83">
        <w:t xml:space="preserve">here is no evidence </w:t>
      </w:r>
      <w:r w:rsidR="00514706">
        <w:t xml:space="preserve">that a </w:t>
      </w:r>
      <w:r w:rsidR="00486C75">
        <w:t xml:space="preserve">market </w:t>
      </w:r>
      <w:r w:rsidR="00514706">
        <w:t>exists for TCMUD 12</w:t>
      </w:r>
      <w:r w:rsidR="00B71573">
        <w:t>’</w:t>
      </w:r>
      <w:r w:rsidR="00514706">
        <w:t xml:space="preserve">s connection rights.  </w:t>
      </w:r>
      <w:r w:rsidR="001723BE">
        <w:t>A</w:t>
      </w:r>
      <w:r w:rsidR="00514706">
        <w:t>nother utility seeking wholesale treatment capacity could just as easily pay WTCPUA for connections.</w:t>
      </w:r>
    </w:p>
    <w:p w:rsidR="00514706" w:rsidRDefault="00514706" w:rsidP="0014417F"/>
    <w:p w:rsidR="0014417F" w:rsidRPr="0014417F" w:rsidRDefault="00514706" w:rsidP="0014417F">
      <w:r>
        <w:tab/>
      </w:r>
      <w:r w:rsidR="00486C75">
        <w:t xml:space="preserve">The ALJ concludes that the $1.5 million that TCMUD 12 paid to connect to the West Travis County System is a sunk cost that </w:t>
      </w:r>
      <w:r w:rsidR="001723BE">
        <w:t xml:space="preserve">could </w:t>
      </w:r>
      <w:r w:rsidR="00486C75">
        <w:t xml:space="preserve">be stranded if </w:t>
      </w:r>
      <w:r>
        <w:t>TCMUD 12</w:t>
      </w:r>
      <w:r w:rsidR="00486C75">
        <w:t xml:space="preserve"> chose to reduce its </w:t>
      </w:r>
      <w:r w:rsidR="00486C75">
        <w:lastRenderedPageBreak/>
        <w:t xml:space="preserve">reserved capacity and build its own treatment facilities.  He also concludes that a pro rata share of that $1.5 million </w:t>
      </w:r>
      <w:r w:rsidR="006B1703">
        <w:t>c</w:t>
      </w:r>
      <w:r w:rsidR="00486C75">
        <w:t>ould be stranded if TCMUD 12 partially reduced its reserved capacity in the WTCPUA system.</w:t>
      </w:r>
    </w:p>
    <w:p w:rsidR="0014417F" w:rsidRDefault="0014417F" w:rsidP="003644CC"/>
    <w:p w:rsidR="005647EF" w:rsidRDefault="00486C75" w:rsidP="003644CC">
      <w:r>
        <w:tab/>
      </w:r>
      <w:r w:rsidR="006B1703">
        <w:t xml:space="preserve">However, </w:t>
      </w:r>
      <w:r w:rsidR="003A2D1E">
        <w:t>t</w:t>
      </w:r>
      <w:r w:rsidR="00316796">
        <w:t xml:space="preserve">he ALJ does not conclude that </w:t>
      </w:r>
      <w:r w:rsidR="0015186E">
        <w:t xml:space="preserve">it would cost </w:t>
      </w:r>
      <w:r w:rsidR="00316796">
        <w:t xml:space="preserve">TCMUD 12 </w:t>
      </w:r>
      <w:r w:rsidR="006B1703">
        <w:t xml:space="preserve">approximately </w:t>
      </w:r>
      <w:r w:rsidR="0015186E">
        <w:t>$25.</w:t>
      </w:r>
      <w:r w:rsidR="00316796">
        <w:t>5</w:t>
      </w:r>
      <w:r w:rsidR="0015186E">
        <w:t xml:space="preserve">2 million to build its own </w:t>
      </w:r>
      <w:r w:rsidR="00316796">
        <w:t>facilities to transport, treat, and store the water it purchase</w:t>
      </w:r>
      <w:r w:rsidR="006B1703">
        <w:t>s</w:t>
      </w:r>
      <w:r w:rsidR="00316796">
        <w:t xml:space="preserve"> from LCRA.  </w:t>
      </w:r>
      <w:r w:rsidR="00827F53">
        <w:t xml:space="preserve">Mr. DiQuinzio testified that it would cost that </w:t>
      </w:r>
      <w:r w:rsidR="00514706">
        <w:t>much</w:t>
      </w:r>
      <w:r w:rsidR="00827F53">
        <w:t>,</w:t>
      </w:r>
      <w:r w:rsidR="00827F53">
        <w:rPr>
          <w:rStyle w:val="FootnoteReference"/>
        </w:rPr>
        <w:footnoteReference w:id="106"/>
      </w:r>
      <w:r w:rsidR="00827F53">
        <w:t xml:space="preserve"> but </w:t>
      </w:r>
      <w:r w:rsidR="00E41C43">
        <w:t xml:space="preserve">he </w:t>
      </w:r>
      <w:r w:rsidR="00FB57C1">
        <w:t>did not personally calculate the figure.  Instead, TCMUD 12</w:t>
      </w:r>
      <w:r w:rsidR="00B71573">
        <w:t>’</w:t>
      </w:r>
      <w:r w:rsidR="00FB57C1">
        <w:t>s engineer,</w:t>
      </w:r>
      <w:r w:rsidR="002E441C">
        <w:rPr>
          <w:rStyle w:val="FootnoteReference"/>
        </w:rPr>
        <w:footnoteReference w:id="107"/>
      </w:r>
      <w:r w:rsidR="00FB57C1">
        <w:t xml:space="preserve"> apparently Douglas </w:t>
      </w:r>
      <w:r w:rsidR="00E41C43">
        <w:t>Rummel, Jr.</w:t>
      </w:r>
      <w:r w:rsidR="00FB57C1">
        <w:t>,</w:t>
      </w:r>
      <w:r w:rsidR="002E441C">
        <w:rPr>
          <w:rStyle w:val="FootnoteReference"/>
        </w:rPr>
        <w:footnoteReference w:id="108"/>
      </w:r>
      <w:r w:rsidR="00FB57C1">
        <w:t xml:space="preserve"> contacted </w:t>
      </w:r>
      <w:r w:rsidR="00827F53">
        <w:t>an engineer who works for the City of Cedar Park, Kenneth Wheeler</w:t>
      </w:r>
      <w:r w:rsidR="00514706">
        <w:t>.</w:t>
      </w:r>
      <w:r w:rsidR="002E441C">
        <w:rPr>
          <w:rStyle w:val="FootnoteReference"/>
        </w:rPr>
        <w:footnoteReference w:id="109"/>
      </w:r>
      <w:r w:rsidR="00827F53">
        <w:t xml:space="preserve"> </w:t>
      </w:r>
      <w:r w:rsidR="00514706">
        <w:t xml:space="preserve"> </w:t>
      </w:r>
      <w:r w:rsidR="009641FA">
        <w:t>Neither Mr. </w:t>
      </w:r>
      <w:r w:rsidR="000F46F1">
        <w:t>Rum</w:t>
      </w:r>
      <w:r w:rsidR="00292E13">
        <w:t xml:space="preserve">mel nor Mr. Wheeler testified, and </w:t>
      </w:r>
      <w:r w:rsidR="00514706">
        <w:t xml:space="preserve">Mr. Wheeler </w:t>
      </w:r>
      <w:r w:rsidR="00E41C43">
        <w:t xml:space="preserve">has </w:t>
      </w:r>
      <w:r w:rsidR="000F46F1">
        <w:t xml:space="preserve">done little </w:t>
      </w:r>
      <w:r w:rsidR="00514706">
        <w:t>work</w:t>
      </w:r>
      <w:r w:rsidR="000F46F1">
        <w:t xml:space="preserve"> </w:t>
      </w:r>
      <w:r w:rsidR="002E441C">
        <w:t>on treatment plants</w:t>
      </w:r>
      <w:r w:rsidR="005647EF">
        <w:t>.</w:t>
      </w:r>
      <w:r w:rsidR="002E441C">
        <w:rPr>
          <w:rStyle w:val="FootnoteReference"/>
        </w:rPr>
        <w:footnoteReference w:id="110"/>
      </w:r>
      <w:r w:rsidR="005647EF">
        <w:t xml:space="preserve">  Nevertheless, </w:t>
      </w:r>
      <w:r w:rsidR="00292E13">
        <w:t xml:space="preserve">Mr. Wheeler offhandedly estimated, in an email to Mr. Rummel, </w:t>
      </w:r>
      <w:r w:rsidR="002E441C">
        <w:t xml:space="preserve">that a treatment </w:t>
      </w:r>
      <w:r w:rsidR="00E41C43">
        <w:t>plant would cost $5 per gallon</w:t>
      </w:r>
      <w:r w:rsidR="006B1703">
        <w:t xml:space="preserve"> of capacity</w:t>
      </w:r>
      <w:r w:rsidR="00E41C43">
        <w:t>, but he was not sure if that figure could be used.</w:t>
      </w:r>
      <w:r w:rsidR="00E41C43">
        <w:rPr>
          <w:rStyle w:val="FootnoteReference"/>
        </w:rPr>
        <w:footnoteReference w:id="111"/>
      </w:r>
      <w:r w:rsidR="00E41C43">
        <w:t xml:space="preserve">  Also, an unidentified person developed a spreadsheet that shows a total cost of $25.52 million</w:t>
      </w:r>
      <w:r w:rsidR="000F46F1">
        <w:t xml:space="preserve"> for a </w:t>
      </w:r>
      <w:r w:rsidR="00B71573">
        <w:t>“</w:t>
      </w:r>
      <w:r w:rsidR="000F46F1">
        <w:t>WATER PLANT</w:t>
      </w:r>
      <w:r w:rsidR="00E41C43">
        <w:t>,</w:t>
      </w:r>
      <w:r w:rsidR="00B71573">
        <w:t>”</w:t>
      </w:r>
      <w:r w:rsidR="00E41C43">
        <w:t xml:space="preserve"> which includes $20 million for a </w:t>
      </w:r>
      <w:r w:rsidR="00B71573">
        <w:t>“</w:t>
      </w:r>
      <w:r w:rsidR="00E41C43">
        <w:t>4 MGD Plant,</w:t>
      </w:r>
      <w:r w:rsidR="00B71573">
        <w:t>”</w:t>
      </w:r>
      <w:r w:rsidR="00E41C43">
        <w:t xml:space="preserve"> and other costs</w:t>
      </w:r>
      <w:r w:rsidR="00AF5366">
        <w:t>.</w:t>
      </w:r>
      <w:r w:rsidR="00AF5366">
        <w:rPr>
          <w:rStyle w:val="FootnoteReference"/>
        </w:rPr>
        <w:footnoteReference w:id="112"/>
      </w:r>
      <w:r w:rsidR="00AF5366">
        <w:t xml:space="preserve">  The </w:t>
      </w:r>
      <w:r w:rsidR="00E41C43">
        <w:t xml:space="preserve">source and support </w:t>
      </w:r>
      <w:r w:rsidR="00AF5366">
        <w:t>f</w:t>
      </w:r>
      <w:r w:rsidR="00292E13">
        <w:t xml:space="preserve">or the </w:t>
      </w:r>
      <w:r w:rsidR="00AF5366">
        <w:t xml:space="preserve">estimate </w:t>
      </w:r>
      <w:r w:rsidR="00292E13">
        <w:t xml:space="preserve">in the spreadsheet </w:t>
      </w:r>
      <w:r w:rsidR="00AF5366">
        <w:t xml:space="preserve">are </w:t>
      </w:r>
      <w:r w:rsidR="002248D7">
        <w:t>not in evidence</w:t>
      </w:r>
      <w:r w:rsidR="00E41C43">
        <w:t>.</w:t>
      </w:r>
      <w:r w:rsidR="00444CCC">
        <w:t xml:space="preserve">  </w:t>
      </w:r>
      <w:r w:rsidR="006B1703">
        <w:t xml:space="preserve">As discussed later in the PFD, Jay Zarnikau, Ph.D., </w:t>
      </w:r>
      <w:r w:rsidR="005647EF">
        <w:t>TCMUD 12</w:t>
      </w:r>
      <w:r w:rsidR="00B71573">
        <w:t>’</w:t>
      </w:r>
      <w:r w:rsidR="005647EF">
        <w:t xml:space="preserve">s expert on monopoly power, </w:t>
      </w:r>
      <w:r w:rsidR="002248D7">
        <w:t xml:space="preserve">concluded TCMUD 12 had no available alternative to service from WTCPUA by </w:t>
      </w:r>
      <w:r w:rsidR="005647EF">
        <w:t>rel</w:t>
      </w:r>
      <w:r w:rsidR="002248D7">
        <w:t xml:space="preserve">ying in part on </w:t>
      </w:r>
      <w:r w:rsidR="00AF5366">
        <w:t xml:space="preserve">an estimate by Mr. </w:t>
      </w:r>
      <w:r w:rsidR="000D4FF9">
        <w:t>DiQuinzio</w:t>
      </w:r>
      <w:r w:rsidR="00AF5366">
        <w:t xml:space="preserve"> that </w:t>
      </w:r>
      <w:r w:rsidR="002248D7">
        <w:t>it would cost TCMUD 12 approximately $25 million to build its own facilities</w:t>
      </w:r>
      <w:r w:rsidR="00AF5366">
        <w:t>.</w:t>
      </w:r>
      <w:r w:rsidR="005647EF">
        <w:rPr>
          <w:rStyle w:val="FootnoteReference"/>
        </w:rPr>
        <w:footnoteReference w:id="113"/>
      </w:r>
    </w:p>
    <w:p w:rsidR="005647EF" w:rsidRDefault="005647EF" w:rsidP="003644CC"/>
    <w:p w:rsidR="00827F53" w:rsidRDefault="005647EF" w:rsidP="003644CC">
      <w:r>
        <w:tab/>
      </w:r>
      <w:r w:rsidR="00444CCC">
        <w:t>The ALJ assigns no evidentiary weight to th</w:t>
      </w:r>
      <w:r w:rsidR="00292E13">
        <w:t>e</w:t>
      </w:r>
      <w:r w:rsidR="00444CCC">
        <w:t xml:space="preserve"> fr</w:t>
      </w:r>
      <w:r w:rsidR="008E4C08">
        <w:t>agmentary, unsupported estimate</w:t>
      </w:r>
      <w:r>
        <w:t xml:space="preserve"> </w:t>
      </w:r>
      <w:r w:rsidR="00292E13">
        <w:t xml:space="preserve">that it </w:t>
      </w:r>
      <w:r>
        <w:t xml:space="preserve">would cost TCMUD 12 </w:t>
      </w:r>
      <w:r w:rsidR="00292E13">
        <w:t xml:space="preserve">approximately $25.52 million </w:t>
      </w:r>
      <w:r>
        <w:t xml:space="preserve">to build a water treatment plant to serve its </w:t>
      </w:r>
      <w:r>
        <w:lastRenderedPageBreak/>
        <w:t>needs</w:t>
      </w:r>
      <w:r w:rsidR="008E4C08">
        <w:t xml:space="preserve">.  </w:t>
      </w:r>
      <w:r>
        <w:t>He further finds that no expert, including Dr. Zarnikau, could reasonably rely on such a manifestly unreliable estimate.</w:t>
      </w:r>
      <w:r>
        <w:rPr>
          <w:rStyle w:val="FootnoteReference"/>
        </w:rPr>
        <w:footnoteReference w:id="114"/>
      </w:r>
    </w:p>
    <w:p w:rsidR="00827F53" w:rsidRDefault="00827F53" w:rsidP="003644CC"/>
    <w:p w:rsidR="00F959B5" w:rsidRDefault="00474CB7" w:rsidP="003644CC">
      <w:r>
        <w:tab/>
      </w:r>
      <w:r w:rsidR="0041792E">
        <w:t>In response to TCMUD 12</w:t>
      </w:r>
      <w:r w:rsidR="00B71573">
        <w:t>’</w:t>
      </w:r>
      <w:r w:rsidR="0041792E">
        <w:t xml:space="preserve">s </w:t>
      </w:r>
      <w:r w:rsidR="00C90332">
        <w:t xml:space="preserve">$25.52 million </w:t>
      </w:r>
      <w:r w:rsidR="0041792E">
        <w:t xml:space="preserve">estimate, </w:t>
      </w:r>
      <w:r>
        <w:t>WTCPUA</w:t>
      </w:r>
      <w:r w:rsidR="00B71573">
        <w:t>’</w:t>
      </w:r>
      <w:r>
        <w:t xml:space="preserve">s Mr. Rauschuber referred </w:t>
      </w:r>
      <w:r w:rsidR="005647EF">
        <w:t xml:space="preserve">in his testimony </w:t>
      </w:r>
      <w:r>
        <w:t>to a recent cost analysis undertaken by WTCPUA</w:t>
      </w:r>
      <w:r w:rsidR="009C3BFD">
        <w:t>.</w:t>
      </w:r>
      <w:r w:rsidR="00470751">
        <w:rPr>
          <w:rStyle w:val="FootnoteReference"/>
        </w:rPr>
        <w:footnoteReference w:id="115"/>
      </w:r>
      <w:r w:rsidR="009C3BFD">
        <w:t xml:space="preserve">  </w:t>
      </w:r>
      <w:r w:rsidR="00E75422">
        <w:t xml:space="preserve">His </w:t>
      </w:r>
      <w:r w:rsidR="00470751">
        <w:t xml:space="preserve">testimony leads TCMUD 12 to </w:t>
      </w:r>
      <w:r w:rsidR="00954B48">
        <w:t xml:space="preserve">alternatively </w:t>
      </w:r>
      <w:r w:rsidR="00470751">
        <w:t xml:space="preserve">claim that its cost to build its own facilities would be </w:t>
      </w:r>
      <w:r w:rsidR="00E75422">
        <w:t xml:space="preserve">at least </w:t>
      </w:r>
      <w:r w:rsidR="00470751">
        <w:t>$13.5 million.</w:t>
      </w:r>
      <w:r w:rsidR="00470751">
        <w:rPr>
          <w:rStyle w:val="FootnoteReference"/>
        </w:rPr>
        <w:footnoteReference w:id="116"/>
      </w:r>
      <w:r w:rsidR="00470751">
        <w:t xml:space="preserve">  </w:t>
      </w:r>
      <w:r w:rsidR="00E75422">
        <w:t xml:space="preserve">The cost estimate to which Mr. Rauschuber referred </w:t>
      </w:r>
      <w:r w:rsidR="009C3BFD">
        <w:t xml:space="preserve">is </w:t>
      </w:r>
      <w:r>
        <w:t xml:space="preserve">included in </w:t>
      </w:r>
      <w:r w:rsidR="009C3BFD">
        <w:t>WTCPUA</w:t>
      </w:r>
      <w:r w:rsidR="00B71573">
        <w:t>’</w:t>
      </w:r>
      <w:r w:rsidR="009C3BFD">
        <w:t>s</w:t>
      </w:r>
      <w:r>
        <w:t xml:space="preserve"> </w:t>
      </w:r>
      <w:r w:rsidR="001B441E">
        <w:t xml:space="preserve">approved </w:t>
      </w:r>
      <w:r>
        <w:t>Capital Improvements Plan</w:t>
      </w:r>
      <w:r w:rsidR="009C3BFD">
        <w:t>,</w:t>
      </w:r>
      <w:r>
        <w:rPr>
          <w:rStyle w:val="FootnoteReference"/>
        </w:rPr>
        <w:footnoteReference w:id="117"/>
      </w:r>
      <w:r w:rsidR="009C3BFD">
        <w:t xml:space="preserve"> </w:t>
      </w:r>
      <w:r w:rsidR="00E75422">
        <w:t xml:space="preserve">and </w:t>
      </w:r>
      <w:r w:rsidR="009C3BFD">
        <w:t>was prepared and sealed by a profession</w:t>
      </w:r>
      <w:r w:rsidR="000A58E3">
        <w:t>al</w:t>
      </w:r>
      <w:r w:rsidR="009C3BFD">
        <w:t xml:space="preserve"> engineer</w:t>
      </w:r>
      <w:r w:rsidR="00E75422">
        <w:t>.</w:t>
      </w:r>
      <w:r w:rsidR="009C3BFD">
        <w:rPr>
          <w:rStyle w:val="FootnoteReference"/>
        </w:rPr>
        <w:footnoteReference w:id="118"/>
      </w:r>
      <w:r w:rsidR="009C3BFD">
        <w:t xml:space="preserve"> </w:t>
      </w:r>
      <w:r w:rsidR="00E75422">
        <w:t xml:space="preserve"> The </w:t>
      </w:r>
      <w:r w:rsidR="009C3BFD">
        <w:t xml:space="preserve">estimate </w:t>
      </w:r>
      <w:r w:rsidR="00E75422">
        <w:t xml:space="preserve">is </w:t>
      </w:r>
      <w:r w:rsidR="009C3BFD">
        <w:t>$13.5 million for a 5.0 mgd water treatment plant.</w:t>
      </w:r>
      <w:r w:rsidR="009C3BFD">
        <w:rPr>
          <w:rStyle w:val="FootnoteReference"/>
        </w:rPr>
        <w:footnoteReference w:id="119"/>
      </w:r>
      <w:r w:rsidR="009C3BFD">
        <w:t xml:space="preserve">  </w:t>
      </w:r>
      <w:r w:rsidR="009641FA">
        <w:t>Mr. </w:t>
      </w:r>
      <w:r w:rsidR="000D4FF9">
        <w:t xml:space="preserve">Rauschuber testified that Mr. DiQuinzio’s $25.52 million estimate is nearly double, on a cost-per-mgd basis, </w:t>
      </w:r>
      <w:r w:rsidR="000A58E3">
        <w:t xml:space="preserve">to </w:t>
      </w:r>
      <w:r w:rsidR="000D4FF9">
        <w:t>WTCPUA’s projected cost of $13.5 million.</w:t>
      </w:r>
      <w:r w:rsidR="000D4FF9">
        <w:rPr>
          <w:rStyle w:val="FootnoteReference"/>
        </w:rPr>
        <w:footnoteReference w:id="120"/>
      </w:r>
      <w:r w:rsidR="000D4FF9">
        <w:t xml:space="preserve">  </w:t>
      </w:r>
      <w:r w:rsidR="000A58E3">
        <w:t>Extrapolating from the Rauschuber estimate</w:t>
      </w:r>
      <w:r w:rsidR="001B441E">
        <w:t xml:space="preserve">, a 4.0 mgd </w:t>
      </w:r>
      <w:r w:rsidR="00272FE3">
        <w:t>plant to serve TCMUD</w:t>
      </w:r>
      <w:r w:rsidR="00F959B5">
        <w:t>s</w:t>
      </w:r>
      <w:r w:rsidR="00272FE3">
        <w:t xml:space="preserve"> 11, 12, and 13 </w:t>
      </w:r>
      <w:r>
        <w:t xml:space="preserve">would </w:t>
      </w:r>
      <w:r w:rsidR="00272FE3">
        <w:t xml:space="preserve">cost </w:t>
      </w:r>
      <w:r w:rsidR="001B441E">
        <w:t>approximately $10.8</w:t>
      </w:r>
      <w:r>
        <w:t xml:space="preserve"> million</w:t>
      </w:r>
      <w:r w:rsidR="00E03281">
        <w:t>,</w:t>
      </w:r>
      <w:r w:rsidR="00272FE3">
        <w:rPr>
          <w:rStyle w:val="FootnoteReference"/>
        </w:rPr>
        <w:footnoteReference w:id="121"/>
      </w:r>
      <w:r>
        <w:t xml:space="preserve"> </w:t>
      </w:r>
      <w:r w:rsidR="00E03281">
        <w:t>not $13.5 million.</w:t>
      </w:r>
    </w:p>
    <w:p w:rsidR="00F959B5" w:rsidRDefault="00F959B5" w:rsidP="003644CC"/>
    <w:p w:rsidR="00E03281" w:rsidRDefault="00E03281" w:rsidP="003644CC">
      <w:r>
        <w:tab/>
      </w:r>
      <w:r w:rsidR="00954B48">
        <w:t>T</w:t>
      </w:r>
      <w:r w:rsidR="00292E13">
        <w:t xml:space="preserve">he ALJ does not, however, </w:t>
      </w:r>
      <w:r>
        <w:t xml:space="preserve">find that a 4.0 mgd water </w:t>
      </w:r>
      <w:r w:rsidR="009D51B7">
        <w:t>treatment plant to serve TCMUDs </w:t>
      </w:r>
      <w:r>
        <w:t xml:space="preserve">11, 12, and 13 would cost $10.8 million.  TCMUDs 11, 12, and 13 certainly did not offer evidence to prove that, and Mr. Rauschuber did not testify that it would cost that.  Instead, </w:t>
      </w:r>
      <w:r w:rsidR="00556CD4">
        <w:t xml:space="preserve">when read in context, </w:t>
      </w:r>
      <w:r>
        <w:t xml:space="preserve">his testimony </w:t>
      </w:r>
      <w:r w:rsidR="00556CD4">
        <w:t xml:space="preserve">shows </w:t>
      </w:r>
      <w:r w:rsidR="00107604">
        <w:t xml:space="preserve">only </w:t>
      </w:r>
      <w:r w:rsidR="00556CD4">
        <w:t xml:space="preserve">that </w:t>
      </w:r>
      <w:r w:rsidR="00107604">
        <w:t>TCMUD</w:t>
      </w:r>
      <w:r w:rsidR="00B71573">
        <w:t>’</w:t>
      </w:r>
      <w:r w:rsidR="00107604">
        <w:t xml:space="preserve">s </w:t>
      </w:r>
      <w:r w:rsidR="001E0337">
        <w:t xml:space="preserve">$25.52 million </w:t>
      </w:r>
      <w:r w:rsidR="00107604">
        <w:t xml:space="preserve">estimate </w:t>
      </w:r>
      <w:r w:rsidR="008A589F">
        <w:t xml:space="preserve">is </w:t>
      </w:r>
      <w:r w:rsidR="001E0337">
        <w:t>unreliabl</w:t>
      </w:r>
      <w:r w:rsidR="000A58E3">
        <w:t>y</w:t>
      </w:r>
      <w:r w:rsidR="001E0337">
        <w:t xml:space="preserve"> </w:t>
      </w:r>
      <w:r w:rsidR="008A589F">
        <w:t>high.</w:t>
      </w:r>
    </w:p>
    <w:p w:rsidR="00E03281" w:rsidRDefault="00E03281" w:rsidP="003644CC"/>
    <w:p w:rsidR="004B7443" w:rsidRDefault="00F959B5" w:rsidP="003644CC">
      <w:r>
        <w:tab/>
      </w:r>
      <w:r w:rsidR="004B7443">
        <w:t xml:space="preserve">Moreover, </w:t>
      </w:r>
      <w:r w:rsidR="00107604">
        <w:t xml:space="preserve">even if the evidence included a reasonable cost estimate for a 4.0-mgd plant, </w:t>
      </w:r>
      <w:r>
        <w:t xml:space="preserve">TCMUDs 11, 12, and 13 do not currently </w:t>
      </w:r>
      <w:r w:rsidR="00272FE3">
        <w:t>need</w:t>
      </w:r>
      <w:r>
        <w:t xml:space="preserve"> </w:t>
      </w:r>
      <w:r w:rsidR="004B7443">
        <w:t xml:space="preserve">treatment </w:t>
      </w:r>
      <w:r w:rsidR="00954B48">
        <w:t>for that much raw water</w:t>
      </w:r>
      <w:r>
        <w:t>.</w:t>
      </w:r>
      <w:r>
        <w:rPr>
          <w:rStyle w:val="FootnoteReference"/>
        </w:rPr>
        <w:footnoteReference w:id="122"/>
      </w:r>
      <w:r>
        <w:t xml:space="preserve">  </w:t>
      </w:r>
      <w:r w:rsidR="00954B48">
        <w:t xml:space="preserve">They likely </w:t>
      </w:r>
      <w:r w:rsidR="00954B48">
        <w:lastRenderedPageBreak/>
        <w:t>would need a 4.0 mgd plant i</w:t>
      </w:r>
      <w:r w:rsidR="001E0337">
        <w:t xml:space="preserve">f they were </w:t>
      </w:r>
      <w:r w:rsidR="000A58E3">
        <w:t xml:space="preserve">using </w:t>
      </w:r>
      <w:r w:rsidR="00954B48">
        <w:t xml:space="preserve">3.98 mgd of raw water, the </w:t>
      </w:r>
      <w:r w:rsidR="001E0337" w:rsidRPr="00F959B5">
        <w:t xml:space="preserve">maximum under the </w:t>
      </w:r>
      <w:r w:rsidR="00292E13">
        <w:t xml:space="preserve">Water Services </w:t>
      </w:r>
      <w:r w:rsidR="001E0337" w:rsidRPr="00F959B5">
        <w:t>Contract</w:t>
      </w:r>
      <w:r w:rsidR="00292E13">
        <w:t>,</w:t>
      </w:r>
      <w:r w:rsidR="001E0337" w:rsidRPr="00F959B5">
        <w:rPr>
          <w:vertAlign w:val="superscript"/>
        </w:rPr>
        <w:footnoteReference w:id="123"/>
      </w:r>
      <w:r w:rsidR="001E0337">
        <w:t xml:space="preserve"> </w:t>
      </w:r>
      <w:r w:rsidR="00292E13">
        <w:t xml:space="preserve">but </w:t>
      </w:r>
      <w:r w:rsidR="001E0337">
        <w:t xml:space="preserve">they would </w:t>
      </w:r>
      <w:r w:rsidR="00107604">
        <w:t>only need to treat 3</w:t>
      </w:r>
      <w:r w:rsidR="005647EF">
        <w:t>.</w:t>
      </w:r>
      <w:r w:rsidR="00107604">
        <w:t>98</w:t>
      </w:r>
      <w:r w:rsidR="005647EF">
        <w:t xml:space="preserve"> mgd </w:t>
      </w:r>
      <w:r w:rsidR="00954B48">
        <w:t xml:space="preserve">of raw </w:t>
      </w:r>
      <w:r w:rsidR="009D51B7">
        <w:t>if they had </w:t>
      </w:r>
      <w:r w:rsidRPr="00F959B5">
        <w:t>1,640 retail water connections, or close to 2,125 LUEs</w:t>
      </w:r>
      <w:r w:rsidR="0002450D">
        <w:t>.</w:t>
      </w:r>
      <w:r w:rsidR="0002450D" w:rsidRPr="00F959B5">
        <w:rPr>
          <w:vertAlign w:val="superscript"/>
        </w:rPr>
        <w:footnoteReference w:id="124"/>
      </w:r>
      <w:r w:rsidRPr="00F959B5">
        <w:t xml:space="preserve"> </w:t>
      </w:r>
      <w:r w:rsidR="0002450D">
        <w:t xml:space="preserve"> </w:t>
      </w:r>
      <w:r w:rsidR="0052665A">
        <w:t xml:space="preserve">As of January 1, 2014, </w:t>
      </w:r>
      <w:r w:rsidR="00107604">
        <w:t xml:space="preserve">after six years of operation, </w:t>
      </w:r>
      <w:r w:rsidR="00E03281">
        <w:t>however, TCMUD</w:t>
      </w:r>
      <w:r w:rsidR="004B7443">
        <w:t xml:space="preserve"> </w:t>
      </w:r>
      <w:r w:rsidR="00E03281">
        <w:t xml:space="preserve">12 </w:t>
      </w:r>
      <w:r w:rsidR="00D94B3C">
        <w:t>only ha</w:t>
      </w:r>
      <w:r w:rsidR="0052665A">
        <w:t>d</w:t>
      </w:r>
      <w:r w:rsidR="00D94B3C">
        <w:t xml:space="preserve"> </w:t>
      </w:r>
      <w:r w:rsidR="00F34453" w:rsidRPr="00D075F9">
        <w:t>132</w:t>
      </w:r>
      <w:r w:rsidR="00F34453">
        <w:t xml:space="preserve"> connections</w:t>
      </w:r>
      <w:r w:rsidR="004B7443">
        <w:t>,</w:t>
      </w:r>
      <w:r w:rsidR="00F34453">
        <w:rPr>
          <w:rStyle w:val="FootnoteReference"/>
        </w:rPr>
        <w:footnoteReference w:id="125"/>
      </w:r>
      <w:r w:rsidR="004B7443">
        <w:t xml:space="preserve"> and </w:t>
      </w:r>
      <w:r w:rsidR="0064348E">
        <w:t>Mr. DiQuinzio was not sure of the speed or degree of buildout</w:t>
      </w:r>
      <w:r w:rsidR="005647EF">
        <w:t xml:space="preserve"> in the future</w:t>
      </w:r>
      <w:r w:rsidR="004B7443" w:rsidRPr="00D075F9">
        <w:t>.</w:t>
      </w:r>
      <w:r w:rsidR="004B7443" w:rsidRPr="00D075F9">
        <w:rPr>
          <w:vertAlign w:val="superscript"/>
        </w:rPr>
        <w:footnoteReference w:id="126"/>
      </w:r>
    </w:p>
    <w:p w:rsidR="00AA0F45" w:rsidRDefault="00AA0F45" w:rsidP="003644CC"/>
    <w:p w:rsidR="00AA0F45" w:rsidRDefault="0064348E" w:rsidP="003644CC">
      <w:r>
        <w:tab/>
        <w:t>Given the gaps in and problems with the evidence</w:t>
      </w:r>
      <w:r w:rsidR="00AA0F45">
        <w:t xml:space="preserve"> as described above</w:t>
      </w:r>
      <w:r>
        <w:t xml:space="preserve">, the ALJ concludes that TCMUD 12 has failed to prove </w:t>
      </w:r>
      <w:r w:rsidR="00292E13">
        <w:t xml:space="preserve">what the alternative, </w:t>
      </w:r>
      <w:r w:rsidR="00107604">
        <w:t xml:space="preserve">self-service option </w:t>
      </w:r>
      <w:r w:rsidR="00292E13">
        <w:t xml:space="preserve">available to it would cost, </w:t>
      </w:r>
      <w:r w:rsidR="00AA0F45">
        <w:t>much less tha</w:t>
      </w:r>
      <w:r w:rsidR="00107604">
        <w:t>t</w:t>
      </w:r>
      <w:r w:rsidR="00AA0F45">
        <w:t xml:space="preserve"> the </w:t>
      </w:r>
      <w:r w:rsidR="00107604">
        <w:t xml:space="preserve">monthly </w:t>
      </w:r>
      <w:r w:rsidR="00AA0F45">
        <w:t xml:space="preserve">cost </w:t>
      </w:r>
      <w:r w:rsidR="00107604">
        <w:t xml:space="preserve">of that alternative </w:t>
      </w:r>
      <w:r w:rsidR="00AA0F45">
        <w:t xml:space="preserve">would be </w:t>
      </w:r>
      <w:r w:rsidR="00292E13">
        <w:t xml:space="preserve">prohibitively </w:t>
      </w:r>
      <w:r w:rsidR="00107604">
        <w:t>more expensive than service from WTCPUA under the Protested Rates.</w:t>
      </w:r>
      <w:r w:rsidR="00292E13">
        <w:t xml:space="preserve">  Accordingly, the ALJ does not find the self-service option was or is prohibitively costly.</w:t>
      </w:r>
    </w:p>
    <w:p w:rsidR="00EF49BE" w:rsidRPr="006237DA" w:rsidRDefault="00EF49BE" w:rsidP="006237DA"/>
    <w:p w:rsidR="00885B8D" w:rsidRDefault="00885B8D" w:rsidP="00723847">
      <w:pPr>
        <w:pStyle w:val="Heading3"/>
        <w:keepNext w:val="0"/>
      </w:pPr>
      <w:bookmarkStart w:id="17" w:name="_Toc431366936"/>
      <w:r>
        <w:t xml:space="preserve">Other </w:t>
      </w:r>
      <w:r w:rsidR="00780073">
        <w:t>Bargaining Power Factors</w:t>
      </w:r>
      <w:bookmarkEnd w:id="17"/>
    </w:p>
    <w:p w:rsidR="003D12AF" w:rsidRPr="00E61ACD" w:rsidRDefault="003D12AF" w:rsidP="002510F0">
      <w:pPr>
        <w:pStyle w:val="Heading4"/>
      </w:pPr>
      <w:bookmarkStart w:id="18" w:name="_Toc431366937"/>
      <w:r w:rsidRPr="00E61ACD">
        <w:t>Connection Fee in Prior Rates</w:t>
      </w:r>
      <w:bookmarkEnd w:id="18"/>
    </w:p>
    <w:p w:rsidR="003D12AF" w:rsidRDefault="003D12AF" w:rsidP="00780073"/>
    <w:p w:rsidR="00002362" w:rsidRDefault="00780073" w:rsidP="00780073">
      <w:r>
        <w:tab/>
        <w:t>TCMUD 12 contends that other evidence shows that it has less bargaining power than WTCPUA</w:t>
      </w:r>
      <w:r w:rsidR="00002362">
        <w:t xml:space="preserve">.  It claims that WTCPUA, on November 1, 2012, </w:t>
      </w:r>
      <w:r w:rsidRPr="00780073">
        <w:t>changed TCMUD 12</w:t>
      </w:r>
      <w:r w:rsidR="00B71573">
        <w:t>’</w:t>
      </w:r>
      <w:r w:rsidRPr="00780073">
        <w:t xml:space="preserve">s </w:t>
      </w:r>
      <w:r w:rsidR="00101B76">
        <w:t>connection fee</w:t>
      </w:r>
      <w:r w:rsidRPr="00780073">
        <w:t xml:space="preserve"> from $4,120 to $5,992 per LUE</w:t>
      </w:r>
      <w:r w:rsidR="003F5A07">
        <w:t xml:space="preserve"> when it adopted the Prior Rates</w:t>
      </w:r>
      <w:r w:rsidR="00002362">
        <w:t>,</w:t>
      </w:r>
      <w:r w:rsidRPr="00780073">
        <w:rPr>
          <w:vertAlign w:val="superscript"/>
        </w:rPr>
        <w:footnoteReference w:id="127"/>
      </w:r>
      <w:r w:rsidRPr="00780073">
        <w:t xml:space="preserve"> contrary to the express terms of the Transfer Agreement</w:t>
      </w:r>
      <w:r w:rsidR="00002362">
        <w:t xml:space="preserve">.  TCMUD 12 claims the Transfer </w:t>
      </w:r>
      <w:r w:rsidR="003F5A07">
        <w:t xml:space="preserve">Agreement </w:t>
      </w:r>
      <w:r w:rsidRPr="00780073">
        <w:t>limited WTCPUA</w:t>
      </w:r>
      <w:r w:rsidR="00B71573">
        <w:t>’</w:t>
      </w:r>
      <w:r w:rsidRPr="00780073">
        <w:t xml:space="preserve">s authority concerning the </w:t>
      </w:r>
      <w:r w:rsidR="00101B76">
        <w:t>connection fee</w:t>
      </w:r>
      <w:r w:rsidRPr="00780073">
        <w:t xml:space="preserve">s to the </w:t>
      </w:r>
      <w:r w:rsidRPr="00780073">
        <w:rPr>
          <w:i/>
        </w:rPr>
        <w:t>collection</w:t>
      </w:r>
      <w:r w:rsidRPr="00780073">
        <w:t xml:space="preserve">, but not the </w:t>
      </w:r>
      <w:r w:rsidRPr="00780073">
        <w:rPr>
          <w:i/>
        </w:rPr>
        <w:t>setting</w:t>
      </w:r>
      <w:r w:rsidRPr="00780073">
        <w:t xml:space="preserve"> of </w:t>
      </w:r>
      <w:r w:rsidR="00002362">
        <w:t>the connection fee</w:t>
      </w:r>
      <w:r w:rsidRPr="00780073">
        <w:t>.</w:t>
      </w:r>
      <w:r w:rsidR="00002362" w:rsidRPr="00780073">
        <w:rPr>
          <w:vertAlign w:val="superscript"/>
        </w:rPr>
        <w:footnoteReference w:id="128"/>
      </w:r>
    </w:p>
    <w:p w:rsidR="00002362" w:rsidRDefault="00002362" w:rsidP="00780073"/>
    <w:p w:rsidR="00644E28" w:rsidRDefault="00644E28" w:rsidP="00644E28">
      <w:r>
        <w:tab/>
        <w:t>WTCPUA contends that the 2012 change to the connection fee do</w:t>
      </w:r>
      <w:r w:rsidR="00D843B4">
        <w:t>es</w:t>
      </w:r>
      <w:r>
        <w:t xml:space="preserve"> not pertain to the Protested Rates, which were adopted in </w:t>
      </w:r>
      <w:r w:rsidR="00CD554E">
        <w:t>November</w:t>
      </w:r>
      <w:r>
        <w:t xml:space="preserve"> 2013.  Moreover, it notes that the Water </w:t>
      </w:r>
      <w:r>
        <w:lastRenderedPageBreak/>
        <w:t xml:space="preserve">Services Agreement expressly gave LCRA authority to change the connection fee </w:t>
      </w:r>
      <w:r w:rsidR="00B71573">
        <w:t>“</w:t>
      </w:r>
      <w:r>
        <w:t>from time to time,</w:t>
      </w:r>
      <w:r w:rsidR="00B71573">
        <w:t>”</w:t>
      </w:r>
      <w:r>
        <w:rPr>
          <w:rStyle w:val="FootnoteReference"/>
        </w:rPr>
        <w:footnoteReference w:id="129"/>
      </w:r>
      <w:r>
        <w:t xml:space="preserve"> and TCMUD 12 expressly agreed </w:t>
      </w:r>
      <w:r w:rsidR="003F5A07">
        <w:t xml:space="preserve">in the Transfer Agreement </w:t>
      </w:r>
      <w:r>
        <w:t>to LCRA</w:t>
      </w:r>
      <w:r w:rsidR="00B71573">
        <w:t>’</w:t>
      </w:r>
      <w:r>
        <w:t>s assign</w:t>
      </w:r>
      <w:r w:rsidR="003F5A07">
        <w:t xml:space="preserve">ing </w:t>
      </w:r>
      <w:r>
        <w:t xml:space="preserve">its rights under the Water Services </w:t>
      </w:r>
      <w:r w:rsidR="003F5A07">
        <w:t>A</w:t>
      </w:r>
      <w:r>
        <w:t>greement to WTCPUA.</w:t>
      </w:r>
      <w:r>
        <w:rPr>
          <w:rStyle w:val="FootnoteReference"/>
        </w:rPr>
        <w:footnoteReference w:id="130"/>
      </w:r>
    </w:p>
    <w:p w:rsidR="006F5AE5" w:rsidRDefault="006F5AE5" w:rsidP="006F5AE5"/>
    <w:p w:rsidR="006F5AE5" w:rsidRDefault="006F5AE5" w:rsidP="006F5AE5">
      <w:r>
        <w:tab/>
      </w:r>
      <w:r w:rsidR="00636EF3">
        <w:t>T</w:t>
      </w:r>
      <w:r>
        <w:t>he ALJ conclude</w:t>
      </w:r>
      <w:r w:rsidR="000A58E3">
        <w:t>s</w:t>
      </w:r>
      <w:r>
        <w:t xml:space="preserve"> that </w:t>
      </w:r>
      <w:r w:rsidR="00636EF3">
        <w:t>the 2012</w:t>
      </w:r>
      <w:r>
        <w:t xml:space="preserve"> change in the connection fee under the Prior Rates </w:t>
      </w:r>
      <w:r w:rsidR="003F5A07">
        <w:t xml:space="preserve">is </w:t>
      </w:r>
      <w:r w:rsidR="000A58E3">
        <w:t xml:space="preserve">not </w:t>
      </w:r>
      <w:r w:rsidR="003F5A07">
        <w:t xml:space="preserve">evidence that </w:t>
      </w:r>
      <w:r>
        <w:t>WTCPUA has disparately greater bargaining power than TCMUD 12.</w:t>
      </w:r>
      <w:r w:rsidR="00636EF3">
        <w:t xml:space="preserve">  </w:t>
      </w:r>
      <w:r w:rsidR="00E741C5">
        <w:t>The Prior Rates were not appealed and are not at issue in this case</w:t>
      </w:r>
      <w:r w:rsidR="0002794F">
        <w:t>.  T</w:t>
      </w:r>
      <w:r w:rsidR="00CD554E">
        <w:t>he ALJ concludes that they were not unreasonable because they were not appealed</w:t>
      </w:r>
      <w:r w:rsidR="00E741C5">
        <w:t xml:space="preserve">.  Moreover, </w:t>
      </w:r>
      <w:r w:rsidR="003F5A07">
        <w:t>TCMUD 12</w:t>
      </w:r>
      <w:r w:rsidR="00B71573">
        <w:t>’</w:t>
      </w:r>
      <w:r w:rsidR="003F5A07">
        <w:t xml:space="preserve">s claim that the connection fee change evidences unequal bargaining power rests on the assumption </w:t>
      </w:r>
      <w:r w:rsidR="00E741C5">
        <w:t xml:space="preserve">it was contrary to the Transfer Agreement, which WTCPUA disputes.  </w:t>
      </w:r>
      <w:r w:rsidR="00636EF3">
        <w:t xml:space="preserve">The </w:t>
      </w:r>
      <w:r w:rsidR="00207BEE">
        <w:t xml:space="preserve">Commission </w:t>
      </w:r>
      <w:r w:rsidR="000D4FF9">
        <w:t>has</w:t>
      </w:r>
      <w:r w:rsidR="00636EF3">
        <w:t xml:space="preserve"> no jurisdiction to resolve the contract dispute between the parties</w:t>
      </w:r>
      <w:r w:rsidR="00E741C5">
        <w:t>.</w:t>
      </w:r>
    </w:p>
    <w:p w:rsidR="006F5AE5" w:rsidRDefault="006F5AE5" w:rsidP="006F5AE5"/>
    <w:p w:rsidR="00E61ACD" w:rsidRPr="00E61ACD" w:rsidRDefault="00E61ACD" w:rsidP="002510F0">
      <w:pPr>
        <w:pStyle w:val="Heading4"/>
      </w:pPr>
      <w:bookmarkStart w:id="19" w:name="_Toc431366938"/>
      <w:r>
        <w:t>Option</w:t>
      </w:r>
      <w:r w:rsidRPr="00E61ACD">
        <w:t xml:space="preserve"> to Amend Contract</w:t>
      </w:r>
      <w:bookmarkEnd w:id="19"/>
    </w:p>
    <w:p w:rsidR="006F5AE5" w:rsidRDefault="006F5AE5" w:rsidP="00780073"/>
    <w:p w:rsidR="00BC59A2" w:rsidRDefault="00002362" w:rsidP="00780073">
      <w:r w:rsidRPr="00CD72CA">
        <w:tab/>
        <w:t xml:space="preserve">TCMUD 12 </w:t>
      </w:r>
      <w:r w:rsidR="00CD6D7D">
        <w:t xml:space="preserve">also </w:t>
      </w:r>
      <w:r w:rsidRPr="00CD72CA">
        <w:t>claims that WTCPUA</w:t>
      </w:r>
      <w:r w:rsidR="00B71573">
        <w:t>’</w:t>
      </w:r>
      <w:r w:rsidRPr="00CD72CA">
        <w:t xml:space="preserve">s offer </w:t>
      </w:r>
      <w:r w:rsidR="00780073" w:rsidRPr="00CD72CA">
        <w:t xml:space="preserve">to </w:t>
      </w:r>
      <w:r w:rsidRPr="00CD72CA">
        <w:t>r</w:t>
      </w:r>
      <w:r w:rsidR="00780073" w:rsidRPr="00CD72CA">
        <w:t>educe TCMUD 12</w:t>
      </w:r>
      <w:r w:rsidR="00B71573">
        <w:t>’</w:t>
      </w:r>
      <w:r w:rsidR="00780073" w:rsidRPr="00CD72CA">
        <w:t xml:space="preserve">s </w:t>
      </w:r>
      <w:r w:rsidR="005F3899" w:rsidRPr="00CD72CA">
        <w:t xml:space="preserve">maximum reserved capacity </w:t>
      </w:r>
      <w:r w:rsidR="00CD72CA" w:rsidRPr="00CD72CA">
        <w:t xml:space="preserve">when </w:t>
      </w:r>
      <w:r w:rsidR="00636EF3">
        <w:t xml:space="preserve">WTCPUA </w:t>
      </w:r>
      <w:r w:rsidR="00CD72CA" w:rsidRPr="00CD72CA">
        <w:t>adopted the Protested Rates show</w:t>
      </w:r>
      <w:r w:rsidR="00207BEE">
        <w:t>s</w:t>
      </w:r>
      <w:r w:rsidR="00CD72CA">
        <w:t xml:space="preserve"> in four ways that </w:t>
      </w:r>
      <w:r w:rsidR="00CD72CA" w:rsidRPr="00CD72CA">
        <w:t>WTCPUA ha</w:t>
      </w:r>
      <w:r w:rsidR="005F3899">
        <w:t>s</w:t>
      </w:r>
      <w:r w:rsidR="00CD72CA" w:rsidRPr="00CD72CA">
        <w:t xml:space="preserve"> greater bargaining power</w:t>
      </w:r>
      <w:r w:rsidR="005F3899">
        <w:t xml:space="preserve"> than TCMUD 12</w:t>
      </w:r>
      <w:r w:rsidR="00CD72CA" w:rsidRPr="00CD72CA">
        <w:t xml:space="preserve">.  </w:t>
      </w:r>
      <w:r w:rsidR="00CD72CA">
        <w:t xml:space="preserve">First, WTCPUA </w:t>
      </w:r>
      <w:r w:rsidR="006F5AE5">
        <w:t>gave</w:t>
      </w:r>
      <w:r w:rsidR="00CD72CA">
        <w:t xml:space="preserve"> </w:t>
      </w:r>
      <w:r w:rsidR="00780073" w:rsidRPr="00780073">
        <w:t xml:space="preserve">TCMUD 12 </w:t>
      </w:r>
      <w:r w:rsidR="006F5AE5">
        <w:t xml:space="preserve">only </w:t>
      </w:r>
      <w:r w:rsidR="00780073" w:rsidRPr="00780073">
        <w:t xml:space="preserve">10 days, </w:t>
      </w:r>
      <w:r w:rsidR="00CD72CA">
        <w:t xml:space="preserve">including the </w:t>
      </w:r>
      <w:r w:rsidR="00780073" w:rsidRPr="00780073">
        <w:t>Christmas holidays</w:t>
      </w:r>
      <w:r w:rsidR="00CD72CA">
        <w:t>,</w:t>
      </w:r>
      <w:r w:rsidR="00780073" w:rsidRPr="00780073">
        <w:rPr>
          <w:vertAlign w:val="superscript"/>
        </w:rPr>
        <w:footnoteReference w:id="131"/>
      </w:r>
      <w:r w:rsidR="00780073" w:rsidRPr="00780073">
        <w:t xml:space="preserve"> </w:t>
      </w:r>
      <w:r w:rsidR="00CD72CA">
        <w:t xml:space="preserve">to respond to the offer.  Second, </w:t>
      </w:r>
      <w:r w:rsidR="00780073" w:rsidRPr="00780073">
        <w:t xml:space="preserve">reducing </w:t>
      </w:r>
      <w:r w:rsidR="0002794F">
        <w:t xml:space="preserve">TCMUD 12’s </w:t>
      </w:r>
      <w:r w:rsidR="005F3899" w:rsidRPr="00780073">
        <w:t xml:space="preserve">maximum day </w:t>
      </w:r>
      <w:r w:rsidR="005F3899">
        <w:t xml:space="preserve">capacity </w:t>
      </w:r>
      <w:r w:rsidR="005F3899" w:rsidRPr="00780073">
        <w:t xml:space="preserve">reservation </w:t>
      </w:r>
      <w:r w:rsidR="00780073" w:rsidRPr="00780073">
        <w:t xml:space="preserve">under the </w:t>
      </w:r>
      <w:r w:rsidR="00CD72CA">
        <w:t xml:space="preserve">Water Services Agreement would have been </w:t>
      </w:r>
      <w:r w:rsidR="00780073" w:rsidRPr="00780073">
        <w:t xml:space="preserve">problematic </w:t>
      </w:r>
      <w:r w:rsidR="00CD72CA">
        <w:t xml:space="preserve">and foolish because </w:t>
      </w:r>
      <w:r w:rsidR="00780073" w:rsidRPr="00780073">
        <w:t xml:space="preserve">TCMUD 12 is a very young district and </w:t>
      </w:r>
      <w:r w:rsidR="00CD72CA">
        <w:t xml:space="preserve">expects to </w:t>
      </w:r>
      <w:r w:rsidR="00780073" w:rsidRPr="00780073">
        <w:t xml:space="preserve">need the full capacity </w:t>
      </w:r>
      <w:r w:rsidR="00207BEE">
        <w:t xml:space="preserve">between </w:t>
      </w:r>
      <w:r w:rsidR="0002794F">
        <w:t xml:space="preserve">the years </w:t>
      </w:r>
      <w:r w:rsidR="00207BEE">
        <w:t>2022 and</w:t>
      </w:r>
      <w:r w:rsidR="00780073" w:rsidRPr="00780073">
        <w:t xml:space="preserve"> 2025.</w:t>
      </w:r>
      <w:r w:rsidR="00780073" w:rsidRPr="00780073">
        <w:rPr>
          <w:vertAlign w:val="superscript"/>
        </w:rPr>
        <w:footnoteReference w:id="132"/>
      </w:r>
    </w:p>
    <w:p w:rsidR="00BC59A2" w:rsidRDefault="00BC59A2" w:rsidP="00780073"/>
    <w:p w:rsidR="00BC59A2" w:rsidRDefault="00BC59A2" w:rsidP="00780073">
      <w:r>
        <w:tab/>
      </w:r>
      <w:r w:rsidR="00CD72CA">
        <w:t xml:space="preserve">Third, </w:t>
      </w:r>
      <w:r w:rsidR="00780073" w:rsidRPr="00780073">
        <w:t>reducing the reservation would have potentially stranded TCMUD 12</w:t>
      </w:r>
      <w:r w:rsidR="00B71573">
        <w:t>’</w:t>
      </w:r>
      <w:r w:rsidR="00780073" w:rsidRPr="00780073">
        <w:t>s $1.5 million</w:t>
      </w:r>
      <w:r w:rsidR="005A790D">
        <w:t xml:space="preserve"> investment, through connection fees, </w:t>
      </w:r>
      <w:r w:rsidR="00780073" w:rsidRPr="00780073">
        <w:t xml:space="preserve">in the </w:t>
      </w:r>
      <w:r w:rsidR="005A790D">
        <w:t>WTCPUA s</w:t>
      </w:r>
      <w:r w:rsidR="00780073" w:rsidRPr="00780073">
        <w:t xml:space="preserve">ystem. </w:t>
      </w:r>
      <w:r w:rsidR="005A790D">
        <w:t xml:space="preserve"> Fourth, </w:t>
      </w:r>
      <w:r w:rsidR="00780073" w:rsidRPr="00780073">
        <w:t xml:space="preserve">the </w:t>
      </w:r>
      <w:r w:rsidR="005A790D">
        <w:t>c</w:t>
      </w:r>
      <w:r w:rsidR="00780073" w:rsidRPr="00780073">
        <w:t xml:space="preserve">ontract </w:t>
      </w:r>
      <w:r w:rsidR="005A790D">
        <w:t>a</w:t>
      </w:r>
      <w:r w:rsidR="00780073" w:rsidRPr="00780073">
        <w:t xml:space="preserve">mendment would have replaced the provisions in the Water Services Agreement that </w:t>
      </w:r>
      <w:r w:rsidR="00780073" w:rsidRPr="00780073">
        <w:lastRenderedPageBreak/>
        <w:t xml:space="preserve">established the methodology for setting the </w:t>
      </w:r>
      <w:r w:rsidR="00101B76">
        <w:t>monthly charge</w:t>
      </w:r>
      <w:r w:rsidR="00780073" w:rsidRPr="00780073">
        <w:rPr>
          <w:vertAlign w:val="superscript"/>
        </w:rPr>
        <w:footnoteReference w:id="133"/>
      </w:r>
      <w:r w:rsidR="00780073" w:rsidRPr="00780073">
        <w:t xml:space="preserve"> and the </w:t>
      </w:r>
      <w:r w:rsidR="005F3899">
        <w:t xml:space="preserve">volumetric </w:t>
      </w:r>
      <w:r w:rsidR="00101B76">
        <w:t>rate</w:t>
      </w:r>
      <w:r w:rsidR="00780073" w:rsidRPr="00780073">
        <w:rPr>
          <w:vertAlign w:val="superscript"/>
        </w:rPr>
        <w:footnoteReference w:id="134"/>
      </w:r>
      <w:r w:rsidR="00780073" w:rsidRPr="00780073">
        <w:t xml:space="preserve"> and replaced them with </w:t>
      </w:r>
      <w:r w:rsidR="005A790D">
        <w:t xml:space="preserve">the </w:t>
      </w:r>
      <w:r w:rsidR="00780073" w:rsidRPr="00780073">
        <w:t xml:space="preserve">methodologies </w:t>
      </w:r>
      <w:r w:rsidR="005A790D">
        <w:t>underlying the Protested Rates</w:t>
      </w:r>
      <w:r w:rsidR="0002794F">
        <w:t>.</w:t>
      </w:r>
    </w:p>
    <w:p w:rsidR="00BC59A2" w:rsidRDefault="00BC59A2" w:rsidP="00780073"/>
    <w:p w:rsidR="00780073" w:rsidRPr="00780073" w:rsidRDefault="00BC59A2" w:rsidP="00780073">
      <w:r>
        <w:tab/>
      </w:r>
      <w:r w:rsidR="00780073" w:rsidRPr="00780073">
        <w:t>Although TCMUD 12 declined WTCPUA</w:t>
      </w:r>
      <w:r w:rsidR="00B71573">
        <w:t>’</w:t>
      </w:r>
      <w:r w:rsidR="00780073" w:rsidRPr="00780073">
        <w:t xml:space="preserve">s offer to amend </w:t>
      </w:r>
      <w:r w:rsidR="005A790D">
        <w:t xml:space="preserve">the </w:t>
      </w:r>
      <w:r w:rsidR="005A790D" w:rsidRPr="00780073">
        <w:t xml:space="preserve">Water Services </w:t>
      </w:r>
      <w:r w:rsidR="005A790D">
        <w:t>Agreement</w:t>
      </w:r>
      <w:r w:rsidR="00780073" w:rsidRPr="00780073">
        <w:t xml:space="preserve">, WTCPUA </w:t>
      </w:r>
      <w:r>
        <w:t xml:space="preserve">still </w:t>
      </w:r>
      <w:r w:rsidR="005A790D">
        <w:t>adopt</w:t>
      </w:r>
      <w:r w:rsidR="00B94220">
        <w:t>ed</w:t>
      </w:r>
      <w:r w:rsidR="005A790D">
        <w:t xml:space="preserve"> the Protested Rates, which according to </w:t>
      </w:r>
      <w:r w:rsidR="00780073" w:rsidRPr="00780073">
        <w:t>TCMUD 12</w:t>
      </w:r>
      <w:r w:rsidR="005A790D">
        <w:t xml:space="preserve"> imposed </w:t>
      </w:r>
      <w:r>
        <w:t xml:space="preserve">the same </w:t>
      </w:r>
      <w:r w:rsidR="005A790D">
        <w:t>new rate methodology.</w:t>
      </w:r>
      <w:r w:rsidR="0012465E">
        <w:t xml:space="preserve"> </w:t>
      </w:r>
      <w:r>
        <w:t xml:space="preserve"> Dr. Zarnikau, who had no direct knowledge and did not point to a source for the information, testified that WTCPUA ignored </w:t>
      </w:r>
      <w:r w:rsidRPr="00780073">
        <w:t>one wholesale customer</w:t>
      </w:r>
      <w:r w:rsidR="00B71573">
        <w:t>’</w:t>
      </w:r>
      <w:r>
        <w:t>s</w:t>
      </w:r>
      <w:r w:rsidRPr="00780073">
        <w:t xml:space="preserve"> expressed concerns about chang</w:t>
      </w:r>
      <w:r>
        <w:t xml:space="preserve">ing the rate </w:t>
      </w:r>
      <w:r w:rsidRPr="00780073">
        <w:t>methodology.</w:t>
      </w:r>
      <w:r w:rsidRPr="00780073">
        <w:rPr>
          <w:vertAlign w:val="superscript"/>
        </w:rPr>
        <w:footnoteReference w:id="135"/>
      </w:r>
    </w:p>
    <w:p w:rsidR="00780073" w:rsidRDefault="00780073" w:rsidP="00780073"/>
    <w:p w:rsidR="000B7601" w:rsidRDefault="000B7601" w:rsidP="000B7601">
      <w:r>
        <w:tab/>
        <w:t>Below in the PFD, the ALJ considers and rejects TCMUD 12</w:t>
      </w:r>
      <w:r w:rsidR="00B71573">
        <w:t>’</w:t>
      </w:r>
      <w:r>
        <w:t xml:space="preserve">s claim that the Protested Rates </w:t>
      </w:r>
      <w:r w:rsidR="00CD554E">
        <w:t xml:space="preserve">and the underlying revenue requirement </w:t>
      </w:r>
      <w:r>
        <w:t>were computed based on change</w:t>
      </w:r>
      <w:r w:rsidR="00CD554E">
        <w:t>d methodologies</w:t>
      </w:r>
      <w:r>
        <w:t>.  That is a separate factor that the Public Interest Rule requires to be considered in determining whether a seller abused monopoly power</w:t>
      </w:r>
      <w:r w:rsidR="009A3A82">
        <w:t xml:space="preserve"> in providing water service</w:t>
      </w:r>
      <w:r>
        <w:t>.</w:t>
      </w:r>
      <w:r>
        <w:rPr>
          <w:rStyle w:val="FootnoteReference"/>
        </w:rPr>
        <w:footnoteReference w:id="136"/>
      </w:r>
      <w:r>
        <w:t xml:space="preserve">  </w:t>
      </w:r>
      <w:r w:rsidR="00CD554E">
        <w:t>In this portion of the PFD</w:t>
      </w:r>
      <w:r>
        <w:t>, there is no reason to redundantly consider TCMUD 12</w:t>
      </w:r>
      <w:r w:rsidR="00B71573">
        <w:t>’</w:t>
      </w:r>
      <w:r>
        <w:t xml:space="preserve">s claim that WTCPUA </w:t>
      </w:r>
      <w:r w:rsidR="00CD554E">
        <w:t>changed m</w:t>
      </w:r>
      <w:r>
        <w:t>ethodolog</w:t>
      </w:r>
      <w:r w:rsidR="00CD554E">
        <w:t>ies.</w:t>
      </w:r>
    </w:p>
    <w:p w:rsidR="000B7601" w:rsidRDefault="000B7601" w:rsidP="000B7601"/>
    <w:p w:rsidR="00572B76" w:rsidRDefault="00572B76" w:rsidP="00780073">
      <w:r>
        <w:tab/>
      </w:r>
      <w:r w:rsidR="009A3A82">
        <w:t>As to TCMUD 12</w:t>
      </w:r>
      <w:r w:rsidR="00B71573">
        <w:t>’</w:t>
      </w:r>
      <w:r w:rsidR="00693C4F">
        <w:t>s</w:t>
      </w:r>
      <w:r w:rsidR="009A3A82">
        <w:t xml:space="preserve"> other arguments, </w:t>
      </w:r>
      <w:r>
        <w:t xml:space="preserve">WTCPUA responds that </w:t>
      </w:r>
      <w:r w:rsidR="00F82BD5">
        <w:t xml:space="preserve">the fact that it </w:t>
      </w:r>
      <w:r>
        <w:t>offer</w:t>
      </w:r>
      <w:r w:rsidR="00F82BD5">
        <w:t>ed</w:t>
      </w:r>
      <w:r>
        <w:t xml:space="preserve"> to allow wholesale customers, including TCMUD 12, to reduce their capacity reservation and lower their rates shows WTCPUA did not have greater bargaining power.  It notes that it did not attempt to unilaterally reduce TCMUD 12</w:t>
      </w:r>
      <w:r w:rsidR="00B71573">
        <w:t>’</w:t>
      </w:r>
      <w:r>
        <w:t>s reserved capacity</w:t>
      </w:r>
      <w:r w:rsidR="00CD554E">
        <w:t>,</w:t>
      </w:r>
      <w:r>
        <w:t xml:space="preserve"> but instead offered a</w:t>
      </w:r>
      <w:r w:rsidR="009A3A82">
        <w:t xml:space="preserve"> reduction</w:t>
      </w:r>
      <w:r>
        <w:t xml:space="preserve"> option </w:t>
      </w:r>
      <w:r w:rsidR="009A3A82">
        <w:t>that TCMUD 12 was free to reject</w:t>
      </w:r>
      <w:r>
        <w:t xml:space="preserve">.  Additionally, WTCPUA </w:t>
      </w:r>
      <w:r w:rsidR="009A3A82">
        <w:t xml:space="preserve">argues </w:t>
      </w:r>
      <w:r>
        <w:t>that TCMUD 12</w:t>
      </w:r>
      <w:r w:rsidR="00B71573">
        <w:t>’</w:t>
      </w:r>
      <w:r w:rsidR="00F82BD5">
        <w:t>s</w:t>
      </w:r>
      <w:r>
        <w:t xml:space="preserve"> rejection of the proposed amendments to the Water Services Agreement shows that WTCPUA does not have greater bargaining power</w:t>
      </w:r>
      <w:r w:rsidR="009A3A82">
        <w:t xml:space="preserve"> than TCMUD 12</w:t>
      </w:r>
      <w:r>
        <w:t>.</w:t>
      </w:r>
    </w:p>
    <w:p w:rsidR="0090165F" w:rsidRDefault="0090165F" w:rsidP="00780073"/>
    <w:p w:rsidR="00FC4E7F" w:rsidRDefault="0090165F" w:rsidP="00780073">
      <w:r>
        <w:tab/>
        <w:t>The ALJ fails to see how conditionally offering to allow TCMUD 12 to reduce it</w:t>
      </w:r>
      <w:r w:rsidR="00474EE0">
        <w:t>s</w:t>
      </w:r>
      <w:r>
        <w:t xml:space="preserve"> </w:t>
      </w:r>
      <w:r w:rsidR="00474EE0">
        <w:t xml:space="preserve">reserved </w:t>
      </w:r>
      <w:r>
        <w:t>treatment capacity shows that WTCPUA had disparately greater bargaining power</w:t>
      </w:r>
      <w:r w:rsidR="00E235D0">
        <w:t xml:space="preserve"> than </w:t>
      </w:r>
      <w:r w:rsidR="00E235D0">
        <w:lastRenderedPageBreak/>
        <w:t>TCMUD 12</w:t>
      </w:r>
      <w:r>
        <w:t>.</w:t>
      </w:r>
      <w:r w:rsidR="00E235D0">
        <w:t xml:space="preserve">  Obviously, TCMUD 12 did not like the offer and chose not to take it, </w:t>
      </w:r>
      <w:r w:rsidR="00D56AB1">
        <w:t xml:space="preserve">which </w:t>
      </w:r>
      <w:r w:rsidR="00E235D0">
        <w:t>proves that WTCPUA could not compel TCMUD 12</w:t>
      </w:r>
      <w:r w:rsidR="00D56AB1">
        <w:t xml:space="preserve"> to take the offer</w:t>
      </w:r>
      <w:r w:rsidR="00E235D0">
        <w:t>.</w:t>
      </w:r>
      <w:r w:rsidR="00D56AB1">
        <w:t xml:space="preserve"> </w:t>
      </w:r>
    </w:p>
    <w:p w:rsidR="002510F0" w:rsidRDefault="002510F0" w:rsidP="00780073"/>
    <w:p w:rsidR="002510F0" w:rsidRDefault="002510F0" w:rsidP="002510F0">
      <w:pPr>
        <w:pStyle w:val="Heading4"/>
      </w:pPr>
      <w:bookmarkStart w:id="20" w:name="_Toc431366939"/>
      <w:r>
        <w:t>Input before Protested Rates Implemented</w:t>
      </w:r>
      <w:bookmarkEnd w:id="20"/>
    </w:p>
    <w:p w:rsidR="00FC4E7F" w:rsidRDefault="00FC4E7F" w:rsidP="00780073"/>
    <w:p w:rsidR="00B064BE" w:rsidRDefault="002510F0" w:rsidP="00780073">
      <w:r>
        <w:tab/>
        <w:t>TCMUD 12 claims that WTCPUA gave it no meaningful opportunity to provide input before adopting the Protested Rates</w:t>
      </w:r>
      <w:r w:rsidR="00C9093C">
        <w:t xml:space="preserve">.  </w:t>
      </w:r>
      <w:r w:rsidR="00B064BE">
        <w:t xml:space="preserve">TCMUD 12 notes that the method for calculating the Protested Rates did not change </w:t>
      </w:r>
      <w:r w:rsidR="00124CD6">
        <w:t xml:space="preserve">between </w:t>
      </w:r>
      <w:r w:rsidR="00B064BE" w:rsidRPr="00742529">
        <w:t>May 14, 2013</w:t>
      </w:r>
      <w:r w:rsidR="00B064BE">
        <w:t>, as reflected in WTCPUA</w:t>
      </w:r>
      <w:r w:rsidR="00B71573">
        <w:t>’</w:t>
      </w:r>
      <w:r w:rsidR="00B064BE">
        <w:t xml:space="preserve">s </w:t>
      </w:r>
      <w:r w:rsidR="00B71573">
        <w:t>“</w:t>
      </w:r>
      <w:r w:rsidR="00B064BE" w:rsidRPr="00742529">
        <w:t>draft contract amendment</w:t>
      </w:r>
      <w:r w:rsidR="00B064BE">
        <w:t>,</w:t>
      </w:r>
      <w:r w:rsidR="00B71573">
        <w:t>”</w:t>
      </w:r>
      <w:r w:rsidR="00B064BE" w:rsidRPr="00742529">
        <w:rPr>
          <w:vertAlign w:val="superscript"/>
        </w:rPr>
        <w:footnoteReference w:id="137"/>
      </w:r>
      <w:r w:rsidR="00B064BE" w:rsidRPr="00742529">
        <w:t xml:space="preserve"> </w:t>
      </w:r>
      <w:r w:rsidR="00124CD6">
        <w:t>and</w:t>
      </w:r>
      <w:r w:rsidR="00B064BE">
        <w:t xml:space="preserve"> </w:t>
      </w:r>
      <w:r w:rsidR="00B064BE" w:rsidRPr="00742529">
        <w:t xml:space="preserve">November 21, 2013, </w:t>
      </w:r>
      <w:r w:rsidR="00B064BE">
        <w:t xml:space="preserve">when </w:t>
      </w:r>
      <w:r w:rsidR="00B064BE" w:rsidRPr="00742529">
        <w:t xml:space="preserve">the WTCPUA Board adopted a resolution </w:t>
      </w:r>
      <w:r w:rsidR="00B064BE">
        <w:t xml:space="preserve">authorizing </w:t>
      </w:r>
      <w:r w:rsidR="00B064BE" w:rsidRPr="00742529">
        <w:t>contract amendment</w:t>
      </w:r>
      <w:r w:rsidR="00B064BE">
        <w:t>s</w:t>
      </w:r>
      <w:r w:rsidR="00124CD6">
        <w:t xml:space="preserve"> to reduce reserved capacity </w:t>
      </w:r>
      <w:r w:rsidR="00B064BE">
        <w:t>and the Protested Rates</w:t>
      </w:r>
      <w:r w:rsidR="00B064BE" w:rsidRPr="00742529">
        <w:t>.</w:t>
      </w:r>
      <w:r w:rsidR="00124CD6" w:rsidRPr="00742529">
        <w:rPr>
          <w:vertAlign w:val="superscript"/>
        </w:rPr>
        <w:footnoteReference w:id="138"/>
      </w:r>
    </w:p>
    <w:p w:rsidR="00B064BE" w:rsidRDefault="00B064BE" w:rsidP="00780073"/>
    <w:p w:rsidR="002510F0" w:rsidRDefault="00B064BE" w:rsidP="00780073">
      <w:r>
        <w:tab/>
      </w:r>
      <w:r w:rsidR="00124CD6">
        <w:t xml:space="preserve">Before </w:t>
      </w:r>
      <w:r w:rsidR="002510F0">
        <w:t xml:space="preserve">May 2013, </w:t>
      </w:r>
      <w:r w:rsidR="00C9093C">
        <w:t xml:space="preserve">however, </w:t>
      </w:r>
      <w:r w:rsidR="002510F0">
        <w:t xml:space="preserve">WTCPUA hosted </w:t>
      </w:r>
      <w:r w:rsidR="005605BE">
        <w:t xml:space="preserve">six </w:t>
      </w:r>
      <w:r w:rsidR="002510F0">
        <w:t>me</w:t>
      </w:r>
      <w:r w:rsidR="00F82BD5">
        <w:t>et</w:t>
      </w:r>
      <w:r w:rsidR="002510F0">
        <w:t xml:space="preserve">ings with its wholesale customers to obtain </w:t>
      </w:r>
      <w:r w:rsidR="005605BE">
        <w:t xml:space="preserve">their </w:t>
      </w:r>
      <w:r w:rsidR="002510F0">
        <w:t xml:space="preserve">input on </w:t>
      </w:r>
      <w:r w:rsidR="005605BE">
        <w:t>WTCPUA</w:t>
      </w:r>
      <w:r w:rsidR="00B71573">
        <w:t>’</w:t>
      </w:r>
      <w:r w:rsidR="005605BE">
        <w:t>s</w:t>
      </w:r>
      <w:r w:rsidR="002510F0">
        <w:t xml:space="preserve"> allocation of </w:t>
      </w:r>
      <w:r w:rsidR="005605BE">
        <w:t xml:space="preserve">it </w:t>
      </w:r>
      <w:r w:rsidR="002510F0">
        <w:t>costs.</w:t>
      </w:r>
      <w:r w:rsidR="00063186">
        <w:rPr>
          <w:rStyle w:val="FootnoteReference"/>
        </w:rPr>
        <w:footnoteReference w:id="139"/>
      </w:r>
      <w:r w:rsidR="002510F0">
        <w:t xml:space="preserve">  </w:t>
      </w:r>
      <w:r w:rsidR="00063186">
        <w:t>A TCMUD 12 representative attended four of the six meetings.</w:t>
      </w:r>
      <w:r w:rsidR="00063186">
        <w:rPr>
          <w:rStyle w:val="FootnoteReference"/>
        </w:rPr>
        <w:footnoteReference w:id="140"/>
      </w:r>
      <w:r w:rsidR="00063186">
        <w:t xml:space="preserve">  </w:t>
      </w:r>
      <w:r w:rsidR="00C9093C">
        <w:t>Also</w:t>
      </w:r>
      <w:r w:rsidR="00124CD6">
        <w:t>,</w:t>
      </w:r>
      <w:r w:rsidR="00C9093C">
        <w:t xml:space="preserve"> before the rates were adopted, </w:t>
      </w:r>
      <w:r w:rsidR="00063186">
        <w:t>WTCPUA</w:t>
      </w:r>
      <w:r w:rsidR="00B71573">
        <w:t>’</w:t>
      </w:r>
      <w:r w:rsidR="00063186">
        <w:t xml:space="preserve">s representative met with Mr. </w:t>
      </w:r>
      <w:r w:rsidR="000D4FF9">
        <w:t>DiQuinzio</w:t>
      </w:r>
      <w:r w:rsidR="00063186">
        <w:t xml:space="preserve"> and </w:t>
      </w:r>
      <w:r w:rsidR="00B706EB">
        <w:t>Jay</w:t>
      </w:r>
      <w:r w:rsidR="00063186">
        <w:t xml:space="preserve"> Joyce, for TCMUD 12, on three other occasions to discuss the Protested Rates </w:t>
      </w:r>
      <w:r w:rsidR="004C6040">
        <w:t>and receive written input from them</w:t>
      </w:r>
      <w:r w:rsidR="00063186">
        <w:t>.</w:t>
      </w:r>
      <w:r w:rsidR="00063186">
        <w:rPr>
          <w:rStyle w:val="FootnoteReference"/>
        </w:rPr>
        <w:footnoteReference w:id="141"/>
      </w:r>
      <w:r w:rsidR="00DA6095">
        <w:t xml:space="preserve">  </w:t>
      </w:r>
      <w:r w:rsidR="002510F0">
        <w:t xml:space="preserve">Ultimately, </w:t>
      </w:r>
      <w:r w:rsidR="00DA6095">
        <w:t xml:space="preserve">on </w:t>
      </w:r>
      <w:r w:rsidR="00B1028D">
        <w:t xml:space="preserve">April </w:t>
      </w:r>
      <w:r w:rsidR="00DA6095">
        <w:t xml:space="preserve">9, </w:t>
      </w:r>
      <w:r w:rsidR="00B1028D">
        <w:t xml:space="preserve">2013, </w:t>
      </w:r>
      <w:r w:rsidR="00DA6095">
        <w:t xml:space="preserve">a committee of </w:t>
      </w:r>
      <w:r w:rsidR="002510F0">
        <w:t>the wholesale customers</w:t>
      </w:r>
      <w:r w:rsidR="00DA6095">
        <w:t xml:space="preserve"> proposed an </w:t>
      </w:r>
      <w:r w:rsidR="00B1028D">
        <w:t xml:space="preserve">allocation of </w:t>
      </w:r>
      <w:r w:rsidR="00DA6095">
        <w:t>WTCPUA</w:t>
      </w:r>
      <w:r w:rsidR="00B71573">
        <w:t>’</w:t>
      </w:r>
      <w:r w:rsidR="00DA6095">
        <w:t xml:space="preserve">s </w:t>
      </w:r>
      <w:r w:rsidR="00B1028D">
        <w:t>debt</w:t>
      </w:r>
      <w:r w:rsidR="00AA69B4">
        <w:t xml:space="preserve">, </w:t>
      </w:r>
      <w:r w:rsidR="00B1028D">
        <w:t>operations</w:t>
      </w:r>
      <w:r w:rsidR="00AA69B4">
        <w:t>,</w:t>
      </w:r>
      <w:r w:rsidR="00B1028D">
        <w:t xml:space="preserve"> and maintenance costs in the </w:t>
      </w:r>
      <w:r w:rsidR="00101B76">
        <w:t>monthly charge</w:t>
      </w:r>
      <w:r w:rsidR="00B1028D">
        <w:t xml:space="preserve">, which formed the basis for </w:t>
      </w:r>
      <w:r w:rsidR="008E247F">
        <w:t xml:space="preserve">the </w:t>
      </w:r>
      <w:r w:rsidR="00101B76">
        <w:t>monthly charge</w:t>
      </w:r>
      <w:r w:rsidR="00B1028D">
        <w:t xml:space="preserve"> in the Protested Rates that was presented to and adopted by the WTCPUA board</w:t>
      </w:r>
      <w:r w:rsidR="00A02312">
        <w:t xml:space="preserve"> on November </w:t>
      </w:r>
      <w:r w:rsidR="00581708">
        <w:t>2</w:t>
      </w:r>
      <w:r w:rsidR="00A02312">
        <w:t>1, 2013</w:t>
      </w:r>
      <w:r w:rsidR="00B1028D">
        <w:t>.</w:t>
      </w:r>
      <w:r w:rsidR="00B1028D">
        <w:rPr>
          <w:rStyle w:val="FootnoteReference"/>
        </w:rPr>
        <w:footnoteReference w:id="142"/>
      </w:r>
      <w:r w:rsidR="00B1028D">
        <w:t xml:space="preserve">  </w:t>
      </w:r>
      <w:r w:rsidR="0022167E">
        <w:t>S</w:t>
      </w:r>
      <w:r w:rsidR="00A02312">
        <w:t xml:space="preserve">ign-in sheets and minutes </w:t>
      </w:r>
      <w:r w:rsidR="00AA69B4">
        <w:t xml:space="preserve">do not indicate that anyone for TCMUD 12 attended </w:t>
      </w:r>
      <w:r w:rsidR="00A02312">
        <w:t xml:space="preserve">the board meeting </w:t>
      </w:r>
      <w:r w:rsidR="0022167E">
        <w:t xml:space="preserve">to </w:t>
      </w:r>
      <w:r w:rsidR="00A02312">
        <w:t>protest the Protested Rates.</w:t>
      </w:r>
      <w:r w:rsidR="00A02312">
        <w:rPr>
          <w:rStyle w:val="FootnoteReference"/>
        </w:rPr>
        <w:footnoteReference w:id="143"/>
      </w:r>
    </w:p>
    <w:p w:rsidR="005605BE" w:rsidRDefault="005605BE" w:rsidP="00780073"/>
    <w:p w:rsidR="00581708" w:rsidRDefault="00581708" w:rsidP="00581708">
      <w:r>
        <w:lastRenderedPageBreak/>
        <w:tab/>
        <w:t xml:space="preserve">Also, as previously discussed, WTCPUA gave </w:t>
      </w:r>
      <w:r w:rsidRPr="005605BE">
        <w:t>TCMUD 12</w:t>
      </w:r>
      <w:r>
        <w:t xml:space="preserve"> and all of its wholesale customers the opportunity to amend their contracts to change their reserved treatment capacity.</w:t>
      </w:r>
      <w:r w:rsidRPr="00796BDC">
        <w:rPr>
          <w:vertAlign w:val="superscript"/>
        </w:rPr>
        <w:footnoteReference w:id="144"/>
      </w:r>
      <w:r w:rsidRPr="00796BDC">
        <w:t xml:space="preserve">  </w:t>
      </w:r>
      <w:r w:rsidR="00886849">
        <w:t xml:space="preserve">The </w:t>
      </w:r>
      <w:r w:rsidR="00101B76">
        <w:t>monthly charge</w:t>
      </w:r>
      <w:r w:rsidR="00886849">
        <w:t xml:space="preserve"> </w:t>
      </w:r>
      <w:r w:rsidR="00093EAC">
        <w:t xml:space="preserve">TCMUD 12 </w:t>
      </w:r>
      <w:r w:rsidR="00886849">
        <w:t>pays under the Protested Rates would have been reduced i</w:t>
      </w:r>
      <w:r>
        <w:t xml:space="preserve">f TCMUD 12 had accepted </w:t>
      </w:r>
      <w:r w:rsidR="004970AB">
        <w:t>WTCPUA</w:t>
      </w:r>
      <w:r w:rsidR="00B71573">
        <w:t>’</w:t>
      </w:r>
      <w:r w:rsidR="004970AB">
        <w:t xml:space="preserve">s </w:t>
      </w:r>
      <w:r>
        <w:t xml:space="preserve">offer to reduce its maximum reserved </w:t>
      </w:r>
      <w:r w:rsidR="00886849">
        <w:t xml:space="preserve">treatment </w:t>
      </w:r>
      <w:r>
        <w:t>capacity</w:t>
      </w:r>
      <w:r w:rsidR="00886849">
        <w:t xml:space="preserve"> in the WTCPUA system.</w:t>
      </w:r>
      <w:r>
        <w:rPr>
          <w:rStyle w:val="FootnoteReference"/>
        </w:rPr>
        <w:footnoteReference w:id="145"/>
      </w:r>
      <w:r>
        <w:t xml:space="preserve">  </w:t>
      </w:r>
      <w:r w:rsidRPr="00187CBE">
        <w:t xml:space="preserve">The Protested </w:t>
      </w:r>
      <w:r w:rsidR="00F82BD5">
        <w:t xml:space="preserve">Rates </w:t>
      </w:r>
      <w:r w:rsidR="00101B76">
        <w:t>monthly charge</w:t>
      </w:r>
      <w:r w:rsidRPr="00187CBE">
        <w:t xml:space="preserve"> was developed using a 7-step formula</w:t>
      </w:r>
      <w:r>
        <w:t>.</w:t>
      </w:r>
      <w:r w:rsidRPr="00187CBE">
        <w:rPr>
          <w:vertAlign w:val="superscript"/>
        </w:rPr>
        <w:footnoteReference w:id="146"/>
      </w:r>
      <w:r w:rsidRPr="00187CBE">
        <w:t xml:space="preserve"> </w:t>
      </w:r>
      <w:r>
        <w:t xml:space="preserve"> </w:t>
      </w:r>
      <w:r w:rsidRPr="00187CBE">
        <w:t xml:space="preserve">This </w:t>
      </w:r>
      <w:r>
        <w:t xml:space="preserve">same formula </w:t>
      </w:r>
      <w:r w:rsidRPr="00187CBE">
        <w:t>is reflected in WTCPUA</w:t>
      </w:r>
      <w:r w:rsidR="00B71573">
        <w:t>’</w:t>
      </w:r>
      <w:r w:rsidRPr="00187CBE">
        <w:t>s FY 14 Minimum Bill Analysis for TCMUD 12</w:t>
      </w:r>
      <w:r w:rsidR="008E370D">
        <w:t>,</w:t>
      </w:r>
      <w:r w:rsidRPr="00187CBE">
        <w:rPr>
          <w:vertAlign w:val="superscript"/>
        </w:rPr>
        <w:footnoteReference w:id="147"/>
      </w:r>
      <w:r w:rsidRPr="00187CBE">
        <w:t xml:space="preserve"> the </w:t>
      </w:r>
      <w:r w:rsidR="008E370D">
        <w:t>contract amendments WTCPUA offered to all of its wholesale customers,</w:t>
      </w:r>
      <w:r w:rsidRPr="00187CBE">
        <w:rPr>
          <w:vertAlign w:val="superscript"/>
        </w:rPr>
        <w:footnoteReference w:id="148"/>
      </w:r>
      <w:r w:rsidR="008E370D">
        <w:t xml:space="preserve"> and </w:t>
      </w:r>
      <w:r w:rsidRPr="00187CBE">
        <w:t xml:space="preserve">the </w:t>
      </w:r>
      <w:r w:rsidR="008E370D">
        <w:t>c</w:t>
      </w:r>
      <w:r w:rsidRPr="00187CBE">
        <w:t xml:space="preserve">ontract </w:t>
      </w:r>
      <w:r w:rsidR="008E370D">
        <w:t>a</w:t>
      </w:r>
      <w:r w:rsidRPr="00187CBE">
        <w:t>mendments accepted by six wholesale customers.</w:t>
      </w:r>
      <w:r w:rsidRPr="00187CBE">
        <w:rPr>
          <w:vertAlign w:val="superscript"/>
        </w:rPr>
        <w:footnoteReference w:id="149"/>
      </w:r>
      <w:r w:rsidRPr="00187CBE">
        <w:t xml:space="preserve">  </w:t>
      </w:r>
    </w:p>
    <w:p w:rsidR="00581708" w:rsidRDefault="00581708" w:rsidP="00742529"/>
    <w:p w:rsidR="00DA6095" w:rsidRDefault="00DA6095" w:rsidP="00742529">
      <w:r>
        <w:tab/>
      </w:r>
      <w:r w:rsidR="000D4FF9">
        <w:t>The ALJ concludes that WTCPUA gave TCMUD 12, and its other wholesale customers, a meaningful opportunity to provide input before implementing the Protested Rates.</w:t>
      </w:r>
    </w:p>
    <w:p w:rsidR="00FF7CFE" w:rsidRDefault="00FF7CFE" w:rsidP="00742529"/>
    <w:p w:rsidR="001115AF" w:rsidRDefault="001115AF" w:rsidP="00FF7CFE">
      <w:pPr>
        <w:pStyle w:val="Heading4"/>
      </w:pPr>
      <w:bookmarkStart w:id="21" w:name="_Toc431366940"/>
      <w:r>
        <w:t>WTCPUA</w:t>
      </w:r>
      <w:r w:rsidR="00B71573">
        <w:t>’</w:t>
      </w:r>
      <w:r>
        <w:t>s Risk of Losing TCMUD 12 as a Customer</w:t>
      </w:r>
      <w:bookmarkEnd w:id="21"/>
    </w:p>
    <w:p w:rsidR="001115AF" w:rsidRDefault="001115AF" w:rsidP="001115AF"/>
    <w:p w:rsidR="001115AF" w:rsidRDefault="001115AF" w:rsidP="001115AF">
      <w:r>
        <w:tab/>
      </w:r>
      <w:r w:rsidR="0083126F" w:rsidRPr="001115AF">
        <w:t>DiQuinzio</w:t>
      </w:r>
      <w:r w:rsidR="0083126F">
        <w:t xml:space="preserve"> testified that </w:t>
      </w:r>
      <w:r w:rsidR="0083126F" w:rsidRPr="001115AF">
        <w:t xml:space="preserve">LCRA had </w:t>
      </w:r>
      <w:r w:rsidR="0083126F">
        <w:t xml:space="preserve">excess </w:t>
      </w:r>
      <w:r w:rsidR="0083126F" w:rsidRPr="001115AF">
        <w:t xml:space="preserve">capacity in 2009, </w:t>
      </w:r>
      <w:r w:rsidR="0083126F">
        <w:t>thus LCRA</w:t>
      </w:r>
      <w:r w:rsidR="0083126F" w:rsidRPr="001115AF">
        <w:t xml:space="preserve"> needed a customer at the same time that TCMUD 12 was searching for a wholesale water treatment service provider.</w:t>
      </w:r>
      <w:r w:rsidR="0083126F" w:rsidRPr="001115AF">
        <w:rPr>
          <w:vertAlign w:val="superscript"/>
        </w:rPr>
        <w:footnoteReference w:id="150"/>
      </w:r>
      <w:r w:rsidR="0083126F" w:rsidRPr="001115AF">
        <w:t xml:space="preserve">  In other words, without TCMUD 12, </w:t>
      </w:r>
      <w:r w:rsidR="0083126F">
        <w:t>LCRA</w:t>
      </w:r>
      <w:r w:rsidR="0083126F" w:rsidRPr="001115AF">
        <w:t xml:space="preserve"> </w:t>
      </w:r>
      <w:r w:rsidR="0083126F">
        <w:t>would not have been generating revenue on that excess capacity</w:t>
      </w:r>
      <w:r w:rsidR="0083126F" w:rsidRPr="001115AF">
        <w:t>.</w:t>
      </w:r>
      <w:r w:rsidR="0083126F">
        <w:t xml:space="preserve">  </w:t>
      </w:r>
      <w:r>
        <w:t xml:space="preserve">WTCPUA argues that </w:t>
      </w:r>
      <w:r w:rsidR="009C30AF">
        <w:t xml:space="preserve">from 2009 through 2013 </w:t>
      </w:r>
      <w:r w:rsidR="008A2C2B">
        <w:t>losing TCMUD </w:t>
      </w:r>
      <w:r>
        <w:t xml:space="preserve">12 as a wholesale customer would </w:t>
      </w:r>
      <w:r w:rsidR="009C30AF">
        <w:t xml:space="preserve">have left </w:t>
      </w:r>
      <w:r w:rsidR="005C6235">
        <w:t>LCRA</w:t>
      </w:r>
      <w:r w:rsidR="005E5712">
        <w:t>,</w:t>
      </w:r>
      <w:r w:rsidR="005C6235">
        <w:t xml:space="preserve"> and later WTCPUA</w:t>
      </w:r>
      <w:r w:rsidR="005E5712">
        <w:t>,</w:t>
      </w:r>
      <w:r w:rsidR="005C6235">
        <w:t xml:space="preserve"> </w:t>
      </w:r>
      <w:r>
        <w:t xml:space="preserve">with </w:t>
      </w:r>
      <w:r w:rsidR="005E5712">
        <w:t xml:space="preserve">an </w:t>
      </w:r>
      <w:r>
        <w:t>excess supply</w:t>
      </w:r>
      <w:r w:rsidR="005C6235">
        <w:t xml:space="preserve"> of water treatment capacity</w:t>
      </w:r>
      <w:r>
        <w:t xml:space="preserve">, which </w:t>
      </w:r>
      <w:r w:rsidR="005C6235">
        <w:t xml:space="preserve">gave TCMUD 12 </w:t>
      </w:r>
      <w:r w:rsidR="005E5712">
        <w:t>significant</w:t>
      </w:r>
      <w:r w:rsidR="005C6235">
        <w:t xml:space="preserve"> bargaining power </w:t>
      </w:r>
      <w:r w:rsidR="005E5712">
        <w:t xml:space="preserve">when negotiating with </w:t>
      </w:r>
      <w:r w:rsidR="005C6235">
        <w:t>LCRA and WTCPUA</w:t>
      </w:r>
      <w:r>
        <w:t xml:space="preserve">.  </w:t>
      </w:r>
      <w:r w:rsidR="0083126F">
        <w:t>The ALJ agrees.</w:t>
      </w:r>
      <w:r w:rsidR="00F82BD5">
        <w:t xml:space="preserve">  The fact that LCRA had excess capacity in 2009 constitutes some evidence that LCRA, and by extension WTCPUA, did not </w:t>
      </w:r>
      <w:r w:rsidR="00F82BD5">
        <w:lastRenderedPageBreak/>
        <w:t>have disparate bargaining power over TCMUD 12 to compel TCMUD 12 to enter the Water Service Agreement in 2009.</w:t>
      </w:r>
    </w:p>
    <w:p w:rsidR="001115AF" w:rsidRPr="001115AF" w:rsidRDefault="001115AF" w:rsidP="001115AF"/>
    <w:p w:rsidR="00742529" w:rsidRDefault="00FF7CFE" w:rsidP="00FF7CFE">
      <w:pPr>
        <w:pStyle w:val="Heading4"/>
      </w:pPr>
      <w:bookmarkStart w:id="22" w:name="_Toc431366941"/>
      <w:r>
        <w:t>ALJ</w:t>
      </w:r>
      <w:r w:rsidR="00B71573">
        <w:t>’</w:t>
      </w:r>
      <w:r>
        <w:t>s Conclusion Concerning Disparate Bargaining Power</w:t>
      </w:r>
      <w:bookmarkEnd w:id="22"/>
    </w:p>
    <w:p w:rsidR="00FF7CFE" w:rsidRDefault="00FF7CFE" w:rsidP="00FF7CFE"/>
    <w:p w:rsidR="00D8286C" w:rsidRDefault="00FF7CFE" w:rsidP="00FF7CFE">
      <w:r>
        <w:tab/>
      </w:r>
      <w:r w:rsidR="00CC39D0">
        <w:t>T</w:t>
      </w:r>
      <w:r>
        <w:t xml:space="preserve">he ALJ </w:t>
      </w:r>
      <w:r w:rsidR="00EE260A">
        <w:t xml:space="preserve">does not </w:t>
      </w:r>
      <w:r>
        <w:t>conclude</w:t>
      </w:r>
      <w:r w:rsidR="00EE260A">
        <w:t xml:space="preserve"> that TCMUD 12 had significantly less bargaining power </w:t>
      </w:r>
      <w:r w:rsidR="00F82BD5">
        <w:t xml:space="preserve">than: </w:t>
      </w:r>
      <w:r w:rsidR="009E0FDB">
        <w:t xml:space="preserve">(1) </w:t>
      </w:r>
      <w:r w:rsidR="00EE260A">
        <w:t xml:space="preserve">LCRA </w:t>
      </w:r>
      <w:r w:rsidR="00554C0C">
        <w:t xml:space="preserve">in October 2009 </w:t>
      </w:r>
      <w:r w:rsidR="00EE260A">
        <w:t xml:space="preserve">when </w:t>
      </w:r>
      <w:r w:rsidR="009E0FDB">
        <w:t xml:space="preserve">LCRA and TCMUD 12 </w:t>
      </w:r>
      <w:r w:rsidR="00EE260A">
        <w:t xml:space="preserve">entered into the Water Services </w:t>
      </w:r>
      <w:r w:rsidR="00FB72D3">
        <w:t>Agreement</w:t>
      </w:r>
      <w:r w:rsidR="0086477B">
        <w:t xml:space="preserve">; (2) </w:t>
      </w:r>
      <w:r w:rsidR="00EE260A">
        <w:t xml:space="preserve">WTCPUA </w:t>
      </w:r>
      <w:r w:rsidR="00554C0C">
        <w:t xml:space="preserve">in June 2012 </w:t>
      </w:r>
      <w:r w:rsidR="00EE260A">
        <w:t xml:space="preserve">when </w:t>
      </w:r>
      <w:r w:rsidR="009E0FDB">
        <w:t>TCMUD 12</w:t>
      </w:r>
      <w:r w:rsidR="0086477B">
        <w:t>,</w:t>
      </w:r>
      <w:r w:rsidR="009E0FDB">
        <w:t xml:space="preserve"> WTCPUA</w:t>
      </w:r>
      <w:r w:rsidR="0086477B">
        <w:t>, and LCRA</w:t>
      </w:r>
      <w:r w:rsidR="009E0FDB">
        <w:t xml:space="preserve"> </w:t>
      </w:r>
      <w:r w:rsidR="00EE260A">
        <w:t xml:space="preserve">entered into the Transfer </w:t>
      </w:r>
      <w:r w:rsidR="00554C0C">
        <w:t>Agree</w:t>
      </w:r>
      <w:r w:rsidR="00794B60">
        <w:t>ment</w:t>
      </w:r>
      <w:r w:rsidR="0086477B">
        <w:t>;</w:t>
      </w:r>
      <w:r w:rsidR="00794B60">
        <w:t xml:space="preserve"> or </w:t>
      </w:r>
      <w:r w:rsidR="009E0FDB">
        <w:t xml:space="preserve">(3) WTCPUA </w:t>
      </w:r>
      <w:r w:rsidR="00794B60">
        <w:t>in November 2013 when WTCPUA adopted the Protested Rates.</w:t>
      </w:r>
    </w:p>
    <w:p w:rsidR="00D8286C" w:rsidRDefault="00D8286C" w:rsidP="00FF7CFE"/>
    <w:p w:rsidR="00F354B4" w:rsidRDefault="00D8286C" w:rsidP="00F354B4">
      <w:r>
        <w:tab/>
      </w:r>
      <w:r w:rsidR="00237792">
        <w:t xml:space="preserve">The evidence shows that in </w:t>
      </w:r>
      <w:r w:rsidR="009E0FDB">
        <w:t>2009</w:t>
      </w:r>
      <w:r w:rsidR="00237792">
        <w:t xml:space="preserve"> LCRA had excess treatment capacity </w:t>
      </w:r>
      <w:r>
        <w:t xml:space="preserve">and </w:t>
      </w:r>
      <w:r w:rsidR="00237792">
        <w:t>TCMUD 12 wanted treatment services</w:t>
      </w:r>
      <w:r>
        <w:t>.  T</w:t>
      </w:r>
      <w:r w:rsidR="00237792">
        <w:t>hey voluntarily entered into the Water Services Agreement for LCRA to provide services to TCMUD 12</w:t>
      </w:r>
      <w:r>
        <w:t xml:space="preserve"> and specified the rates that TCMUD 12 would initially pay for the services</w:t>
      </w:r>
      <w:r w:rsidR="00237792">
        <w:t xml:space="preserve">.  </w:t>
      </w:r>
      <w:r w:rsidR="00F354B4">
        <w:t>The contract allowed LCRA to subsequently adjust the rates, but only so the rates would cover TCMUD 12</w:t>
      </w:r>
      <w:r w:rsidR="00B71573">
        <w:t>’</w:t>
      </w:r>
      <w:r w:rsidR="00F354B4">
        <w:t>s proportionate, just, reasonable, nondiscriminatory, fair, and equitable share of the costs of the West Travis County System.</w:t>
      </w:r>
      <w:r w:rsidR="009E0FDB">
        <w:rPr>
          <w:rStyle w:val="FootnoteReference"/>
        </w:rPr>
        <w:footnoteReference w:id="151"/>
      </w:r>
      <w:r w:rsidR="00F354B4">
        <w:t xml:space="preserve">  After LCRA decided to cease providing treatment services and transfer the West Travis County Facilities to WTCPUA, TCMUD 12 agreed to the transfer.  On the surface, nothing about those agreements suggests TCMUD 12 had less bargaining power than LCRA or WTCPUA.</w:t>
      </w:r>
    </w:p>
    <w:p w:rsidR="00F354B4" w:rsidRDefault="00F354B4" w:rsidP="00F354B4"/>
    <w:p w:rsidR="00F354B4" w:rsidRDefault="00F354B4" w:rsidP="00F354B4">
      <w:r>
        <w:tab/>
        <w:t xml:space="preserve">It </w:t>
      </w:r>
      <w:r w:rsidR="003D79C8">
        <w:t xml:space="preserve">does appear that TCMUD 12 had only one viable alternative to obtaining treatment services from LCRA, and subsequently WTCPA:  TCMUD 12 could have built its own treatment facilities.  The evidence does not show that TCMUD 12 was </w:t>
      </w:r>
      <w:r w:rsidR="001E63F3">
        <w:t xml:space="preserve">or is </w:t>
      </w:r>
      <w:r w:rsidR="003D79C8">
        <w:t>either legally or contractually prohibited from building its own facilities.  TCMUD 12 contends that building its own facilities would have been cost-p</w:t>
      </w:r>
      <w:r w:rsidR="005E5712">
        <w:t xml:space="preserve">rohibitive, but it failed to prove </w:t>
      </w:r>
      <w:r w:rsidR="003D79C8">
        <w:t>that.</w:t>
      </w:r>
    </w:p>
    <w:p w:rsidR="003D79C8" w:rsidRDefault="003D79C8" w:rsidP="00F354B4"/>
    <w:p w:rsidR="003D79C8" w:rsidRDefault="003D79C8" w:rsidP="00F354B4">
      <w:r>
        <w:lastRenderedPageBreak/>
        <w:tab/>
        <w:t xml:space="preserve">It is true that TCMUD 12 </w:t>
      </w:r>
      <w:r w:rsidR="001E63F3">
        <w:t xml:space="preserve">paid $1.5 million in connection fees to LCRA </w:t>
      </w:r>
      <w:r w:rsidR="009E0FDB">
        <w:t xml:space="preserve">2009 when </w:t>
      </w:r>
      <w:r w:rsidR="001E63F3">
        <w:t xml:space="preserve">they </w:t>
      </w:r>
      <w:r>
        <w:t>entered into the Water Services Agreement</w:t>
      </w:r>
      <w:r w:rsidR="001E63F3">
        <w:t xml:space="preserve">.  That investment </w:t>
      </w:r>
      <w:r w:rsidR="009E0FDB">
        <w:t xml:space="preserve">could be </w:t>
      </w:r>
      <w:r w:rsidR="00F82BD5">
        <w:t xml:space="preserve">partially or wholly </w:t>
      </w:r>
      <w:r w:rsidR="001E63F3">
        <w:t>stranded if TCMUD 12 chose to build its own facilities</w:t>
      </w:r>
      <w:r w:rsidR="0086477B">
        <w:t>, b</w:t>
      </w:r>
      <w:r w:rsidR="009E0FDB">
        <w:t>ut u</w:t>
      </w:r>
      <w:r w:rsidR="00695DF1">
        <w:t xml:space="preserve">ntangling a complex </w:t>
      </w:r>
      <w:r w:rsidR="009E0FDB">
        <w:t xml:space="preserve">set of </w:t>
      </w:r>
      <w:r w:rsidR="00695DF1">
        <w:t>contractual agreement</w:t>
      </w:r>
      <w:r w:rsidR="009E0FDB">
        <w:t>s</w:t>
      </w:r>
      <w:r w:rsidR="00695DF1">
        <w:t xml:space="preserve"> can be costly to all involved.  T</w:t>
      </w:r>
      <w:r w:rsidR="001E63F3">
        <w:t xml:space="preserve">he evidence </w:t>
      </w:r>
      <w:r w:rsidR="0086477B">
        <w:t xml:space="preserve">also </w:t>
      </w:r>
      <w:r w:rsidR="001E63F3">
        <w:t>shows that LCRA</w:t>
      </w:r>
      <w:r w:rsidR="0029723F">
        <w:t>,</w:t>
      </w:r>
      <w:r w:rsidR="001E63F3">
        <w:t xml:space="preserve"> </w:t>
      </w:r>
      <w:r w:rsidR="0086477B">
        <w:t>and later WTCPUA</w:t>
      </w:r>
      <w:r w:rsidR="0029723F">
        <w:t>,</w:t>
      </w:r>
      <w:r w:rsidR="0086477B">
        <w:t xml:space="preserve"> for some period after 2009 </w:t>
      </w:r>
      <w:r w:rsidR="001E63F3">
        <w:t xml:space="preserve">would have had </w:t>
      </w:r>
      <w:r w:rsidR="00695DF1">
        <w:t xml:space="preserve">unused </w:t>
      </w:r>
      <w:r w:rsidR="001E63F3">
        <w:t xml:space="preserve">treatment capacity if TCMUD 12 </w:t>
      </w:r>
      <w:r w:rsidR="0029723F">
        <w:t xml:space="preserve">were not purchasing </w:t>
      </w:r>
      <w:r w:rsidR="00F82BD5">
        <w:t xml:space="preserve">treatment </w:t>
      </w:r>
      <w:r w:rsidR="001E63F3">
        <w:t xml:space="preserve">service.  </w:t>
      </w:r>
      <w:r w:rsidR="00F82BD5">
        <w:t xml:space="preserve">This suggests that TCMUD 12 would have had significant leverage over LCRA and WTCPUA.  </w:t>
      </w:r>
      <w:r w:rsidR="001227A0">
        <w:t>T</w:t>
      </w:r>
      <w:r w:rsidR="001E63F3">
        <w:t xml:space="preserve">he ALJ does not conclude that </w:t>
      </w:r>
      <w:r w:rsidR="00695DF1">
        <w:t>TCMUD</w:t>
      </w:r>
      <w:r w:rsidR="001227A0">
        <w:t> </w:t>
      </w:r>
      <w:r w:rsidR="00695DF1">
        <w:t>12 has disparate bargaining power just because it might lose the value of the connection fees it paid if it chose to serve itself.</w:t>
      </w:r>
    </w:p>
    <w:p w:rsidR="00F354B4" w:rsidRDefault="00F354B4" w:rsidP="00FF7CFE"/>
    <w:p w:rsidR="00EA7156" w:rsidRDefault="003D79C8" w:rsidP="00FF7CFE">
      <w:r>
        <w:tab/>
      </w:r>
      <w:r w:rsidR="00376ED5">
        <w:t xml:space="preserve">Nor does the ALJ conclude </w:t>
      </w:r>
      <w:r w:rsidR="00654135">
        <w:t xml:space="preserve">from the </w:t>
      </w:r>
      <w:r w:rsidR="005533C0">
        <w:t xml:space="preserve">evidence concerning the </w:t>
      </w:r>
      <w:r w:rsidR="00654135">
        <w:t>post-contract conduct of</w:t>
      </w:r>
      <w:r w:rsidR="005533C0">
        <w:t xml:space="preserve"> LCRA and </w:t>
      </w:r>
      <w:r w:rsidR="00376ED5">
        <w:t xml:space="preserve">WTCPUA </w:t>
      </w:r>
      <w:r w:rsidR="005533C0">
        <w:t xml:space="preserve">that either </w:t>
      </w:r>
      <w:r w:rsidR="00376ED5">
        <w:t xml:space="preserve">had greater bargaining power than TCMUD 12.  </w:t>
      </w:r>
      <w:r w:rsidR="00467E0B">
        <w:t>LCRA never raised the rates to which TCMUD 12 had agreed</w:t>
      </w:r>
      <w:r w:rsidR="0029723F">
        <w:t xml:space="preserve"> in October 2009.  </w:t>
      </w:r>
      <w:r w:rsidR="00467E0B">
        <w:t xml:space="preserve">WTCPUA </w:t>
      </w:r>
      <w:r w:rsidR="005533C0">
        <w:t xml:space="preserve">kept </w:t>
      </w:r>
      <w:r w:rsidR="00467E0B">
        <w:t xml:space="preserve">those same rates </w:t>
      </w:r>
      <w:r w:rsidR="0029723F">
        <w:t xml:space="preserve">after </w:t>
      </w:r>
      <w:r w:rsidR="00467E0B">
        <w:t>TCMUD 12 agreed in June 2012 to the transfer of LCRA</w:t>
      </w:r>
      <w:r w:rsidR="00B71573">
        <w:t>’</w:t>
      </w:r>
      <w:r w:rsidR="00467E0B">
        <w:t>s rights and obligations under the Water Services Agreement</w:t>
      </w:r>
      <w:r w:rsidR="009E0FDB">
        <w:t xml:space="preserve"> to WTCPUA</w:t>
      </w:r>
      <w:r w:rsidR="00467E0B">
        <w:t xml:space="preserve">.  WTCPUA raised the rates by 15.5% in November 2012, but TCMUD 12 did not appeal that increase, which suggests </w:t>
      </w:r>
      <w:r w:rsidR="0029723F">
        <w:t>it</w:t>
      </w:r>
      <w:r w:rsidR="00467E0B">
        <w:t xml:space="preserve"> w</w:t>
      </w:r>
      <w:r w:rsidR="0029723F">
        <w:t>as</w:t>
      </w:r>
      <w:r w:rsidR="00467E0B">
        <w:t xml:space="preserve"> unob</w:t>
      </w:r>
      <w:r w:rsidR="00AC5937">
        <w:t>jectionable.</w:t>
      </w:r>
      <w:r w:rsidR="00EA7156">
        <w:t xml:space="preserve">  </w:t>
      </w:r>
    </w:p>
    <w:p w:rsidR="00EA7156" w:rsidRDefault="00EA7156" w:rsidP="00FF7CFE"/>
    <w:p w:rsidR="004D0366" w:rsidRDefault="00EA7156" w:rsidP="00FF7CFE">
      <w:r>
        <w:tab/>
      </w:r>
      <w:r w:rsidR="00467E0B">
        <w:t xml:space="preserve">Subsequently, WTCPUA </w:t>
      </w:r>
      <w:r>
        <w:t xml:space="preserve">adopted the Protested Rates, which </w:t>
      </w:r>
      <w:r w:rsidR="001227A0">
        <w:t>decreased</w:t>
      </w:r>
      <w:r>
        <w:t xml:space="preserve"> </w:t>
      </w:r>
      <w:r w:rsidR="00467E0B">
        <w:t>TCMUD 12</w:t>
      </w:r>
      <w:r w:rsidR="00B71573">
        <w:t>’</w:t>
      </w:r>
      <w:r w:rsidR="00467E0B">
        <w:t xml:space="preserve">s </w:t>
      </w:r>
      <w:r w:rsidR="00101B76">
        <w:t>monthly charge</w:t>
      </w:r>
      <w:r w:rsidR="00467E0B">
        <w:t xml:space="preserve"> from </w:t>
      </w:r>
      <w:r w:rsidR="004D0366" w:rsidRPr="0059421B">
        <w:t xml:space="preserve">$10,891.65 to $8,140.89 and </w:t>
      </w:r>
      <w:r>
        <w:t xml:space="preserve">its volumetric </w:t>
      </w:r>
      <w:r w:rsidR="00101B76">
        <w:t>rate</w:t>
      </w:r>
      <w:r w:rsidR="00811FF9">
        <w:t xml:space="preserve"> from $2.77 to $2.11 per </w:t>
      </w:r>
      <w:r w:rsidR="004D0366" w:rsidRPr="0059421B">
        <w:t>1,000 gallons.</w:t>
      </w:r>
      <w:r>
        <w:t xml:space="preserve">  </w:t>
      </w:r>
      <w:r w:rsidR="004D0366">
        <w:t xml:space="preserve">The rate </w:t>
      </w:r>
      <w:r>
        <w:t xml:space="preserve">change </w:t>
      </w:r>
      <w:r w:rsidR="004D0366">
        <w:t>was based on a consultant</w:t>
      </w:r>
      <w:r w:rsidR="00B71573">
        <w:t>’</w:t>
      </w:r>
      <w:r w:rsidR="004D0366">
        <w:t>s study recommending a</w:t>
      </w:r>
      <w:r>
        <w:t xml:space="preserve"> change</w:t>
      </w:r>
      <w:r w:rsidR="004D0366">
        <w:t>.  WTCPUA</w:t>
      </w:r>
      <w:r w:rsidR="00B71573">
        <w:t>’</w:t>
      </w:r>
      <w:r w:rsidR="004D0366">
        <w:t xml:space="preserve">s representatives repeatedly offered to </w:t>
      </w:r>
      <w:r>
        <w:t xml:space="preserve">and did </w:t>
      </w:r>
      <w:r w:rsidR="004D0366">
        <w:t xml:space="preserve">meet with representatives of its wholesale customers to discuss their concerns about the increase.  TCMUD 12 was invited </w:t>
      </w:r>
      <w:r w:rsidR="00AC5937">
        <w:t xml:space="preserve">to </w:t>
      </w:r>
      <w:r w:rsidR="004D0366">
        <w:t>and participate</w:t>
      </w:r>
      <w:r w:rsidR="00AC5937">
        <w:t>d</w:t>
      </w:r>
      <w:r w:rsidR="004D0366">
        <w:t xml:space="preserve"> in some of those discussions.  WTCPUA eventually </w:t>
      </w:r>
      <w:r w:rsidR="001227A0">
        <w:t xml:space="preserve">decreased </w:t>
      </w:r>
      <w:r w:rsidR="004D0366">
        <w:t xml:space="preserve">the </w:t>
      </w:r>
      <w:r w:rsidR="00101B76">
        <w:t>monthly charge</w:t>
      </w:r>
      <w:r w:rsidR="00794B60">
        <w:t xml:space="preserve"> </w:t>
      </w:r>
      <w:r w:rsidR="004D0366">
        <w:t xml:space="preserve">based on a </w:t>
      </w:r>
      <w:r w:rsidR="00794B60">
        <w:t>formula that the wholesale customers who participated in the talks recommended.  WTCPUA gave all of its wholesale customers, including TCMUD 12, the option of amending their contracts to adjust their reserved treatment capacity, w</w:t>
      </w:r>
      <w:r w:rsidR="0029723F">
        <w:t>hich would have allowed TCMUD </w:t>
      </w:r>
      <w:r w:rsidR="00794B60">
        <w:t xml:space="preserve">12 to </w:t>
      </w:r>
      <w:r w:rsidR="001227A0">
        <w:t xml:space="preserve">further </w:t>
      </w:r>
      <w:r w:rsidR="00794B60">
        <w:t xml:space="preserve">reduce its </w:t>
      </w:r>
      <w:r w:rsidR="00101B76">
        <w:t>monthly charge</w:t>
      </w:r>
      <w:r w:rsidR="00794B60">
        <w:t xml:space="preserve">.  </w:t>
      </w:r>
    </w:p>
    <w:p w:rsidR="0092024F" w:rsidRDefault="0092024F" w:rsidP="00FF7CFE"/>
    <w:p w:rsidR="0092024F" w:rsidRDefault="0092024F" w:rsidP="00FF7CFE">
      <w:r>
        <w:tab/>
        <w:t>The evidence does not show that TCMUD 12 had or has di</w:t>
      </w:r>
      <w:r w:rsidR="0029723F">
        <w:t>sparately less bargaining power than LCRA or WTCPUA.</w:t>
      </w:r>
      <w:r w:rsidR="00B35FFC">
        <w:t xml:space="preserve">  </w:t>
      </w:r>
      <w:r w:rsidR="005E10AA">
        <w:t>T</w:t>
      </w:r>
      <w:r w:rsidR="00387C10">
        <w:t xml:space="preserve">he Protested Rates TCMUD 12 pays, a monthly charge of </w:t>
      </w:r>
      <w:r w:rsidR="00387C10" w:rsidRPr="0059421B">
        <w:lastRenderedPageBreak/>
        <w:t xml:space="preserve">$8,140.89 and </w:t>
      </w:r>
      <w:r w:rsidR="00387C10">
        <w:t>a volumetric rate</w:t>
      </w:r>
      <w:r w:rsidR="00387C10" w:rsidRPr="0059421B">
        <w:t xml:space="preserve"> $2.11 per 1,000 gallons</w:t>
      </w:r>
      <w:r w:rsidR="00387C10">
        <w:t xml:space="preserve">, are even </w:t>
      </w:r>
      <w:r w:rsidR="00387C10" w:rsidRPr="00B47B26">
        <w:t>lower</w:t>
      </w:r>
      <w:r w:rsidR="00387C10">
        <w:t xml:space="preserve"> than the Initial Rates that TCMUD 12 agreed to in the </w:t>
      </w:r>
      <w:r w:rsidR="0086366A">
        <w:t xml:space="preserve">2009 </w:t>
      </w:r>
      <w:r w:rsidR="00387C10">
        <w:t>Water Services Agreement, a monthly charge of $9,430 and a volumetric rate of $2.40 per 1,000 gallons.</w:t>
      </w:r>
      <w:r w:rsidR="00387C10">
        <w:rPr>
          <w:rStyle w:val="FootnoteReference"/>
        </w:rPr>
        <w:footnoteReference w:id="152"/>
      </w:r>
      <w:r w:rsidR="00387C10">
        <w:t xml:space="preserve">  If anything, th</w:t>
      </w:r>
      <w:r w:rsidR="00B47B26">
        <w:t>e</w:t>
      </w:r>
      <w:r w:rsidR="00387C10">
        <w:t xml:space="preserve"> evidence suggests that </w:t>
      </w:r>
      <w:r w:rsidR="00B47B26">
        <w:t>TCMUD</w:t>
      </w:r>
      <w:r w:rsidR="005E10AA">
        <w:t> </w:t>
      </w:r>
      <w:r w:rsidR="00B47B26">
        <w:t>12 has gr</w:t>
      </w:r>
      <w:r w:rsidR="009B3BB7">
        <w:t>e</w:t>
      </w:r>
      <w:r w:rsidR="00B47B26">
        <w:t xml:space="preserve">ater bargaining power than </w:t>
      </w:r>
      <w:r w:rsidR="00B35FFC">
        <w:t>WTCPUA</w:t>
      </w:r>
      <w:r w:rsidR="00B47B26">
        <w:t>.</w:t>
      </w:r>
    </w:p>
    <w:p w:rsidR="0092024F" w:rsidRDefault="0092024F" w:rsidP="00FF7CFE"/>
    <w:p w:rsidR="00885B8D" w:rsidRDefault="00885B8D" w:rsidP="003C7058">
      <w:pPr>
        <w:pStyle w:val="Heading2"/>
      </w:pPr>
      <w:bookmarkStart w:id="23" w:name="_Toc431366942"/>
      <w:r>
        <w:t>Methodolog</w:t>
      </w:r>
      <w:r w:rsidR="00C154B1">
        <w:t>ies</w:t>
      </w:r>
      <w:r>
        <w:t xml:space="preserve"> for Computation of Revenue Requirement and Rate</w:t>
      </w:r>
      <w:r w:rsidR="00C154B1">
        <w:t>s</w:t>
      </w:r>
      <w:bookmarkEnd w:id="23"/>
    </w:p>
    <w:p w:rsidR="00CE056B" w:rsidRDefault="00CE056B" w:rsidP="003C7058">
      <w:pPr>
        <w:keepNext/>
      </w:pPr>
    </w:p>
    <w:p w:rsidR="00BE4FB3" w:rsidRDefault="00D6024E" w:rsidP="00CE056B">
      <w:r>
        <w:tab/>
      </w:r>
      <w:r w:rsidR="00FF7CFE">
        <w:t xml:space="preserve">TCMUD 12 claims that </w:t>
      </w:r>
      <w:r w:rsidR="00EC2CFC">
        <w:t xml:space="preserve">in </w:t>
      </w:r>
      <w:r w:rsidR="000F795A">
        <w:t xml:space="preserve">computing </w:t>
      </w:r>
      <w:r w:rsidR="00EC2CFC">
        <w:t xml:space="preserve">the Protested Rates </w:t>
      </w:r>
      <w:r w:rsidR="00FF7CFE">
        <w:t xml:space="preserve">WTCPUA changed </w:t>
      </w:r>
      <w:r w:rsidR="00EC2CFC">
        <w:t>the rate-setting methodolog</w:t>
      </w:r>
      <w:r w:rsidR="00867D65">
        <w:t xml:space="preserve">ies </w:t>
      </w:r>
      <w:r w:rsidR="00EC2CFC">
        <w:t>it had used to set the Prior Rates and that th</w:t>
      </w:r>
      <w:r w:rsidR="00867D65">
        <w:t>e</w:t>
      </w:r>
      <w:r w:rsidR="00EC2CFC">
        <w:t xml:space="preserve"> </w:t>
      </w:r>
      <w:r w:rsidR="0073582A">
        <w:t xml:space="preserve">methodological </w:t>
      </w:r>
      <w:r w:rsidR="00EC2CFC">
        <w:t>change</w:t>
      </w:r>
      <w:r w:rsidR="00867D65">
        <w:t>s</w:t>
      </w:r>
      <w:r w:rsidR="00EC2CFC">
        <w:t xml:space="preserve"> show WTCPUA has abused its monopoly power over TCMUD 12.  </w:t>
      </w:r>
      <w:r w:rsidR="00FD4654">
        <w:t>The</w:t>
      </w:r>
      <w:r>
        <w:t xml:space="preserve"> other parties contend that WTCPUA </w:t>
      </w:r>
      <w:r w:rsidR="005E10AA">
        <w:t xml:space="preserve">did not </w:t>
      </w:r>
      <w:r w:rsidR="00FD4654">
        <w:t>change</w:t>
      </w:r>
      <w:r>
        <w:t xml:space="preserve"> its </w:t>
      </w:r>
      <w:r w:rsidR="00FD4654">
        <w:t>methodolog</w:t>
      </w:r>
      <w:r>
        <w:t>ies</w:t>
      </w:r>
      <w:r w:rsidR="00FD4654">
        <w:t xml:space="preserve"> </w:t>
      </w:r>
      <w:r w:rsidR="009D51B7">
        <w:t>and that TCMUD </w:t>
      </w:r>
      <w:r w:rsidR="004544D9">
        <w:t>1</w:t>
      </w:r>
      <w:r>
        <w:t>2</w:t>
      </w:r>
      <w:r w:rsidR="00B71573">
        <w:t>’</w:t>
      </w:r>
      <w:r>
        <w:t xml:space="preserve">s </w:t>
      </w:r>
      <w:r w:rsidR="00FD4654">
        <w:t>argument</w:t>
      </w:r>
      <w:r w:rsidR="0059584C">
        <w:t>s</w:t>
      </w:r>
      <w:r w:rsidR="00FD4654">
        <w:t xml:space="preserve"> </w:t>
      </w:r>
      <w:r w:rsidR="0073582A">
        <w:t xml:space="preserve">to the contrary </w:t>
      </w:r>
      <w:r w:rsidR="0029723F">
        <w:t>are</w:t>
      </w:r>
      <w:r w:rsidR="00FD4654">
        <w:t xml:space="preserve"> </w:t>
      </w:r>
      <w:r w:rsidR="0059584C">
        <w:t xml:space="preserve">based on </w:t>
      </w:r>
      <w:r w:rsidR="0029723F">
        <w:t xml:space="preserve">an </w:t>
      </w:r>
      <w:r w:rsidR="00FD4654">
        <w:t>analys</w:t>
      </w:r>
      <w:r w:rsidR="0073582A">
        <w:t>i</w:t>
      </w:r>
      <w:r w:rsidR="00FD4654">
        <w:t>s of WTCPUA</w:t>
      </w:r>
      <w:r w:rsidR="00B71573">
        <w:t>’</w:t>
      </w:r>
      <w:r w:rsidR="00FD4654">
        <w:t>s cost of service, which may not be considered in this public</w:t>
      </w:r>
      <w:r w:rsidR="00C6101F">
        <w:t xml:space="preserve"> </w:t>
      </w:r>
      <w:r w:rsidR="00FD4654">
        <w:t>interest phase of the case.</w:t>
      </w:r>
      <w:r w:rsidR="005E10AA">
        <w:t xml:space="preserve">  </w:t>
      </w:r>
      <w:r w:rsidR="00BE4FB3">
        <w:t xml:space="preserve">The ALJ </w:t>
      </w:r>
      <w:r w:rsidR="0094568E">
        <w:t xml:space="preserve">agrees on both counts with the parties other than </w:t>
      </w:r>
      <w:r w:rsidR="00BE4FB3">
        <w:t>TCMUD 12</w:t>
      </w:r>
      <w:r w:rsidR="0094568E">
        <w:t>.</w:t>
      </w:r>
    </w:p>
    <w:p w:rsidR="00BE4FB3" w:rsidRDefault="00BE4FB3" w:rsidP="00CE056B"/>
    <w:p w:rsidR="000474AA" w:rsidRDefault="000474AA" w:rsidP="004B201E">
      <w:pPr>
        <w:pStyle w:val="Heading3"/>
        <w:ind w:left="1440" w:hanging="720"/>
      </w:pPr>
      <w:bookmarkStart w:id="24" w:name="_Toc431366943"/>
      <w:r>
        <w:t xml:space="preserve">Alleged Change in </w:t>
      </w:r>
      <w:r w:rsidR="00D04AE4">
        <w:t>Revenue-</w:t>
      </w:r>
      <w:r w:rsidR="00541EDB">
        <w:t>r</w:t>
      </w:r>
      <w:r w:rsidR="00D04AE4">
        <w:t>equirement Computation Methodology</w:t>
      </w:r>
      <w:bookmarkEnd w:id="24"/>
    </w:p>
    <w:p w:rsidR="000474AA" w:rsidRDefault="000474AA" w:rsidP="00CE056B"/>
    <w:p w:rsidR="000474AA" w:rsidRDefault="000474AA" w:rsidP="000474AA">
      <w:r>
        <w:tab/>
      </w:r>
      <w:r w:rsidR="005E10AA">
        <w:t>Jay Joyce holds a bachelor</w:t>
      </w:r>
      <w:r w:rsidR="00FA7C69">
        <w:t>’s</w:t>
      </w:r>
      <w:r w:rsidR="005E10AA">
        <w:t xml:space="preserve"> degree in finance </w:t>
      </w:r>
      <w:r w:rsidR="00736A75">
        <w:t>and a master</w:t>
      </w:r>
      <w:r w:rsidR="00FA7C69">
        <w:t>’s</w:t>
      </w:r>
      <w:r w:rsidR="00736A75">
        <w:t xml:space="preserve"> degree in business administration, has extensive professional experience as a water utility rate consulta</w:t>
      </w:r>
      <w:r w:rsidR="00FA7C69">
        <w:t>n</w:t>
      </w:r>
      <w:r w:rsidR="00736A75">
        <w:t>t, and testified as TCMUD 12’s expert witness</w:t>
      </w:r>
      <w:r w:rsidR="00FA7C69">
        <w:t>.</w:t>
      </w:r>
      <w:r w:rsidR="00736A75">
        <w:rPr>
          <w:rStyle w:val="FootnoteReference"/>
        </w:rPr>
        <w:footnoteReference w:id="153"/>
      </w:r>
      <w:r w:rsidR="00736A75">
        <w:t xml:space="preserve">  </w:t>
      </w:r>
      <w:r w:rsidR="00305B31">
        <w:t>Mr. Joyce testified that WTCPUA changed the method used to compute its revenue requirement</w:t>
      </w:r>
      <w:r w:rsidR="009C02CF">
        <w:t>.</w:t>
      </w:r>
      <w:r w:rsidR="00305B31">
        <w:rPr>
          <w:rStyle w:val="FootnoteReference"/>
        </w:rPr>
        <w:footnoteReference w:id="154"/>
      </w:r>
      <w:r w:rsidR="00305B31">
        <w:t xml:space="preserve"> </w:t>
      </w:r>
      <w:r w:rsidR="009C02CF">
        <w:t xml:space="preserve"> </w:t>
      </w:r>
      <w:r>
        <w:t xml:space="preserve">He </w:t>
      </w:r>
      <w:r w:rsidR="00305B31">
        <w:t>believe</w:t>
      </w:r>
      <w:r w:rsidR="00FA5902">
        <w:t>s</w:t>
      </w:r>
      <w:r w:rsidR="00305B31">
        <w:t xml:space="preserve"> the </w:t>
      </w:r>
      <w:r w:rsidR="00FA5902">
        <w:t xml:space="preserve">methodology </w:t>
      </w:r>
      <w:r w:rsidR="00305B31">
        <w:t xml:space="preserve">changed because </w:t>
      </w:r>
      <w:r>
        <w:t>the following costs of service items were allocated significantly differently</w:t>
      </w:r>
      <w:r w:rsidR="0073582A">
        <w:t xml:space="preserve"> </w:t>
      </w:r>
      <w:r>
        <w:t>for the Protested Rates than for the Prior Rates:</w:t>
      </w:r>
      <w:r>
        <w:rPr>
          <w:rStyle w:val="FootnoteReference"/>
        </w:rPr>
        <w:footnoteReference w:id="155"/>
      </w:r>
    </w:p>
    <w:p w:rsidR="000474AA" w:rsidRDefault="000474AA" w:rsidP="000474AA"/>
    <w:p w:rsidR="000474AA" w:rsidRDefault="000474AA" w:rsidP="00867D65">
      <w:pPr>
        <w:spacing w:line="240" w:lineRule="auto"/>
        <w:ind w:left="720"/>
      </w:pPr>
      <w:r>
        <w:lastRenderedPageBreak/>
        <w:t>(1) Irrigation, or untreated, water costs were allocated to potable water customers, when they were not before;</w:t>
      </w:r>
    </w:p>
    <w:p w:rsidR="00867D65" w:rsidRDefault="00867D65" w:rsidP="00867D65">
      <w:pPr>
        <w:spacing w:line="240" w:lineRule="auto"/>
        <w:ind w:left="720"/>
      </w:pPr>
    </w:p>
    <w:p w:rsidR="000474AA" w:rsidRDefault="000474AA" w:rsidP="00867D65">
      <w:pPr>
        <w:spacing w:line="240" w:lineRule="auto"/>
        <w:ind w:left="720"/>
      </w:pPr>
      <w:r>
        <w:t xml:space="preserve">(2) Repair and maintenance costs were allocated as </w:t>
      </w:r>
      <w:r w:rsidR="00B71573">
        <w:t>“</w:t>
      </w:r>
      <w:r>
        <w:t>Common-to-All</w:t>
      </w:r>
      <w:r w:rsidR="00B71573">
        <w:t>”</w:t>
      </w:r>
      <w:r>
        <w:t xml:space="preserve"> and </w:t>
      </w:r>
      <w:r w:rsidR="00B71573">
        <w:t>“</w:t>
      </w:r>
      <w:r>
        <w:t>Retail Only,</w:t>
      </w:r>
      <w:r w:rsidR="00B71573">
        <w:t>”</w:t>
      </w:r>
      <w:r>
        <w:t xml:space="preserve"> rather than just </w:t>
      </w:r>
      <w:r w:rsidR="00B71573">
        <w:t>“</w:t>
      </w:r>
      <w:r>
        <w:t>Retail Only</w:t>
      </w:r>
      <w:r w:rsidR="00B71573">
        <w:t>”</w:t>
      </w:r>
      <w:r>
        <w:t>;</w:t>
      </w:r>
    </w:p>
    <w:p w:rsidR="00867D65" w:rsidRDefault="00867D65" w:rsidP="00867D65">
      <w:pPr>
        <w:spacing w:line="240" w:lineRule="auto"/>
        <w:ind w:left="720"/>
      </w:pPr>
    </w:p>
    <w:p w:rsidR="000474AA" w:rsidRDefault="000474AA" w:rsidP="00867D65">
      <w:pPr>
        <w:spacing w:line="240" w:lineRule="auto"/>
        <w:ind w:left="720"/>
      </w:pPr>
      <w:r>
        <w:t xml:space="preserve">(3) Some bookkeeper, and financial manager costs were allocated to </w:t>
      </w:r>
      <w:r w:rsidR="00B71573">
        <w:t>“</w:t>
      </w:r>
      <w:r>
        <w:t>wholesale rate analysis,</w:t>
      </w:r>
      <w:r w:rsidR="00B71573">
        <w:t>”</w:t>
      </w:r>
      <w:r>
        <w:t xml:space="preserve"> when they were not before;</w:t>
      </w:r>
    </w:p>
    <w:p w:rsidR="00867D65" w:rsidRDefault="00867D65" w:rsidP="00867D65">
      <w:pPr>
        <w:spacing w:line="240" w:lineRule="auto"/>
        <w:ind w:left="720"/>
      </w:pPr>
    </w:p>
    <w:p w:rsidR="000474AA" w:rsidRDefault="000474AA" w:rsidP="00867D65">
      <w:pPr>
        <w:spacing w:line="240" w:lineRule="auto"/>
        <w:ind w:left="720"/>
      </w:pPr>
      <w:r>
        <w:t>(4) Operation and maintenance costs were allocated differently to functional components, meaning water and wastewater</w:t>
      </w:r>
      <w:r w:rsidR="00824D06">
        <w:t>,</w:t>
      </w:r>
      <w:r>
        <w:t xml:space="preserve"> than they were before;</w:t>
      </w:r>
    </w:p>
    <w:p w:rsidR="00867D65" w:rsidRDefault="00867D65" w:rsidP="00867D65">
      <w:pPr>
        <w:spacing w:line="240" w:lineRule="auto"/>
        <w:ind w:left="720"/>
      </w:pPr>
    </w:p>
    <w:p w:rsidR="000474AA" w:rsidRDefault="000474AA" w:rsidP="00867D65">
      <w:pPr>
        <w:spacing w:line="240" w:lineRule="auto"/>
        <w:ind w:left="720"/>
      </w:pPr>
      <w:r>
        <w:t>(5) Some expenses were allocated differently as base, extra capacity, and customer costs than they were before;</w:t>
      </w:r>
    </w:p>
    <w:p w:rsidR="00867D65" w:rsidRDefault="00867D65" w:rsidP="00867D65">
      <w:pPr>
        <w:spacing w:line="240" w:lineRule="auto"/>
        <w:ind w:left="720"/>
      </w:pPr>
    </w:p>
    <w:p w:rsidR="000474AA" w:rsidRDefault="00867D65" w:rsidP="00867D65">
      <w:pPr>
        <w:spacing w:line="240" w:lineRule="auto"/>
        <w:ind w:left="720"/>
      </w:pPr>
      <w:r>
        <w:t>(6</w:t>
      </w:r>
      <w:r w:rsidR="000474AA">
        <w:t xml:space="preserve">) Revenue offsets were allocated 8% </w:t>
      </w:r>
      <w:r w:rsidR="00DB3225">
        <w:t>“Common</w:t>
      </w:r>
      <w:r w:rsidR="000474AA">
        <w:t>-to-</w:t>
      </w:r>
      <w:r w:rsidR="00DB3225">
        <w:t xml:space="preserve">All” </w:t>
      </w:r>
      <w:r w:rsidR="000474AA">
        <w:t xml:space="preserve">and 92% </w:t>
      </w:r>
      <w:r w:rsidR="00DB3225">
        <w:t>“Retail O</w:t>
      </w:r>
      <w:r w:rsidR="000474AA">
        <w:t>nly,</w:t>
      </w:r>
      <w:r w:rsidR="00DB3225">
        <w:t>”</w:t>
      </w:r>
      <w:r w:rsidR="000474AA">
        <w:t xml:space="preserve"> rather than 100% </w:t>
      </w:r>
      <w:r w:rsidR="00DB3225">
        <w:t>“Common</w:t>
      </w:r>
      <w:r w:rsidR="000474AA">
        <w:t>-to-</w:t>
      </w:r>
      <w:r w:rsidR="00DB3225">
        <w:t xml:space="preserve">All” </w:t>
      </w:r>
      <w:r w:rsidR="000474AA">
        <w:t>as under the Prior Rates; and</w:t>
      </w:r>
    </w:p>
    <w:p w:rsidR="00867D65" w:rsidRDefault="00867D65" w:rsidP="00867D65">
      <w:pPr>
        <w:spacing w:line="240" w:lineRule="auto"/>
        <w:ind w:left="720"/>
      </w:pPr>
    </w:p>
    <w:p w:rsidR="000474AA" w:rsidRDefault="00867D65" w:rsidP="00867D65">
      <w:pPr>
        <w:spacing w:line="240" w:lineRule="auto"/>
        <w:ind w:left="720"/>
      </w:pPr>
      <w:r>
        <w:t>(7</w:t>
      </w:r>
      <w:r w:rsidR="000474AA">
        <w:t>) Wholesale customers were not given credit for capital recovery coverage.</w:t>
      </w:r>
    </w:p>
    <w:p w:rsidR="008E69F5" w:rsidRDefault="008E69F5" w:rsidP="000474AA"/>
    <w:p w:rsidR="00D67253" w:rsidRDefault="009C49DF" w:rsidP="00DA4EFD">
      <w:pPr>
        <w:pStyle w:val="Heading3"/>
      </w:pPr>
      <w:bookmarkStart w:id="25" w:name="_Toc431366944"/>
      <w:r>
        <w:t xml:space="preserve">Computation Methodology </w:t>
      </w:r>
      <w:r w:rsidR="007112AC">
        <w:t>and</w:t>
      </w:r>
      <w:r w:rsidR="00213CC0">
        <w:t xml:space="preserve"> </w:t>
      </w:r>
      <w:r w:rsidR="0002399F">
        <w:t>Cost</w:t>
      </w:r>
      <w:r w:rsidR="00213CC0">
        <w:t>-</w:t>
      </w:r>
      <w:r w:rsidR="0002399F">
        <w:t>of</w:t>
      </w:r>
      <w:r w:rsidR="00213CC0">
        <w:t>-</w:t>
      </w:r>
      <w:r w:rsidR="0002399F">
        <w:t>Service</w:t>
      </w:r>
      <w:r w:rsidR="00213CC0">
        <w:t xml:space="preserve"> Analysis</w:t>
      </w:r>
      <w:bookmarkEnd w:id="25"/>
    </w:p>
    <w:p w:rsidR="00D67253" w:rsidRDefault="00D67253" w:rsidP="00DA4EFD">
      <w:pPr>
        <w:keepNext/>
      </w:pPr>
    </w:p>
    <w:p w:rsidR="00C61A69" w:rsidRDefault="00DA4EFD" w:rsidP="00E74C2D">
      <w:r>
        <w:tab/>
        <w:t xml:space="preserve">The Public Interest Rule provides that a </w:t>
      </w:r>
      <w:r w:rsidRPr="00BE4FB3">
        <w:t>seller</w:t>
      </w:r>
      <w:r w:rsidR="00B71573">
        <w:t>’</w:t>
      </w:r>
      <w:r>
        <w:t xml:space="preserve">s changing </w:t>
      </w:r>
      <w:r w:rsidR="00B71573">
        <w:t>“</w:t>
      </w:r>
      <w:r>
        <w:t>the computation of the revenue requirement or rate from one methodology to another</w:t>
      </w:r>
      <w:r w:rsidR="00B71573">
        <w:t>”</w:t>
      </w:r>
      <w:r>
        <w:t xml:space="preserve"> is one factor to be considered in determining whether a protested rate evidences the seller</w:t>
      </w:r>
      <w:r w:rsidR="00B71573">
        <w:t>’</w:t>
      </w:r>
      <w:r>
        <w:t>s abuse of monopoly power.</w:t>
      </w:r>
      <w:r>
        <w:rPr>
          <w:rStyle w:val="FootnoteReference"/>
        </w:rPr>
        <w:footnoteReference w:id="156"/>
      </w:r>
      <w:r>
        <w:t xml:space="preserve">  But the rule also provides: </w:t>
      </w:r>
      <w:r w:rsidR="00B71573">
        <w:t>“</w:t>
      </w:r>
      <w:r w:rsidRPr="00D6024E">
        <w:t>The commission shall not determine whether the protested rate adversely affects the public interest based on an analysis of the seller</w:t>
      </w:r>
      <w:r w:rsidR="00B71573">
        <w:t>’</w:t>
      </w:r>
      <w:r w:rsidRPr="00D6024E">
        <w:t>s cost of service.</w:t>
      </w:r>
      <w:r w:rsidR="00B71573">
        <w:t>”</w:t>
      </w:r>
      <w:r>
        <w:rPr>
          <w:rStyle w:val="FootnoteReference"/>
        </w:rPr>
        <w:footnoteReference w:id="157"/>
      </w:r>
      <w:r>
        <w:t xml:space="preserve">  </w:t>
      </w:r>
      <w:r w:rsidR="00213CC0">
        <w:t xml:space="preserve">Reconciling the requirement with the prohibition is very </w:t>
      </w:r>
      <w:r w:rsidR="00D252B6">
        <w:t>challenging</w:t>
      </w:r>
      <w:r w:rsidR="00213CC0">
        <w:t xml:space="preserve">, and TCMUD 12 </w:t>
      </w:r>
      <w:r w:rsidR="00B25CBB">
        <w:t xml:space="preserve">and </w:t>
      </w:r>
      <w:r w:rsidR="00213CC0">
        <w:t>the other parties</w:t>
      </w:r>
      <w:r w:rsidR="00614AAB">
        <w:t xml:space="preserve"> </w:t>
      </w:r>
      <w:r w:rsidR="00B25CBB">
        <w:t xml:space="preserve">disagree </w:t>
      </w:r>
      <w:r w:rsidR="00DB3225">
        <w:t xml:space="preserve">about </w:t>
      </w:r>
      <w:r w:rsidR="00B25CBB">
        <w:t>how they should be reconciled</w:t>
      </w:r>
      <w:r w:rsidR="00C61A69">
        <w:t>.</w:t>
      </w:r>
    </w:p>
    <w:p w:rsidR="00C61A69" w:rsidRDefault="00C61A69" w:rsidP="00E74C2D"/>
    <w:p w:rsidR="00C21253" w:rsidRDefault="00C61A69" w:rsidP="00C21253">
      <w:r>
        <w:tab/>
      </w:r>
      <w:r w:rsidR="00614AAB">
        <w:t xml:space="preserve">Underlying the disagreement are complicated disputes about the meaning of key terms in the Public Interest </w:t>
      </w:r>
      <w:r w:rsidR="009B3BB7">
        <w:t>Rule</w:t>
      </w:r>
      <w:r w:rsidR="00614AAB">
        <w:t xml:space="preserve">, including </w:t>
      </w:r>
      <w:r w:rsidR="00B71573">
        <w:t>“</w:t>
      </w:r>
      <w:r w:rsidR="00614AAB">
        <w:t>cost of service,</w:t>
      </w:r>
      <w:r w:rsidR="00B71573">
        <w:t>”</w:t>
      </w:r>
      <w:r w:rsidR="00614AAB">
        <w:t xml:space="preserve"> </w:t>
      </w:r>
      <w:r w:rsidR="00B71573">
        <w:t>“</w:t>
      </w:r>
      <w:r w:rsidR="00614AAB">
        <w:t>revenue requirement,</w:t>
      </w:r>
      <w:r w:rsidR="00B71573">
        <w:t>”</w:t>
      </w:r>
      <w:r w:rsidR="00614AAB">
        <w:t xml:space="preserve"> and </w:t>
      </w:r>
      <w:r w:rsidR="00B71573">
        <w:t>“</w:t>
      </w:r>
      <w:r w:rsidR="00614AAB">
        <w:t>computation . . . methodology.</w:t>
      </w:r>
      <w:r w:rsidR="00B71573">
        <w:t>”</w:t>
      </w:r>
      <w:r w:rsidR="00EA2080">
        <w:t xml:space="preserve"> </w:t>
      </w:r>
      <w:r w:rsidR="00483D51">
        <w:t>Words and phrases in the Commission</w:t>
      </w:r>
      <w:r w:rsidR="00B71573">
        <w:t>’</w:t>
      </w:r>
      <w:r w:rsidR="00483D51">
        <w:t xml:space="preserve">s rules must be read in context and </w:t>
      </w:r>
      <w:r w:rsidR="00483D51">
        <w:lastRenderedPageBreak/>
        <w:t>construed according to the rules of grammar and common usage unless they have acquired a technical or particular meaning by legislative definition or otherwise.</w:t>
      </w:r>
      <w:r w:rsidR="00483D51">
        <w:rPr>
          <w:rStyle w:val="FootnoteReference"/>
        </w:rPr>
        <w:footnoteReference w:id="158"/>
      </w:r>
    </w:p>
    <w:p w:rsidR="00C21253" w:rsidRDefault="00C21253" w:rsidP="00C21253"/>
    <w:p w:rsidR="00C21253" w:rsidRDefault="00C21253" w:rsidP="00C21253">
      <w:r>
        <w:tab/>
        <w:t>The meaning of rate is clear.  For purposes of the Commission’s water and sewer service rules, “rate” is defined as follows:</w:t>
      </w:r>
    </w:p>
    <w:p w:rsidR="00C21253" w:rsidRDefault="00C21253" w:rsidP="00C21253"/>
    <w:p w:rsidR="00C21253" w:rsidRDefault="00C21253" w:rsidP="00C21253">
      <w:pPr>
        <w:pStyle w:val="Quote"/>
        <w:spacing w:line="240" w:lineRule="auto"/>
      </w:pPr>
      <w:r w:rsidRPr="00AB5D4E">
        <w:t xml:space="preserve">Rate--Includes every compensation, tariff, charge, fare, toll, rental, and classification or any of them demanded, observed, charged, or collected, whether directly or indirectly, by any retail public utility, or water or sewer service supplier, for any service, product, or commodity described in </w:t>
      </w:r>
      <w:r>
        <w:t>[Texas Water Code]</w:t>
      </w:r>
      <w:r w:rsidRPr="00AB5D4E">
        <w:t xml:space="preserve"> §</w:t>
      </w:r>
      <w:r>
        <w:t xml:space="preserve"> </w:t>
      </w:r>
      <w:r w:rsidRPr="00AB5D4E">
        <w:t>13.002(23), and any rules, regulations, practices, or contracts affecting any such compensation, tariff, charge, fare, t</w:t>
      </w:r>
      <w:r>
        <w:t>oll, rental, or classification.</w:t>
      </w:r>
      <w:r>
        <w:rPr>
          <w:rStyle w:val="FootnoteReference"/>
        </w:rPr>
        <w:footnoteReference w:id="159"/>
      </w:r>
    </w:p>
    <w:p w:rsidR="00EA2080" w:rsidRDefault="00EA2080" w:rsidP="00B22401"/>
    <w:p w:rsidR="00C21253" w:rsidRDefault="00EA2080" w:rsidP="00C21253">
      <w:r>
        <w:tab/>
      </w:r>
      <w:r w:rsidR="00B22401">
        <w:t>The Commission</w:t>
      </w:r>
      <w:r w:rsidR="00B71573">
        <w:t>’</w:t>
      </w:r>
      <w:r w:rsidR="00B22401">
        <w:t xml:space="preserve">s Cost Of Service Rule states that </w:t>
      </w:r>
      <w:r w:rsidR="00B71573">
        <w:t>“</w:t>
      </w:r>
      <w:r w:rsidR="00311471">
        <w:t>[t]</w:t>
      </w:r>
      <w:r w:rsidR="00B22401">
        <w:t>he two components of cost of service are allowable expenses and return on invested capital.</w:t>
      </w:r>
      <w:r w:rsidR="00B71573">
        <w:t>”</w:t>
      </w:r>
      <w:r w:rsidR="003B12BE">
        <w:rPr>
          <w:rStyle w:val="FootnoteReference"/>
        </w:rPr>
        <w:footnoteReference w:id="160"/>
      </w:r>
      <w:r w:rsidR="00B22401">
        <w:t xml:space="preserve">  The rule lists expenses t</w:t>
      </w:r>
      <w:r w:rsidR="003B12BE">
        <w:t xml:space="preserve">hat are allowed and not allowed and </w:t>
      </w:r>
      <w:r w:rsidR="00B22401">
        <w:t>describes how return on capital is determined.</w:t>
      </w:r>
      <w:r w:rsidR="003B12BE">
        <w:rPr>
          <w:rStyle w:val="FootnoteReference"/>
        </w:rPr>
        <w:footnoteReference w:id="161"/>
      </w:r>
      <w:r w:rsidR="00B22401">
        <w:t xml:space="preserve">  Among the allowed items are </w:t>
      </w:r>
      <w:r w:rsidR="00B22401" w:rsidRPr="00E4123A">
        <w:t>operations and maintenance expense incurred in furnishing normal utility service and in maintaining utility plant used by and useful to the utility in providing such service</w:t>
      </w:r>
      <w:r w:rsidR="00B22401">
        <w:t>.</w:t>
      </w:r>
      <w:r w:rsidR="00B22401">
        <w:rPr>
          <w:rStyle w:val="FootnoteReference"/>
        </w:rPr>
        <w:footnoteReference w:id="162"/>
      </w:r>
    </w:p>
    <w:p w:rsidR="00C21253" w:rsidRDefault="00C21253" w:rsidP="00C21253"/>
    <w:p w:rsidR="008A3D7A" w:rsidRDefault="00C21253" w:rsidP="00C21253">
      <w:r>
        <w:tab/>
      </w:r>
      <w:r w:rsidR="00F34878">
        <w:t xml:space="preserve">The phrase </w:t>
      </w:r>
      <w:r w:rsidR="00B71573">
        <w:t>“</w:t>
      </w:r>
      <w:r w:rsidR="00F34878">
        <w:t>revenue requirement</w:t>
      </w:r>
      <w:r w:rsidR="00B71573">
        <w:t>”</w:t>
      </w:r>
      <w:r w:rsidR="00F34878">
        <w:t xml:space="preserve"> is </w:t>
      </w:r>
      <w:r w:rsidR="00E37F27">
        <w:t xml:space="preserve">not defined and is </w:t>
      </w:r>
      <w:r w:rsidR="00F34878">
        <w:t xml:space="preserve">mentioned </w:t>
      </w:r>
      <w:r w:rsidR="00E37F27">
        <w:t xml:space="preserve">only </w:t>
      </w:r>
      <w:r w:rsidR="00F34878">
        <w:t>four times in the rules:</w:t>
      </w:r>
      <w:r w:rsidR="008A3D7A">
        <w:t xml:space="preserve"> </w:t>
      </w:r>
      <w:r w:rsidR="00F34878">
        <w:t>(1) in the Public Interest Rule</w:t>
      </w:r>
      <w:r w:rsidR="008A3D7A">
        <w:t>, where its meaning is not clarified</w:t>
      </w:r>
      <w:r w:rsidR="00F34878">
        <w:t>;</w:t>
      </w:r>
      <w:r w:rsidR="00F34878">
        <w:rPr>
          <w:rStyle w:val="FootnoteReference"/>
        </w:rPr>
        <w:footnoteReference w:id="163"/>
      </w:r>
      <w:r w:rsidR="008A3D7A">
        <w:t xml:space="preserve"> (2) in the </w:t>
      </w:r>
      <w:r w:rsidR="0097568E" w:rsidRPr="0049555C">
        <w:t>Alternative Rate Methods Rule</w:t>
      </w:r>
      <w:r w:rsidR="008A3D7A">
        <w:t>;</w:t>
      </w:r>
      <w:r w:rsidR="008A3D7A">
        <w:rPr>
          <w:rStyle w:val="FootnoteReference"/>
        </w:rPr>
        <w:footnoteReference w:id="164"/>
      </w:r>
      <w:r w:rsidR="008A3D7A">
        <w:t xml:space="preserve"> </w:t>
      </w:r>
      <w:r w:rsidR="00F34878">
        <w:t>(</w:t>
      </w:r>
      <w:r w:rsidR="008A3D7A">
        <w:t>3</w:t>
      </w:r>
      <w:r w:rsidR="00F34878">
        <w:t xml:space="preserve">) in the definition of </w:t>
      </w:r>
      <w:r w:rsidR="00B71573">
        <w:t>“</w:t>
      </w:r>
      <w:r w:rsidR="008A3D7A">
        <w:t>Cash Basis calculation of cost of service</w:t>
      </w:r>
      <w:r w:rsidR="0063140D">
        <w:t>;</w:t>
      </w:r>
      <w:r w:rsidR="00B71573">
        <w:t>”</w:t>
      </w:r>
      <w:r w:rsidR="00F34878">
        <w:rPr>
          <w:rStyle w:val="FootnoteReference"/>
        </w:rPr>
        <w:footnoteReference w:id="165"/>
      </w:r>
      <w:r w:rsidR="00F34878">
        <w:t xml:space="preserve"> </w:t>
      </w:r>
      <w:r w:rsidR="008A3D7A">
        <w:t xml:space="preserve">and </w:t>
      </w:r>
      <w:r w:rsidR="00F34878">
        <w:lastRenderedPageBreak/>
        <w:t>(</w:t>
      </w:r>
      <w:r w:rsidR="004E44CF">
        <w:t>4</w:t>
      </w:r>
      <w:r w:rsidR="00F34878">
        <w:t>) in the definition o</w:t>
      </w:r>
      <w:r w:rsidR="008A3D7A">
        <w:t xml:space="preserve">f </w:t>
      </w:r>
      <w:r w:rsidR="00B71573">
        <w:t>“</w:t>
      </w:r>
      <w:r w:rsidR="008A3D7A">
        <w:t>Utility Basis calculat</w:t>
      </w:r>
      <w:r w:rsidR="00E37F27">
        <w:t>ion</w:t>
      </w:r>
      <w:r w:rsidR="008A3D7A">
        <w:t xml:space="preserve"> of cost of service</w:t>
      </w:r>
      <w:r w:rsidR="0063140D">
        <w:t>.</w:t>
      </w:r>
      <w:r w:rsidR="00B71573">
        <w:t>”</w:t>
      </w:r>
      <w:r w:rsidR="00F34878">
        <w:rPr>
          <w:rStyle w:val="FootnoteReference"/>
        </w:rPr>
        <w:footnoteReference w:id="166"/>
      </w:r>
      <w:r w:rsidR="0063140D">
        <w:t xml:space="preserve">  The last two definitions state:</w:t>
      </w:r>
    </w:p>
    <w:p w:rsidR="008A3D7A" w:rsidRDefault="008A3D7A" w:rsidP="008A3D7A"/>
    <w:p w:rsidR="008A3D7A" w:rsidRPr="00D114FF" w:rsidRDefault="008A3D7A" w:rsidP="008A3D7A">
      <w:pPr>
        <w:pStyle w:val="Quote"/>
        <w:spacing w:line="240" w:lineRule="auto"/>
      </w:pPr>
      <w:r w:rsidRPr="00D114FF">
        <w:t xml:space="preserve">Cash Basis calculation of </w:t>
      </w:r>
      <w:r w:rsidRPr="00166533">
        <w:rPr>
          <w:b/>
        </w:rPr>
        <w:t>cost of service</w:t>
      </w:r>
      <w:r w:rsidRPr="00D114FF">
        <w:t xml:space="preserve">--A calculation of the </w:t>
      </w:r>
      <w:r w:rsidRPr="00166533">
        <w:rPr>
          <w:b/>
        </w:rPr>
        <w:t>revenue requirement</w:t>
      </w:r>
      <w:r w:rsidRPr="00D114FF">
        <w:t xml:space="preserve"> to which a seller is entitled to cover </w:t>
      </w:r>
      <w:r w:rsidRPr="0077714E">
        <w:t>all cash needs, including</w:t>
      </w:r>
      <w:r w:rsidRPr="00D114FF">
        <w:t xml:space="preserve"> debt obligations as they come due. Basic revenue requirement components considered under the cash basis generally include operation and maintenance expense, debt service requirements, and capital expenditures which are not debt financed. Other cash revenue requirements should be considered where applicable. Basic revenue requirement components under the cash basis do not include depreciation.</w:t>
      </w:r>
      <w:r w:rsidRPr="00D114FF">
        <w:rPr>
          <w:rStyle w:val="FootnoteReference"/>
        </w:rPr>
        <w:footnoteReference w:id="167"/>
      </w:r>
    </w:p>
    <w:p w:rsidR="008A3D7A" w:rsidRPr="00D114FF" w:rsidRDefault="008A3D7A" w:rsidP="008A3D7A">
      <w:pPr>
        <w:pStyle w:val="Quote"/>
        <w:spacing w:line="240" w:lineRule="auto"/>
      </w:pPr>
    </w:p>
    <w:p w:rsidR="008A3D7A" w:rsidRPr="00D114FF" w:rsidRDefault="008A3D7A" w:rsidP="008A3D7A">
      <w:pPr>
        <w:pStyle w:val="Quote"/>
        <w:spacing w:line="240" w:lineRule="auto"/>
      </w:pPr>
      <w:r w:rsidRPr="00D114FF">
        <w:t xml:space="preserve">Utility Basis calculation of </w:t>
      </w:r>
      <w:r w:rsidRPr="00166533">
        <w:rPr>
          <w:b/>
        </w:rPr>
        <w:t>cost of service</w:t>
      </w:r>
      <w:r w:rsidRPr="00D114FF">
        <w:t xml:space="preserve">--A calculation of the </w:t>
      </w:r>
      <w:r w:rsidRPr="00166533">
        <w:rPr>
          <w:b/>
        </w:rPr>
        <w:t>revenue requirement</w:t>
      </w:r>
      <w:r w:rsidRPr="00D114FF">
        <w:t xml:space="preserve"> to which a seller is entitled which includes a return on investment over and above operating costs. Basic revenue requirement components considered under the </w:t>
      </w:r>
      <w:r w:rsidRPr="0077714E">
        <w:t>utility basis generally</w:t>
      </w:r>
      <w:r w:rsidRPr="00D114FF">
        <w:t xml:space="preserve"> include operation and maintenance expense, depreciation, and return on investment.</w:t>
      </w:r>
      <w:r w:rsidRPr="00D114FF">
        <w:rPr>
          <w:rStyle w:val="FootnoteReference"/>
        </w:rPr>
        <w:footnoteReference w:id="168"/>
      </w:r>
    </w:p>
    <w:p w:rsidR="008A3D7A" w:rsidRDefault="008A3D7A" w:rsidP="008A3D7A"/>
    <w:p w:rsidR="00C21253" w:rsidRDefault="008A3D7A" w:rsidP="00E74C2D">
      <w:r>
        <w:tab/>
      </w:r>
      <w:r w:rsidR="0097568E">
        <w:t>As illustrated by the bold words above</w:t>
      </w:r>
      <w:r w:rsidR="00F34878">
        <w:t xml:space="preserve">, </w:t>
      </w:r>
      <w:r w:rsidR="00B71573">
        <w:t>“</w:t>
      </w:r>
      <w:r w:rsidR="00F34878">
        <w:t>revenue requirement</w:t>
      </w:r>
      <w:r w:rsidR="00B71573">
        <w:t>”</w:t>
      </w:r>
      <w:r w:rsidR="00F34878">
        <w:t xml:space="preserve"> </w:t>
      </w:r>
      <w:r w:rsidR="00FA1CD7">
        <w:t>is</w:t>
      </w:r>
      <w:r w:rsidR="00F34878">
        <w:t xml:space="preserve"> used </w:t>
      </w:r>
      <w:r w:rsidR="0063140D">
        <w:t>in the definitions</w:t>
      </w:r>
      <w:r w:rsidR="001C36C1">
        <w:t xml:space="preserve"> </w:t>
      </w:r>
      <w:r w:rsidR="0063140D">
        <w:t xml:space="preserve">as a synonym for </w:t>
      </w:r>
      <w:r w:rsidR="00B71573">
        <w:t>“</w:t>
      </w:r>
      <w:r w:rsidR="00F34878">
        <w:t>cost of service.</w:t>
      </w:r>
      <w:r w:rsidR="00B71573">
        <w:t>”</w:t>
      </w:r>
      <w:r w:rsidR="00F34878">
        <w:t xml:space="preserve">  </w:t>
      </w:r>
      <w:r w:rsidR="0045135C">
        <w:t xml:space="preserve">The Alternative Rate rule also uses </w:t>
      </w:r>
      <w:r w:rsidR="00B71573">
        <w:t>“</w:t>
      </w:r>
      <w:r w:rsidR="0045135C">
        <w:t>revenue requirement</w:t>
      </w:r>
      <w:r w:rsidR="00B71573">
        <w:t>”</w:t>
      </w:r>
      <w:r w:rsidR="0045135C">
        <w:t xml:space="preserve"> and </w:t>
      </w:r>
      <w:r w:rsidR="00B71573">
        <w:t>“</w:t>
      </w:r>
      <w:r w:rsidR="0045135C">
        <w:t>cost of service</w:t>
      </w:r>
      <w:r w:rsidR="00B71573">
        <w:t>”</w:t>
      </w:r>
      <w:r w:rsidR="0045135C">
        <w:t xml:space="preserve"> similarly and </w:t>
      </w:r>
      <w:r w:rsidR="002905CC">
        <w:t>indistinguishably</w:t>
      </w:r>
      <w:r w:rsidR="0045135C">
        <w:t>.</w:t>
      </w:r>
      <w:r w:rsidR="0045135C">
        <w:rPr>
          <w:rStyle w:val="FootnoteReference"/>
        </w:rPr>
        <w:footnoteReference w:id="169"/>
      </w:r>
      <w:r w:rsidR="0045135C">
        <w:t xml:space="preserve">  </w:t>
      </w:r>
      <w:r w:rsidR="00F533ED">
        <w:t xml:space="preserve">If </w:t>
      </w:r>
      <w:r w:rsidR="00B71573">
        <w:t>“</w:t>
      </w:r>
      <w:r w:rsidR="00F533ED">
        <w:t>revenue requirement</w:t>
      </w:r>
      <w:r w:rsidR="00B71573">
        <w:t>”</w:t>
      </w:r>
      <w:r w:rsidR="00F533ED">
        <w:t xml:space="preserve"> and </w:t>
      </w:r>
      <w:r w:rsidR="00B71573">
        <w:t>“</w:t>
      </w:r>
      <w:r w:rsidR="00F533ED">
        <w:t>cost of service</w:t>
      </w:r>
      <w:r w:rsidR="00B71573">
        <w:t>”</w:t>
      </w:r>
      <w:r w:rsidR="00F533ED">
        <w:t xml:space="preserve"> mean the same thing, </w:t>
      </w:r>
      <w:r w:rsidR="00E37F27">
        <w:t xml:space="preserve">as the rules indicate, </w:t>
      </w:r>
      <w:r w:rsidR="00A32243">
        <w:t xml:space="preserve">the Public Interest Rule, oddly, </w:t>
      </w:r>
      <w:r w:rsidR="00E37F27">
        <w:t xml:space="preserve">seems to </w:t>
      </w:r>
      <w:r w:rsidR="006963F0">
        <w:t xml:space="preserve">both require consideration of </w:t>
      </w:r>
      <w:r w:rsidR="00002B48">
        <w:t xml:space="preserve">evidence of </w:t>
      </w:r>
      <w:r w:rsidR="006963F0">
        <w:t xml:space="preserve">a change </w:t>
      </w:r>
      <w:r w:rsidR="00FA1CD7">
        <w:t xml:space="preserve">in a </w:t>
      </w:r>
      <w:r w:rsidR="00002B48">
        <w:t>revenue</w:t>
      </w:r>
      <w:r w:rsidR="002905CC">
        <w:t xml:space="preserve"> </w:t>
      </w:r>
      <w:r w:rsidR="00002B48">
        <w:t xml:space="preserve">requirement </w:t>
      </w:r>
      <w:r w:rsidR="00FA1CD7">
        <w:t xml:space="preserve">computation methodology </w:t>
      </w:r>
      <w:r w:rsidR="006963F0">
        <w:t xml:space="preserve">while prohibiting </w:t>
      </w:r>
      <w:r w:rsidR="003F5B6C">
        <w:t xml:space="preserve">its </w:t>
      </w:r>
      <w:r w:rsidR="006963F0">
        <w:t>consideration</w:t>
      </w:r>
      <w:r w:rsidR="003F5B6C">
        <w:t xml:space="preserve"> because </w:t>
      </w:r>
      <w:r w:rsidR="00002B48">
        <w:t xml:space="preserve">the evidence would be </w:t>
      </w:r>
      <w:r w:rsidR="003F5B6C">
        <w:t>a cost</w:t>
      </w:r>
      <w:r w:rsidR="002905CC">
        <w:t xml:space="preserve"> </w:t>
      </w:r>
      <w:r w:rsidR="003F5B6C">
        <w:t>of</w:t>
      </w:r>
      <w:r w:rsidR="002905CC">
        <w:t xml:space="preserve"> </w:t>
      </w:r>
      <w:r w:rsidR="003F5B6C">
        <w:t xml:space="preserve">service </w:t>
      </w:r>
      <w:r w:rsidR="006963F0">
        <w:t>analysis.</w:t>
      </w:r>
    </w:p>
    <w:p w:rsidR="008A2C2B" w:rsidRDefault="008A2C2B" w:rsidP="00E74C2D"/>
    <w:p w:rsidR="00FD0712" w:rsidRDefault="00C21253" w:rsidP="00E74C2D">
      <w:r>
        <w:tab/>
      </w:r>
      <w:r w:rsidR="009405FF">
        <w:t>To resolve that seeming conflict, t</w:t>
      </w:r>
      <w:r w:rsidR="003F5B6C">
        <w:t xml:space="preserve">he </w:t>
      </w:r>
      <w:r w:rsidR="00002B48">
        <w:t xml:space="preserve">ALJ considered the meaning of </w:t>
      </w:r>
      <w:r w:rsidR="003F5B6C">
        <w:t xml:space="preserve">the word </w:t>
      </w:r>
      <w:r w:rsidR="00B71573">
        <w:t>“</w:t>
      </w:r>
      <w:r w:rsidR="00FA1CD7">
        <w:t>methodology</w:t>
      </w:r>
      <w:r w:rsidR="009405FF">
        <w:t>.</w:t>
      </w:r>
      <w:r w:rsidR="00B71573">
        <w:t>”</w:t>
      </w:r>
      <w:r>
        <w:t xml:space="preserve">  </w:t>
      </w:r>
      <w:r w:rsidR="00B71573">
        <w:t>“</w:t>
      </w:r>
      <w:r w:rsidR="00483D51">
        <w:t>Methodology</w:t>
      </w:r>
      <w:r w:rsidR="00B71573">
        <w:t>”</w:t>
      </w:r>
      <w:r w:rsidR="00483D51">
        <w:t xml:space="preserve"> is not defined</w:t>
      </w:r>
      <w:r w:rsidR="008263BC">
        <w:t xml:space="preserve"> in the </w:t>
      </w:r>
      <w:r w:rsidR="009405FF">
        <w:t>Commission</w:t>
      </w:r>
      <w:r w:rsidR="00B71573">
        <w:t>’</w:t>
      </w:r>
      <w:r w:rsidR="009405FF">
        <w:t xml:space="preserve">s </w:t>
      </w:r>
      <w:r w:rsidR="008263BC">
        <w:t>rules</w:t>
      </w:r>
      <w:r w:rsidR="009405FF">
        <w:t>; however, t</w:t>
      </w:r>
      <w:r w:rsidR="00E74C2D">
        <w:t xml:space="preserve">he context </w:t>
      </w:r>
      <w:r w:rsidR="00EF53E6">
        <w:t xml:space="preserve">of the rules </w:t>
      </w:r>
      <w:r w:rsidR="00E74C2D">
        <w:t xml:space="preserve">sheds light </w:t>
      </w:r>
      <w:r w:rsidR="005D0DBE">
        <w:t xml:space="preserve">on </w:t>
      </w:r>
      <w:r w:rsidR="008263BC">
        <w:t xml:space="preserve">the </w:t>
      </w:r>
      <w:r w:rsidR="005D0DBE">
        <w:t>meaning</w:t>
      </w:r>
      <w:r w:rsidR="008263BC">
        <w:t xml:space="preserve"> of </w:t>
      </w:r>
      <w:r w:rsidR="00B71573">
        <w:t>“</w:t>
      </w:r>
      <w:r w:rsidR="008263BC">
        <w:t>methodology</w:t>
      </w:r>
      <w:r w:rsidR="005D0DBE">
        <w:t>.</w:t>
      </w:r>
      <w:r w:rsidR="00B71573">
        <w:t>”</w:t>
      </w:r>
      <w:r w:rsidR="00E74C2D">
        <w:t xml:space="preserve"> </w:t>
      </w:r>
      <w:r w:rsidR="005D0DBE">
        <w:t xml:space="preserve"> </w:t>
      </w:r>
      <w:r w:rsidR="00E74C2D">
        <w:t xml:space="preserve">Other wholesale water and sewer service rules refer to </w:t>
      </w:r>
      <w:r w:rsidR="00B71573">
        <w:t>“</w:t>
      </w:r>
      <w:r w:rsidR="00E74C2D">
        <w:t>methods of establishing rates,</w:t>
      </w:r>
      <w:r w:rsidR="00B71573">
        <w:t>”</w:t>
      </w:r>
      <w:r w:rsidR="00E74C2D">
        <w:rPr>
          <w:rStyle w:val="FootnoteReference"/>
        </w:rPr>
        <w:footnoteReference w:id="170"/>
      </w:r>
      <w:r w:rsidR="00E74C2D">
        <w:t xml:space="preserve"> including </w:t>
      </w:r>
      <w:r w:rsidR="00B71573">
        <w:t>“</w:t>
      </w:r>
      <w:r w:rsidR="00E74C2D">
        <w:t>the cash needs method</w:t>
      </w:r>
      <w:r w:rsidR="00B71573">
        <w:t>”</w:t>
      </w:r>
      <w:r w:rsidR="00E74C2D">
        <w:rPr>
          <w:rStyle w:val="FootnoteReference"/>
        </w:rPr>
        <w:footnoteReference w:id="171"/>
      </w:r>
      <w:r w:rsidR="00E74C2D">
        <w:t xml:space="preserve"> or </w:t>
      </w:r>
      <w:r w:rsidR="00B71573">
        <w:lastRenderedPageBreak/>
        <w:t>“</w:t>
      </w:r>
      <w:r w:rsidR="00E74C2D">
        <w:t>the cash basis . . . methodology,</w:t>
      </w:r>
      <w:r w:rsidR="00B71573">
        <w:t>”</w:t>
      </w:r>
      <w:r w:rsidR="00E74C2D">
        <w:rPr>
          <w:rStyle w:val="FootnoteReference"/>
        </w:rPr>
        <w:footnoteReference w:id="172"/>
      </w:r>
      <w:r w:rsidR="00E74C2D">
        <w:t xml:space="preserve"> the </w:t>
      </w:r>
      <w:r w:rsidR="00B71573">
        <w:t>“</w:t>
      </w:r>
      <w:r w:rsidR="00E74C2D">
        <w:t>phased or multi-step rate method,</w:t>
      </w:r>
      <w:r w:rsidR="00B71573">
        <w:t>”</w:t>
      </w:r>
      <w:r w:rsidR="00E74C2D">
        <w:rPr>
          <w:rStyle w:val="FootnoteReference"/>
        </w:rPr>
        <w:footnoteReference w:id="173"/>
      </w:r>
      <w:r w:rsidR="00DF31FC">
        <w:t xml:space="preserve"> </w:t>
      </w:r>
      <w:r w:rsidR="00E74C2D">
        <w:t xml:space="preserve">the </w:t>
      </w:r>
      <w:r w:rsidR="00B71573">
        <w:t>“</w:t>
      </w:r>
      <w:r w:rsidR="00E74C2D">
        <w:t>utility method</w:t>
      </w:r>
      <w:r w:rsidR="00B71573">
        <w:t>”</w:t>
      </w:r>
      <w:r w:rsidR="00E74C2D">
        <w:rPr>
          <w:rStyle w:val="FootnoteReference"/>
        </w:rPr>
        <w:footnoteReference w:id="174"/>
      </w:r>
      <w:r w:rsidR="00E74C2D">
        <w:t xml:space="preserve"> or </w:t>
      </w:r>
      <w:r w:rsidR="00B71573">
        <w:t>“</w:t>
      </w:r>
      <w:r w:rsidR="00E74C2D">
        <w:t>utility basis . . . methodology,</w:t>
      </w:r>
      <w:r w:rsidR="00B71573">
        <w:t>”</w:t>
      </w:r>
      <w:r w:rsidR="00E74C2D">
        <w:rPr>
          <w:rStyle w:val="FootnoteReference"/>
        </w:rPr>
        <w:footnoteReference w:id="175"/>
      </w:r>
      <w:r w:rsidR="00E74C2D">
        <w:t xml:space="preserve"> and </w:t>
      </w:r>
      <w:r w:rsidR="00B71573">
        <w:t>“</w:t>
      </w:r>
      <w:r w:rsidR="00E74C2D" w:rsidRPr="002C1911">
        <w:t>reasonable methodologies set by contract which</w:t>
      </w:r>
      <w:r w:rsidR="00E74C2D">
        <w:t xml:space="preserve"> identify costs of providing service and/or allocate such costs in calculating the cost of service.</w:t>
      </w:r>
      <w:r w:rsidR="00B71573">
        <w:t>”</w:t>
      </w:r>
      <w:r w:rsidR="00E74C2D">
        <w:rPr>
          <w:rStyle w:val="FootnoteReference"/>
        </w:rPr>
        <w:footnoteReference w:id="176"/>
      </w:r>
      <w:r w:rsidR="008A3D7A">
        <w:t xml:space="preserve">  </w:t>
      </w:r>
      <w:r w:rsidR="00E74C2D">
        <w:t xml:space="preserve">Thus, from the </w:t>
      </w:r>
      <w:r w:rsidR="006070D9">
        <w:t xml:space="preserve">references in the </w:t>
      </w:r>
      <w:r w:rsidR="00E74C2D">
        <w:t>rules, it is clear that there are at least four computation</w:t>
      </w:r>
      <w:r w:rsidR="00DF31FC">
        <w:t>al</w:t>
      </w:r>
      <w:r w:rsidR="00E74C2D">
        <w:t xml:space="preserve"> methodologies: (1)</w:t>
      </w:r>
      <w:r w:rsidR="006070D9">
        <w:t> </w:t>
      </w:r>
      <w:r w:rsidR="00E74C2D">
        <w:t>cash</w:t>
      </w:r>
      <w:r w:rsidR="00D266EA">
        <w:t>-</w:t>
      </w:r>
      <w:r w:rsidR="00E74C2D">
        <w:t>needs, (2) utility</w:t>
      </w:r>
      <w:r w:rsidR="00D266EA">
        <w:t>-basis</w:t>
      </w:r>
      <w:r w:rsidR="00E74C2D">
        <w:t>, (3) phased</w:t>
      </w:r>
      <w:r w:rsidR="00FD0712">
        <w:t>, and (4) contractual.</w:t>
      </w:r>
    </w:p>
    <w:p w:rsidR="00FD0712" w:rsidRDefault="00FD0712" w:rsidP="00E74C2D"/>
    <w:p w:rsidR="004937B3" w:rsidRDefault="00FD0712" w:rsidP="00E74C2D">
      <w:r>
        <w:tab/>
      </w:r>
      <w:r w:rsidR="009405FF">
        <w:t>According to the Commission</w:t>
      </w:r>
      <w:r w:rsidR="00B71573">
        <w:t>’</w:t>
      </w:r>
      <w:r w:rsidR="009405FF">
        <w:t>s rules quoted above</w:t>
      </w:r>
      <w:r w:rsidR="00CF58B7">
        <w:t xml:space="preserve">, the </w:t>
      </w:r>
      <w:r w:rsidR="0077714E">
        <w:t>cash-needs method</w:t>
      </w:r>
      <w:r w:rsidR="0077714E" w:rsidRPr="00D114FF">
        <w:rPr>
          <w:rStyle w:val="FootnoteReference"/>
        </w:rPr>
        <w:footnoteReference w:id="177"/>
      </w:r>
      <w:r w:rsidR="0077714E">
        <w:t xml:space="preserve"> and the </w:t>
      </w:r>
      <w:r w:rsidR="00E74C2D">
        <w:t>utility</w:t>
      </w:r>
      <w:r w:rsidR="0077714E">
        <w:t>-basis</w:t>
      </w:r>
      <w:r w:rsidR="00E74C2D">
        <w:t xml:space="preserve"> method</w:t>
      </w:r>
      <w:r w:rsidR="00013753" w:rsidRPr="00D114FF">
        <w:rPr>
          <w:rStyle w:val="FootnoteReference"/>
        </w:rPr>
        <w:footnoteReference w:id="178"/>
      </w:r>
      <w:r w:rsidR="00E74C2D">
        <w:t xml:space="preserve"> are used to calculate </w:t>
      </w:r>
      <w:r w:rsidR="00B71573">
        <w:t>“</w:t>
      </w:r>
      <w:r w:rsidR="00A507B4">
        <w:t>cost of service,</w:t>
      </w:r>
      <w:r w:rsidR="00B71573">
        <w:t>”</w:t>
      </w:r>
      <w:r w:rsidR="00A507B4">
        <w:t xml:space="preserve"> or </w:t>
      </w:r>
      <w:r w:rsidR="00B71573">
        <w:t>“</w:t>
      </w:r>
      <w:r w:rsidR="00E74C2D">
        <w:t>revenue requirement.</w:t>
      </w:r>
      <w:r w:rsidR="00B71573">
        <w:t>”</w:t>
      </w:r>
      <w:r w:rsidR="00E74C2D">
        <w:t xml:space="preserve">  </w:t>
      </w:r>
      <w:r w:rsidR="00A507B4">
        <w:t xml:space="preserve">Despite the </w:t>
      </w:r>
      <w:r w:rsidR="00EF53E6">
        <w:t>complex</w:t>
      </w:r>
      <w:r w:rsidR="00A507B4">
        <w:t xml:space="preserve"> web of rules and meanings, e</w:t>
      </w:r>
      <w:r w:rsidR="00E74C2D">
        <w:t xml:space="preserve">very party agrees that a change </w:t>
      </w:r>
      <w:r w:rsidR="00977162">
        <w:t xml:space="preserve">from </w:t>
      </w:r>
      <w:r w:rsidR="00C7770D">
        <w:t xml:space="preserve">the </w:t>
      </w:r>
      <w:r w:rsidR="00E74C2D">
        <w:t xml:space="preserve">cash-needs </w:t>
      </w:r>
      <w:r w:rsidR="00977162">
        <w:t xml:space="preserve">method to the </w:t>
      </w:r>
      <w:r w:rsidR="00E74C2D">
        <w:t>utility</w:t>
      </w:r>
      <w:r w:rsidR="00C71CB5">
        <w:t>-basis</w:t>
      </w:r>
      <w:r w:rsidR="00E74C2D">
        <w:t xml:space="preserve"> method</w:t>
      </w:r>
      <w:r w:rsidR="00977162">
        <w:t xml:space="preserve">, or vice versa, </w:t>
      </w:r>
      <w:r w:rsidR="00E74C2D">
        <w:t xml:space="preserve">for determining revenue requirement </w:t>
      </w:r>
      <w:r w:rsidR="00977162">
        <w:t xml:space="preserve">would be relevant to </w:t>
      </w:r>
      <w:r w:rsidR="00E74C2D">
        <w:t xml:space="preserve">determining whether a wholesale seller abused monopoly power.  </w:t>
      </w:r>
      <w:r w:rsidR="006070D9">
        <w:t xml:space="preserve">But </w:t>
      </w:r>
      <w:r w:rsidR="00B075DA">
        <w:t xml:space="preserve">all of the pertinent </w:t>
      </w:r>
      <w:r w:rsidR="00977162">
        <w:t xml:space="preserve">testifying </w:t>
      </w:r>
      <w:r w:rsidR="00B075DA">
        <w:t>experts</w:t>
      </w:r>
      <w:r w:rsidR="00977162">
        <w:t xml:space="preserve"> </w:t>
      </w:r>
      <w:r w:rsidR="00B075DA">
        <w:t>agree</w:t>
      </w:r>
      <w:r w:rsidR="00E249E4">
        <w:t>d</w:t>
      </w:r>
      <w:r w:rsidR="00B075DA">
        <w:t xml:space="preserve"> that WTCPUA used the cash-needs method for both the Prior </w:t>
      </w:r>
      <w:r w:rsidR="006B62A0">
        <w:t xml:space="preserve">Rates </w:t>
      </w:r>
      <w:r w:rsidR="00B075DA">
        <w:t>and Protested Rates.</w:t>
      </w:r>
      <w:r w:rsidR="00B075DA">
        <w:rPr>
          <w:rStyle w:val="FootnoteReference"/>
        </w:rPr>
        <w:footnoteReference w:id="179"/>
      </w:r>
      <w:r w:rsidR="00C21253">
        <w:t xml:space="preserve">  Moreover, no evidence indicates WTCPUA used a phased methodology or one set out in a contract when it set the Prior </w:t>
      </w:r>
      <w:r w:rsidR="006B62A0">
        <w:t xml:space="preserve">Rates and </w:t>
      </w:r>
      <w:r w:rsidR="00C21253">
        <w:t xml:space="preserve">the Protested Rates.  </w:t>
      </w:r>
    </w:p>
    <w:p w:rsidR="004937B3" w:rsidRDefault="004937B3" w:rsidP="00E74C2D"/>
    <w:p w:rsidR="00E249E4" w:rsidRDefault="004937B3" w:rsidP="00E74C2D">
      <w:r>
        <w:tab/>
        <w:t xml:space="preserve">District 5 claims that WTCPUA used no method to compute its revenue requirement for the Prior Rates and set them arbitrarily; hence, </w:t>
      </w:r>
      <w:r w:rsidR="009405FF">
        <w:t xml:space="preserve">no matter the </w:t>
      </w:r>
      <w:r>
        <w:t xml:space="preserve">method used to determine </w:t>
      </w:r>
      <w:r w:rsidR="009405FF">
        <w:t xml:space="preserve">the </w:t>
      </w:r>
      <w:r>
        <w:t>revenue requirement underlying the Protested Rates</w:t>
      </w:r>
      <w:r w:rsidR="009405FF">
        <w:t xml:space="preserve">, there could not have been a </w:t>
      </w:r>
      <w:r>
        <w:t>change</w:t>
      </w:r>
      <w:r w:rsidR="009405FF">
        <w:t xml:space="preserve"> in methodology</w:t>
      </w:r>
      <w:r>
        <w:t xml:space="preserve">.  </w:t>
      </w:r>
      <w:r w:rsidR="009405FF">
        <w:t xml:space="preserve">The evidence shows, however, </w:t>
      </w:r>
      <w:r>
        <w:t xml:space="preserve">that WTCPUA based its </w:t>
      </w:r>
      <w:r w:rsidR="009405FF">
        <w:t xml:space="preserve">Prior Rates </w:t>
      </w:r>
      <w:r>
        <w:t xml:space="preserve">on a recommendation by its consultant </w:t>
      </w:r>
      <w:r w:rsidR="009405FF">
        <w:t xml:space="preserve">who used the </w:t>
      </w:r>
      <w:r>
        <w:t xml:space="preserve">cash-needs method to determine revenue requirement, </w:t>
      </w:r>
      <w:r w:rsidR="009405FF">
        <w:t xml:space="preserve">and </w:t>
      </w:r>
      <w:r>
        <w:t xml:space="preserve">WTCPUA chose to adopt only one-half </w:t>
      </w:r>
      <w:r w:rsidR="00B677EA">
        <w:t xml:space="preserve">of </w:t>
      </w:r>
      <w:r>
        <w:t xml:space="preserve">the rate increase that the consultant </w:t>
      </w:r>
      <w:r>
        <w:lastRenderedPageBreak/>
        <w:t>recommended.</w:t>
      </w:r>
      <w:r>
        <w:rPr>
          <w:rStyle w:val="FootnoteReference"/>
        </w:rPr>
        <w:footnoteReference w:id="180"/>
      </w:r>
      <w:r>
        <w:t xml:space="preserve">  </w:t>
      </w:r>
      <w:r w:rsidR="009405FF">
        <w:t>Given that evidence, t</w:t>
      </w:r>
      <w:r>
        <w:t xml:space="preserve">he ALJ </w:t>
      </w:r>
      <w:r w:rsidR="009405FF">
        <w:t xml:space="preserve">concludes that </w:t>
      </w:r>
      <w:r>
        <w:t>the Prior Rates were based on a</w:t>
      </w:r>
      <w:r w:rsidR="009405FF">
        <w:t>n</w:t>
      </w:r>
      <w:r>
        <w:t xml:space="preserve"> </w:t>
      </w:r>
      <w:r w:rsidR="009405FF">
        <w:t xml:space="preserve">adjusted </w:t>
      </w:r>
      <w:r>
        <w:t>cash-needs methodology</w:t>
      </w:r>
      <w:r w:rsidR="00C03F43">
        <w:t>.</w:t>
      </w:r>
    </w:p>
    <w:p w:rsidR="00E249E4" w:rsidRDefault="00E249E4" w:rsidP="00E74C2D"/>
    <w:p w:rsidR="00222F22" w:rsidRDefault="006428F2" w:rsidP="00222F22">
      <w:r>
        <w:tab/>
      </w:r>
      <w:r w:rsidR="00C7770D">
        <w:t>Though the rules specifically refer only to cash-needs, utility, phased, and contractual methodologies, n</w:t>
      </w:r>
      <w:r>
        <w:t>o</w:t>
      </w:r>
      <w:r w:rsidR="00A1551F">
        <w:t>thing in the</w:t>
      </w:r>
      <w:r w:rsidR="00EF53E6">
        <w:t xml:space="preserve"> rules </w:t>
      </w:r>
      <w:r>
        <w:t xml:space="preserve">indicates that </w:t>
      </w:r>
      <w:r w:rsidR="00C7770D">
        <w:t xml:space="preserve">the meaning of </w:t>
      </w:r>
      <w:r w:rsidR="00B71573">
        <w:t>“</w:t>
      </w:r>
      <w:r>
        <w:t>methodology</w:t>
      </w:r>
      <w:r w:rsidR="00C7770D">
        <w:t>,</w:t>
      </w:r>
      <w:r w:rsidR="00B71573">
        <w:t>”</w:t>
      </w:r>
      <w:r>
        <w:t xml:space="preserve"> </w:t>
      </w:r>
      <w:r w:rsidR="00C7770D">
        <w:t xml:space="preserve">as used in the Public Interest Rule, is confined to those four.  </w:t>
      </w:r>
      <w:r w:rsidRPr="006D59B5">
        <w:t xml:space="preserve">One common meaning of </w:t>
      </w:r>
      <w:r w:rsidR="00B71573">
        <w:t>“</w:t>
      </w:r>
      <w:r w:rsidRPr="006D59B5">
        <w:t>methodology</w:t>
      </w:r>
      <w:r w:rsidR="00B71573">
        <w:t>”</w:t>
      </w:r>
      <w:r w:rsidRPr="006D59B5">
        <w:t xml:space="preserve"> is </w:t>
      </w:r>
      <w:r w:rsidR="00B71573">
        <w:t>“</w:t>
      </w:r>
      <w:r>
        <w:t>[a]</w:t>
      </w:r>
      <w:r w:rsidRPr="006D59B5">
        <w:t xml:space="preserve"> body of practices, procedures, and rules used by those who work in a discipline or engage in an inquiry; a set of working methods.</w:t>
      </w:r>
      <w:r w:rsidR="00B71573">
        <w:t>”</w:t>
      </w:r>
      <w:r w:rsidRPr="006D59B5">
        <w:rPr>
          <w:rStyle w:val="FootnoteReference"/>
        </w:rPr>
        <w:footnoteReference w:id="181"/>
      </w:r>
      <w:r w:rsidR="006070D9">
        <w:t xml:space="preserve">  </w:t>
      </w:r>
      <w:r w:rsidR="00222F22">
        <w:t>T</w:t>
      </w:r>
      <w:r w:rsidR="00222F22" w:rsidRPr="00255DE6">
        <w:t xml:space="preserve">he American Water Works Association </w:t>
      </w:r>
      <w:r w:rsidR="00222F22">
        <w:t xml:space="preserve">publishes a </w:t>
      </w:r>
      <w:r w:rsidR="00222F22" w:rsidRPr="00255DE6">
        <w:t>manual on water utility rates</w:t>
      </w:r>
      <w:r w:rsidR="00222F22">
        <w:t xml:space="preserve"> (</w:t>
      </w:r>
      <w:r w:rsidR="00222F22" w:rsidRPr="00255DE6">
        <w:t>M1 Manual</w:t>
      </w:r>
      <w:r w:rsidR="00222F22">
        <w:t>)</w:t>
      </w:r>
      <w:r w:rsidR="00222F22" w:rsidRPr="00255DE6">
        <w:t xml:space="preserve">, also known as </w:t>
      </w:r>
      <w:r w:rsidR="00222F22" w:rsidRPr="00255DE6">
        <w:rPr>
          <w:i/>
        </w:rPr>
        <w:t>Principles of Water Rates, Fees, and Charges.</w:t>
      </w:r>
      <w:r w:rsidR="00222F22" w:rsidRPr="00FD6647">
        <w:rPr>
          <w:vertAlign w:val="superscript"/>
        </w:rPr>
        <w:footnoteReference w:id="182"/>
      </w:r>
      <w:r w:rsidR="00222F22" w:rsidRPr="00FD6647">
        <w:t xml:space="preserve">  </w:t>
      </w:r>
      <w:r w:rsidR="00222F22">
        <w:t>According to the M1 Manual:</w:t>
      </w:r>
    </w:p>
    <w:p w:rsidR="00222F22" w:rsidRDefault="00222F22" w:rsidP="00222F22"/>
    <w:p w:rsidR="00222F22" w:rsidRPr="007A244C" w:rsidRDefault="00B677EA" w:rsidP="00222F22">
      <w:pPr>
        <w:pStyle w:val="Quote"/>
        <w:spacing w:line="240" w:lineRule="auto"/>
      </w:pPr>
      <w:r>
        <w:t>[T]</w:t>
      </w:r>
      <w:r w:rsidR="00222F22" w:rsidRPr="007A244C">
        <w:t>he generally accepted rate-setting methodology includes three categories of analysis[:]</w:t>
      </w:r>
    </w:p>
    <w:p w:rsidR="00222F22" w:rsidRPr="007A244C" w:rsidRDefault="00222F22" w:rsidP="00222F22">
      <w:pPr>
        <w:spacing w:line="240" w:lineRule="auto"/>
      </w:pPr>
    </w:p>
    <w:p w:rsidR="00222F22" w:rsidRPr="007A244C" w:rsidRDefault="00222F22" w:rsidP="00222F22">
      <w:pPr>
        <w:pStyle w:val="Quote"/>
        <w:spacing w:line="240" w:lineRule="auto"/>
      </w:pPr>
      <w:r w:rsidRPr="007A244C">
        <w:t>Revenue Requirement analysis[:]  Compares revenues of the utility to its operating and capital costs to determine the adequacy of existing rates to recover the utility</w:t>
      </w:r>
      <w:r w:rsidR="00B71573">
        <w:t>’</w:t>
      </w:r>
      <w:r w:rsidRPr="007A244C">
        <w:t>s costs[;]</w:t>
      </w:r>
    </w:p>
    <w:p w:rsidR="00222F22" w:rsidRPr="007A244C" w:rsidRDefault="00222F22" w:rsidP="00222F22"/>
    <w:p w:rsidR="00222F22" w:rsidRPr="007A244C" w:rsidRDefault="00222F22" w:rsidP="00222F22">
      <w:pPr>
        <w:pStyle w:val="Quote"/>
        <w:spacing w:line="240" w:lineRule="auto"/>
      </w:pPr>
      <w:r w:rsidRPr="007A244C">
        <w:t>Cost-of-service analysis[:]  Allocates the revenue requirements to the various customer classes of service in a fair and equitable manner[; and]</w:t>
      </w:r>
    </w:p>
    <w:p w:rsidR="00222F22" w:rsidRPr="007A244C" w:rsidRDefault="00222F22" w:rsidP="00222F22"/>
    <w:p w:rsidR="00222F22" w:rsidRPr="007A244C" w:rsidRDefault="00222F22" w:rsidP="00222F22">
      <w:pPr>
        <w:pStyle w:val="Quote"/>
        <w:spacing w:line="240" w:lineRule="auto"/>
      </w:pPr>
      <w:r w:rsidRPr="007A244C">
        <w:t>Rate design analysis[:]  Considers both the level and structure of the rate design to collect the distributed revenue requirements from each class of service[.]</w:t>
      </w:r>
      <w:r w:rsidRPr="007A244C">
        <w:rPr>
          <w:vertAlign w:val="superscript"/>
        </w:rPr>
        <w:footnoteReference w:id="183"/>
      </w:r>
    </w:p>
    <w:p w:rsidR="00222F22" w:rsidRDefault="00222F22" w:rsidP="00222F22"/>
    <w:p w:rsidR="00BC7E41" w:rsidRDefault="00BC7E41" w:rsidP="00222F22">
      <w:r>
        <w:tab/>
        <w:t xml:space="preserve">Jack </w:t>
      </w:r>
      <w:r w:rsidR="00B714C6">
        <w:t>Stow</w:t>
      </w:r>
      <w:r w:rsidR="00CC5916">
        <w:t>e</w:t>
      </w:r>
      <w:r w:rsidR="00B714C6">
        <w:t xml:space="preserve"> holds a bachelor’s degree in accounting, has extensive experience as a water utility rate consultant, and testified as WTCPUA’s expert.</w:t>
      </w:r>
      <w:r w:rsidR="00B714C6">
        <w:rPr>
          <w:rStyle w:val="FootnoteReference"/>
        </w:rPr>
        <w:footnoteReference w:id="184"/>
      </w:r>
      <w:r w:rsidR="00623920">
        <w:t xml:space="preserve">  Since 2014, Heidi Graham has been employed by the PUC to review, process, and testify concerning water and sewer utility </w:t>
      </w:r>
      <w:r w:rsidR="00623920">
        <w:lastRenderedPageBreak/>
        <w:t>rate matter</w:t>
      </w:r>
      <w:r w:rsidR="00704AC3">
        <w:t>s, and s</w:t>
      </w:r>
      <w:r w:rsidR="00623920">
        <w:t xml:space="preserve">he previously worked in a similar capacity for TCEQ </w:t>
      </w:r>
      <w:r w:rsidR="00704AC3">
        <w:t xml:space="preserve">from </w:t>
      </w:r>
      <w:r w:rsidR="00623920">
        <w:t>2006</w:t>
      </w:r>
      <w:r w:rsidR="00704AC3">
        <w:t xml:space="preserve"> to 2014</w:t>
      </w:r>
      <w:r w:rsidR="00623920">
        <w:t>.</w:t>
      </w:r>
      <w:r w:rsidR="00704AC3">
        <w:rPr>
          <w:rStyle w:val="FootnoteReference"/>
        </w:rPr>
        <w:footnoteReference w:id="185"/>
      </w:r>
      <w:r w:rsidR="00704AC3">
        <w:t xml:space="preserve">  </w:t>
      </w:r>
      <w:r w:rsidR="00623920">
        <w:t>Ms. Graham reviewed the petition in this case and testified as a witness for the PUC Staff.</w:t>
      </w:r>
      <w:r w:rsidR="00CC5916">
        <w:rPr>
          <w:rStyle w:val="FootnoteReference"/>
        </w:rPr>
        <w:footnoteReference w:id="186"/>
      </w:r>
    </w:p>
    <w:p w:rsidR="00BC7E41" w:rsidRDefault="00BC7E41" w:rsidP="00222F22"/>
    <w:p w:rsidR="00991EBC" w:rsidRDefault="00793009" w:rsidP="00793009">
      <w:r>
        <w:tab/>
      </w:r>
      <w:r w:rsidR="002E269B">
        <w:t>E</w:t>
      </w:r>
      <w:r w:rsidR="002E269B" w:rsidRPr="00255DE6">
        <w:t>xperts</w:t>
      </w:r>
      <w:r w:rsidR="002E269B">
        <w:t xml:space="preserve"> on r</w:t>
      </w:r>
      <w:r w:rsidR="00F066C8" w:rsidRPr="00255DE6">
        <w:t>ate</w:t>
      </w:r>
      <w:r w:rsidR="00B677EA">
        <w:t xml:space="preserve"> </w:t>
      </w:r>
      <w:r w:rsidR="00F066C8" w:rsidRPr="00255DE6">
        <w:t xml:space="preserve">making in the water industry, including </w:t>
      </w:r>
      <w:r w:rsidR="00F066C8">
        <w:t xml:space="preserve">Mr. </w:t>
      </w:r>
      <w:r w:rsidR="00F066C8" w:rsidRPr="00255DE6">
        <w:t>Stowe</w:t>
      </w:r>
      <w:r w:rsidR="00F066C8">
        <w:t xml:space="preserve"> and Ms. Graham</w:t>
      </w:r>
      <w:r w:rsidR="00F066C8" w:rsidRPr="00255DE6">
        <w:t>, often rely on the M1 Manual for guidance.</w:t>
      </w:r>
      <w:r w:rsidR="00F066C8" w:rsidRPr="00255DE6">
        <w:rPr>
          <w:vertAlign w:val="superscript"/>
        </w:rPr>
        <w:footnoteReference w:id="187"/>
      </w:r>
      <w:r w:rsidR="00F066C8">
        <w:t xml:space="preserve">  </w:t>
      </w:r>
      <w:r w:rsidR="00991EBC">
        <w:t>Mr. Joyce agrees that the M1 Manual and the above three-step analysis are generally accepted, and he does not disagree with them; though, he thinks that the manual does not use terminology consistently.</w:t>
      </w:r>
      <w:r w:rsidR="00991EBC">
        <w:rPr>
          <w:rStyle w:val="FootnoteReference"/>
        </w:rPr>
        <w:footnoteReference w:id="188"/>
      </w:r>
      <w:r w:rsidR="00991EBC">
        <w:t xml:space="preserve">  </w:t>
      </w:r>
    </w:p>
    <w:p w:rsidR="00991EBC" w:rsidRDefault="00991EBC" w:rsidP="00793009"/>
    <w:p w:rsidR="00793009" w:rsidRDefault="00991EBC" w:rsidP="00793009">
      <w:r>
        <w:tab/>
      </w:r>
      <w:r w:rsidR="00793009">
        <w:t xml:space="preserve">The M1 Manual also </w:t>
      </w:r>
      <w:r w:rsidR="006070D9">
        <w:t xml:space="preserve">states </w:t>
      </w:r>
      <w:r w:rsidR="00793009">
        <w:t>that there are two generally accepted approaches for establishing a utility</w:t>
      </w:r>
      <w:r w:rsidR="00B71573">
        <w:t>’</w:t>
      </w:r>
      <w:r w:rsidR="00793009">
        <w:t>s revenue requirement: the cash-needs approach and the utility-basis approach.</w:t>
      </w:r>
      <w:r w:rsidR="00793009">
        <w:rPr>
          <w:rStyle w:val="FootnoteReference"/>
        </w:rPr>
        <w:footnoteReference w:id="189"/>
      </w:r>
      <w:r w:rsidR="00793009">
        <w:t xml:space="preserve">  It also </w:t>
      </w:r>
      <w:r w:rsidR="006070D9">
        <w:t>states</w:t>
      </w:r>
      <w:r w:rsidR="00793009">
        <w:t xml:space="preserve"> that there are two generally accepted methods for conducting </w:t>
      </w:r>
      <w:r w:rsidR="006070D9">
        <w:t>a</w:t>
      </w:r>
      <w:r w:rsidR="00793009">
        <w:t xml:space="preserve"> cost-of-service analysis</w:t>
      </w:r>
      <w:r w:rsidR="002E269B">
        <w:t xml:space="preserve">, </w:t>
      </w:r>
      <w:r w:rsidR="00193160">
        <w:t xml:space="preserve">by which it </w:t>
      </w:r>
      <w:r w:rsidR="00347DC1">
        <w:t xml:space="preserve">means an </w:t>
      </w:r>
      <w:r w:rsidR="00793009">
        <w:t>allocation of costs among customer classes: the base-extra capacity method and the commodity-demand methodology.</w:t>
      </w:r>
      <w:r w:rsidR="00793009">
        <w:rPr>
          <w:rStyle w:val="FootnoteReference"/>
        </w:rPr>
        <w:footnoteReference w:id="190"/>
      </w:r>
      <w:r w:rsidR="00793009">
        <w:t xml:space="preserve">  No </w:t>
      </w:r>
      <w:r w:rsidR="00ED34E2">
        <w:t xml:space="preserve">Commission </w:t>
      </w:r>
      <w:r w:rsidR="00793009">
        <w:t xml:space="preserve">rule </w:t>
      </w:r>
      <w:r w:rsidR="0051153F">
        <w:t xml:space="preserve">generally </w:t>
      </w:r>
      <w:r w:rsidR="00793009">
        <w:t>describes how costs should be allocated among customers</w:t>
      </w:r>
      <w:r w:rsidR="00EA3ECD">
        <w:t>.</w:t>
      </w:r>
      <w:r w:rsidR="0051153F">
        <w:t xml:space="preserve">  The Commission</w:t>
      </w:r>
      <w:r w:rsidR="00B71573">
        <w:t>’</w:t>
      </w:r>
      <w:r w:rsidR="0051153F">
        <w:t>s C</w:t>
      </w:r>
      <w:r w:rsidR="009E2FD6">
        <w:t>ost</w:t>
      </w:r>
      <w:r w:rsidR="0051153F">
        <w:t xml:space="preserve"> </w:t>
      </w:r>
      <w:r w:rsidR="009E2FD6">
        <w:t>of</w:t>
      </w:r>
      <w:r w:rsidR="0051153F">
        <w:t xml:space="preserve"> S</w:t>
      </w:r>
      <w:r w:rsidR="009E2FD6">
        <w:t xml:space="preserve">ervice </w:t>
      </w:r>
      <w:r w:rsidR="0051153F">
        <w:t xml:space="preserve">Rule </w:t>
      </w:r>
      <w:r w:rsidR="009E2FD6">
        <w:t>mentions allocation once</w:t>
      </w:r>
      <w:r w:rsidR="0051153F">
        <w:t xml:space="preserve">, </w:t>
      </w:r>
      <w:r w:rsidR="009E2FD6">
        <w:t>when discussing depreciation</w:t>
      </w:r>
      <w:r w:rsidR="0051153F">
        <w:t>.</w:t>
      </w:r>
      <w:r w:rsidR="0051153F">
        <w:rPr>
          <w:rStyle w:val="FootnoteReference"/>
        </w:rPr>
        <w:footnoteReference w:id="191"/>
      </w:r>
      <w:r w:rsidR="0051153F">
        <w:t xml:space="preserve">  That is not relevant to this case because it concerns rates </w:t>
      </w:r>
      <w:r w:rsidR="00ED34E2">
        <w:t xml:space="preserve">WTCPUA </w:t>
      </w:r>
      <w:r w:rsidR="0051153F">
        <w:t xml:space="preserve">set using the cash-needs methodology, </w:t>
      </w:r>
      <w:r w:rsidR="0059197A">
        <w:t>in which depreciation is not a component.</w:t>
      </w:r>
      <w:r w:rsidR="0059197A">
        <w:rPr>
          <w:rStyle w:val="FootnoteReference"/>
        </w:rPr>
        <w:footnoteReference w:id="192"/>
      </w:r>
    </w:p>
    <w:p w:rsidR="00793009" w:rsidRDefault="00793009" w:rsidP="00793009"/>
    <w:p w:rsidR="004F7AA0" w:rsidRDefault="004F7AA0" w:rsidP="004F7AA0">
      <w:r>
        <w:tab/>
      </w:r>
      <w:r w:rsidR="000101D3">
        <w:t xml:space="preserve">The </w:t>
      </w:r>
      <w:r w:rsidR="00793009">
        <w:t xml:space="preserve">M1 Manual </w:t>
      </w:r>
      <w:r w:rsidR="00D12B62">
        <w:t xml:space="preserve">cannot be </w:t>
      </w:r>
      <w:r w:rsidR="00ED34E2">
        <w:t xml:space="preserve">easily </w:t>
      </w:r>
      <w:r w:rsidR="00D12B62">
        <w:t xml:space="preserve">applied to analyze and resolve the </w:t>
      </w:r>
      <w:r w:rsidR="00211D96">
        <w:t xml:space="preserve">seeming conflict between the </w:t>
      </w:r>
      <w:r w:rsidR="00ED34E2">
        <w:t>Public Interest Rule</w:t>
      </w:r>
      <w:r w:rsidR="00B71573">
        <w:t>’</w:t>
      </w:r>
      <w:r w:rsidR="00ED34E2">
        <w:t xml:space="preserve">s </w:t>
      </w:r>
      <w:r w:rsidR="00211D96">
        <w:t xml:space="preserve">requirement to consider </w:t>
      </w:r>
      <w:r w:rsidR="00D12B62" w:rsidRPr="00D12B62">
        <w:t xml:space="preserve">changes in </w:t>
      </w:r>
      <w:r w:rsidR="001F0C62">
        <w:t xml:space="preserve">the </w:t>
      </w:r>
      <w:r w:rsidR="00ED34E2">
        <w:t>revenue-requirement</w:t>
      </w:r>
      <w:r w:rsidR="00F314D8">
        <w:t xml:space="preserve"> </w:t>
      </w:r>
      <w:r w:rsidR="00D12B62" w:rsidRPr="00D12B62">
        <w:t>computation methodolog</w:t>
      </w:r>
      <w:r w:rsidR="001F0C62">
        <w:t>y</w:t>
      </w:r>
      <w:r w:rsidR="00D12B62" w:rsidRPr="00D12B62">
        <w:t xml:space="preserve"> and </w:t>
      </w:r>
      <w:r w:rsidR="00ED34E2">
        <w:t xml:space="preserve">its </w:t>
      </w:r>
      <w:r w:rsidR="00D12B62" w:rsidRPr="00D12B62">
        <w:t>prohibition on considering cost</w:t>
      </w:r>
      <w:r w:rsidR="00CF0EEA">
        <w:t>-</w:t>
      </w:r>
      <w:r w:rsidR="00D12B62" w:rsidRPr="00D12B62">
        <w:t>of</w:t>
      </w:r>
      <w:r w:rsidR="00CF0EEA">
        <w:t>-</w:t>
      </w:r>
      <w:r w:rsidR="00D12B62" w:rsidRPr="00D12B62">
        <w:t>service</w:t>
      </w:r>
      <w:r w:rsidR="00CF0EEA">
        <w:t xml:space="preserve"> analyses</w:t>
      </w:r>
      <w:r w:rsidR="00D12B62">
        <w:t xml:space="preserve">.  </w:t>
      </w:r>
      <w:r w:rsidR="00F314D8">
        <w:t xml:space="preserve">Under the manual, a </w:t>
      </w:r>
      <w:r w:rsidR="00B71573">
        <w:t>“</w:t>
      </w:r>
      <w:r w:rsidR="00F314D8">
        <w:t>[r]evenue [r]equirement analysis</w:t>
      </w:r>
      <w:r w:rsidR="00B71573">
        <w:t>”</w:t>
      </w:r>
      <w:r w:rsidR="00F314D8">
        <w:t xml:space="preserve"> determines </w:t>
      </w:r>
      <w:r w:rsidR="002D7BC4">
        <w:t xml:space="preserve">operating and capital </w:t>
      </w:r>
      <w:r w:rsidR="00F314D8">
        <w:t xml:space="preserve">costs and </w:t>
      </w:r>
      <w:r w:rsidR="00F314D8">
        <w:lastRenderedPageBreak/>
        <w:t>compares them to the utility</w:t>
      </w:r>
      <w:r w:rsidR="00B71573">
        <w:t>’</w:t>
      </w:r>
      <w:r w:rsidR="00F314D8">
        <w:t>s existing rate collections to decide the adequacy of the rates.</w:t>
      </w:r>
      <w:r w:rsidR="00F314D8">
        <w:rPr>
          <w:rStyle w:val="FootnoteReference"/>
        </w:rPr>
        <w:footnoteReference w:id="193"/>
      </w:r>
      <w:r w:rsidR="00F314D8">
        <w:t xml:space="preserve">  Also, under the manual, a </w:t>
      </w:r>
      <w:r w:rsidR="00B71573">
        <w:t>“</w:t>
      </w:r>
      <w:r w:rsidR="00F314D8">
        <w:t>[c]ost-of-services</w:t>
      </w:r>
      <w:r w:rsidR="00B71573">
        <w:t>”</w:t>
      </w:r>
      <w:r w:rsidR="00F314D8">
        <w:t xml:space="preserve"> analysis would allocate the revenue requirement to various </w:t>
      </w:r>
      <w:r w:rsidR="002D7BC4">
        <w:t>classes of service in a fair and equitable manner.</w:t>
      </w:r>
      <w:r w:rsidR="002D7BC4">
        <w:rPr>
          <w:rStyle w:val="FootnoteReference"/>
        </w:rPr>
        <w:footnoteReference w:id="194"/>
      </w:r>
      <w:r w:rsidR="002D7BC4">
        <w:t xml:space="preserve">  </w:t>
      </w:r>
      <w:r w:rsidR="00007A03">
        <w:t xml:space="preserve">These </w:t>
      </w:r>
      <w:r w:rsidR="002E269B">
        <w:t xml:space="preserve">meanings of </w:t>
      </w:r>
      <w:r w:rsidR="00007A03">
        <w:t xml:space="preserve">the </w:t>
      </w:r>
      <w:r w:rsidR="002E269B">
        <w:t xml:space="preserve">phrases </w:t>
      </w:r>
      <w:r w:rsidR="00B71573">
        <w:t>“</w:t>
      </w:r>
      <w:r w:rsidR="00007A03">
        <w:t>revenue requirement</w:t>
      </w:r>
      <w:r w:rsidR="00B71573">
        <w:t>”</w:t>
      </w:r>
      <w:r w:rsidR="00007A03">
        <w:t xml:space="preserve"> and </w:t>
      </w:r>
      <w:r w:rsidR="00B71573">
        <w:t>“</w:t>
      </w:r>
      <w:r w:rsidR="00007A03">
        <w:t>cost of service</w:t>
      </w:r>
      <w:r w:rsidR="00B71573">
        <w:t>”</w:t>
      </w:r>
      <w:r w:rsidR="00007A03">
        <w:t xml:space="preserve"> are different from the way</w:t>
      </w:r>
      <w:r w:rsidR="002E269B">
        <w:t>s</w:t>
      </w:r>
      <w:r w:rsidR="00007A03">
        <w:t xml:space="preserve"> the</w:t>
      </w:r>
      <w:r w:rsidR="002E269B">
        <w:t xml:space="preserve"> phrases </w:t>
      </w:r>
      <w:r w:rsidR="00007A03">
        <w:t>are used in the Commission</w:t>
      </w:r>
      <w:r w:rsidR="00B71573">
        <w:t>’</w:t>
      </w:r>
      <w:r w:rsidR="00007A03">
        <w:t>s rules.  U</w:t>
      </w:r>
      <w:r w:rsidR="002D7BC4">
        <w:t>nder the Commission</w:t>
      </w:r>
      <w:r w:rsidR="00B71573">
        <w:t>’</w:t>
      </w:r>
      <w:r w:rsidR="002D7BC4">
        <w:t xml:space="preserve">s rules, </w:t>
      </w:r>
      <w:r w:rsidR="00B71573">
        <w:t>“</w:t>
      </w:r>
      <w:r w:rsidR="002D7BC4">
        <w:t>cost of service</w:t>
      </w:r>
      <w:r w:rsidR="00B71573">
        <w:t>”</w:t>
      </w:r>
      <w:r w:rsidR="002D7BC4">
        <w:t xml:space="preserve"> and </w:t>
      </w:r>
      <w:r w:rsidR="00B71573">
        <w:t>“</w:t>
      </w:r>
      <w:r w:rsidR="002D7BC4">
        <w:t>revenue requirement</w:t>
      </w:r>
      <w:r w:rsidR="00B71573">
        <w:t>”</w:t>
      </w:r>
      <w:r w:rsidR="002D7BC4">
        <w:t xml:space="preserve"> are synonymous</w:t>
      </w:r>
      <w:r w:rsidR="002D7BC4">
        <w:rPr>
          <w:rStyle w:val="FootnoteReference"/>
        </w:rPr>
        <w:footnoteReference w:id="195"/>
      </w:r>
      <w:r w:rsidR="002D7BC4">
        <w:t xml:space="preserve"> and consist of allowable expenses and return on invested capital.</w:t>
      </w:r>
      <w:r w:rsidR="002D7BC4">
        <w:rPr>
          <w:rStyle w:val="FootnoteReference"/>
        </w:rPr>
        <w:footnoteReference w:id="196"/>
      </w:r>
      <w:r w:rsidR="002D7BC4">
        <w:t xml:space="preserve">  </w:t>
      </w:r>
      <w:r w:rsidR="00F314D8">
        <w:t xml:space="preserve">No Commission rule uses the term </w:t>
      </w:r>
      <w:r w:rsidR="00B71573">
        <w:t>“</w:t>
      </w:r>
      <w:r w:rsidR="00F314D8">
        <w:t>cost of service analysis</w:t>
      </w:r>
      <w:r w:rsidR="00B71573">
        <w:t>”</w:t>
      </w:r>
      <w:r w:rsidR="00F314D8">
        <w:t xml:space="preserve"> </w:t>
      </w:r>
      <w:r w:rsidR="00DD0370">
        <w:t xml:space="preserve">or a similar term </w:t>
      </w:r>
      <w:r w:rsidR="00F314D8">
        <w:t>to refer to allocation of the revenue requirement among classes, as does the M1 Manual.</w:t>
      </w:r>
    </w:p>
    <w:p w:rsidR="00F64DF3" w:rsidRDefault="00F64DF3" w:rsidP="00CE056B"/>
    <w:p w:rsidR="00F64DF3" w:rsidRDefault="00807772" w:rsidP="002610FC">
      <w:pPr>
        <w:pStyle w:val="Heading3"/>
        <w:keepNext w:val="0"/>
        <w:spacing w:line="240" w:lineRule="auto"/>
        <w:ind w:left="1440" w:hanging="720"/>
      </w:pPr>
      <w:bookmarkStart w:id="26" w:name="_Toc431366945"/>
      <w:r>
        <w:t xml:space="preserve">Evidence Does Not Show </w:t>
      </w:r>
      <w:r w:rsidR="00F64DF3">
        <w:t>WTCPUA Change</w:t>
      </w:r>
      <w:r>
        <w:t>d</w:t>
      </w:r>
      <w:r w:rsidR="00F64DF3">
        <w:t xml:space="preserve"> </w:t>
      </w:r>
      <w:r>
        <w:t xml:space="preserve">its </w:t>
      </w:r>
      <w:r w:rsidR="0037395A">
        <w:t xml:space="preserve">Revenue Requirement Computation </w:t>
      </w:r>
      <w:r w:rsidR="00F64DF3">
        <w:t>Methodology</w:t>
      </w:r>
      <w:bookmarkEnd w:id="26"/>
    </w:p>
    <w:p w:rsidR="00F64DF3" w:rsidRDefault="00F64DF3" w:rsidP="00F64DF3"/>
    <w:p w:rsidR="003F4BFC" w:rsidRDefault="00F64DF3" w:rsidP="003F4BFC">
      <w:r>
        <w:tab/>
        <w:t xml:space="preserve">The ALJ concludes that </w:t>
      </w:r>
      <w:r w:rsidR="002E269B">
        <w:t>WTCPUA did not change its methodology for computing it revenue requirement for purposes of setting the Protested Rates.</w:t>
      </w:r>
    </w:p>
    <w:p w:rsidR="003F4BFC" w:rsidRDefault="003F4BFC" w:rsidP="003F4BFC"/>
    <w:p w:rsidR="00586716" w:rsidRDefault="00552CFF" w:rsidP="003F4BFC">
      <w:r>
        <w:tab/>
      </w:r>
      <w:r w:rsidR="003F4BFC">
        <w:t xml:space="preserve">It is true that on November 21, 2013, the WTCPUA Board adopted a resolution authorizing negotiations that might lead to standard amendments to its wholesale agreements and the resolution stated that the purpose of the proposed amendment was to </w:t>
      </w:r>
      <w:r w:rsidR="00B71573">
        <w:t>“</w:t>
      </w:r>
      <w:r w:rsidR="003F4BFC" w:rsidRPr="004E778D">
        <w:t xml:space="preserve">effect </w:t>
      </w:r>
      <w:r w:rsidR="003F4BFC">
        <w:t xml:space="preserve">. . . </w:t>
      </w:r>
      <w:r w:rsidR="003F4BFC" w:rsidRPr="004E778D">
        <w:t xml:space="preserve">capacity changes and </w:t>
      </w:r>
      <w:r w:rsidR="003F4BFC" w:rsidRPr="004E778D">
        <w:rPr>
          <w:i/>
        </w:rPr>
        <w:t>establish wholesale rate methodology</w:t>
      </w:r>
      <w:r w:rsidR="003F4BFC">
        <w:rPr>
          <w:i/>
        </w:rPr>
        <w:t>.</w:t>
      </w:r>
      <w:r w:rsidR="00B71573">
        <w:t>”</w:t>
      </w:r>
      <w:r w:rsidR="003F4BFC">
        <w:rPr>
          <w:rStyle w:val="FootnoteReference"/>
        </w:rPr>
        <w:footnoteReference w:id="197"/>
      </w:r>
      <w:r w:rsidR="003F4BFC">
        <w:t xml:space="preserve">  </w:t>
      </w:r>
      <w:r w:rsidR="003F4BFC" w:rsidRPr="00742C61">
        <w:t xml:space="preserve">At that same meeting, the Board </w:t>
      </w:r>
      <w:r w:rsidR="003F4BFC">
        <w:t xml:space="preserve">also </w:t>
      </w:r>
      <w:r w:rsidR="003F4BFC" w:rsidRPr="00742C61">
        <w:t xml:space="preserve">adopted </w:t>
      </w:r>
      <w:r w:rsidR="003F4BFC">
        <w:t xml:space="preserve">the Protested Rates </w:t>
      </w:r>
      <w:r w:rsidR="003F4BFC" w:rsidRPr="00742C61">
        <w:t xml:space="preserve">that were determined pursuant to </w:t>
      </w:r>
      <w:r w:rsidR="003F4BFC">
        <w:t>a recommend</w:t>
      </w:r>
      <w:r w:rsidR="00193160">
        <w:t>ation</w:t>
      </w:r>
      <w:r w:rsidR="003F4BFC">
        <w:t xml:space="preserve"> by the </w:t>
      </w:r>
      <w:r w:rsidR="00D967B0">
        <w:t>B</w:t>
      </w:r>
      <w:r w:rsidR="00D25A14">
        <w:t xml:space="preserve">oard’s rate </w:t>
      </w:r>
      <w:r w:rsidR="003F4BFC">
        <w:t>consultant</w:t>
      </w:r>
      <w:r w:rsidR="0043063C">
        <w:t>,</w:t>
      </w:r>
      <w:r w:rsidR="003F4BFC" w:rsidRPr="00742C61">
        <w:rPr>
          <w:vertAlign w:val="superscript"/>
        </w:rPr>
        <w:footnoteReference w:id="198"/>
      </w:r>
      <w:r w:rsidR="0043063C">
        <w:t xml:space="preserve"> who in emails on May 14 and 21, 2013, had referred to her recommendation as “the proposed methodology.”</w:t>
      </w:r>
      <w:r w:rsidR="0043063C">
        <w:rPr>
          <w:rStyle w:val="FootnoteReference"/>
        </w:rPr>
        <w:footnoteReference w:id="199"/>
      </w:r>
    </w:p>
    <w:p w:rsidR="00586716" w:rsidRDefault="00586716" w:rsidP="003F4BFC"/>
    <w:p w:rsidR="003F4BFC" w:rsidRDefault="00586716" w:rsidP="003F4BFC">
      <w:r>
        <w:lastRenderedPageBreak/>
        <w:tab/>
      </w:r>
      <w:r w:rsidR="003F4BFC">
        <w:t>Mr. Joyce</w:t>
      </w:r>
      <w:r w:rsidR="00B71573">
        <w:t>’</w:t>
      </w:r>
      <w:r w:rsidR="003F4BFC">
        <w:t xml:space="preserve">s analysis of those </w:t>
      </w:r>
      <w:r w:rsidR="0043063C">
        <w:t xml:space="preserve">and other </w:t>
      </w:r>
      <w:r w:rsidR="003F4BFC">
        <w:t>documents</w:t>
      </w:r>
      <w:r w:rsidR="0043063C">
        <w:rPr>
          <w:rStyle w:val="FootnoteReference"/>
        </w:rPr>
        <w:footnoteReference w:id="200"/>
      </w:r>
      <w:r w:rsidR="003F4BFC">
        <w:t xml:space="preserve"> leads </w:t>
      </w:r>
      <w:r>
        <w:t xml:space="preserve">him, and TCMUD 12, </w:t>
      </w:r>
      <w:r w:rsidR="003F4BFC">
        <w:t>to contend that WTCPUA changed the methodology used to compute its revenue requirement, because it changed the way it allocated certain costs to its customers.</w:t>
      </w:r>
      <w:r w:rsidR="003F4BFC">
        <w:rPr>
          <w:rStyle w:val="FootnoteReference"/>
        </w:rPr>
        <w:footnoteReference w:id="201"/>
      </w:r>
      <w:r>
        <w:t xml:space="preserve">  But calling that a change in revenue-requirement computation methodology is not persuasive, and the ALJ recommends that the Commission reject it.</w:t>
      </w:r>
    </w:p>
    <w:p w:rsidR="003F4BFC" w:rsidRDefault="003F4BFC" w:rsidP="003F4BFC"/>
    <w:p w:rsidR="002B1439" w:rsidRDefault="00586716" w:rsidP="003F4BFC">
      <w:r>
        <w:tab/>
        <w:t xml:space="preserve">First, WTCPUA consistently used the </w:t>
      </w:r>
      <w:r w:rsidR="0086309C">
        <w:t xml:space="preserve">cash-needs method </w:t>
      </w:r>
      <w:r>
        <w:t xml:space="preserve">to determine its revenue requirement for the Prior </w:t>
      </w:r>
      <w:r w:rsidR="00D967B0">
        <w:t xml:space="preserve">Rates </w:t>
      </w:r>
      <w:r>
        <w:t xml:space="preserve">and Protested Rates.  That </w:t>
      </w:r>
      <w:r w:rsidR="0086309C">
        <w:t xml:space="preserve">is one of the methods </w:t>
      </w:r>
      <w:r>
        <w:t xml:space="preserve">specifically </w:t>
      </w:r>
      <w:r w:rsidR="0086309C">
        <w:t>defined in the Commission</w:t>
      </w:r>
      <w:r w:rsidR="00B71573">
        <w:t>’</w:t>
      </w:r>
      <w:r w:rsidR="0086309C">
        <w:t>s rules</w:t>
      </w:r>
      <w:r>
        <w:t>,</w:t>
      </w:r>
      <w:r w:rsidR="0086309C" w:rsidRPr="00D114FF">
        <w:rPr>
          <w:rStyle w:val="FootnoteReference"/>
        </w:rPr>
        <w:footnoteReference w:id="202"/>
      </w:r>
      <w:r w:rsidR="0086309C">
        <w:t xml:space="preserve"> and the M1 Manual describe</w:t>
      </w:r>
      <w:r>
        <w:t>s</w:t>
      </w:r>
      <w:r w:rsidR="0086309C">
        <w:t xml:space="preserve"> it as one of the methods generally accepted for revenue requirement analysis.</w:t>
      </w:r>
      <w:r w:rsidR="0086309C">
        <w:rPr>
          <w:rStyle w:val="FootnoteReference"/>
        </w:rPr>
        <w:footnoteReference w:id="203"/>
      </w:r>
      <w:r w:rsidR="0086309C">
        <w:t xml:space="preserve">  T</w:t>
      </w:r>
      <w:r w:rsidR="00FA76A8">
        <w:t>he pertinent experts—Mr. Stowe, Ms.</w:t>
      </w:r>
      <w:r w:rsidR="002610FC">
        <w:t> </w:t>
      </w:r>
      <w:r w:rsidR="00FA76A8">
        <w:t xml:space="preserve">Graham, and Mr. Joyce—agreed that WTCPUA used the cash-needs method for </w:t>
      </w:r>
      <w:r w:rsidR="00F64DF3">
        <w:t xml:space="preserve">both the </w:t>
      </w:r>
      <w:r w:rsidR="00197770">
        <w:t xml:space="preserve">Prior </w:t>
      </w:r>
      <w:r w:rsidR="00D967B0">
        <w:t xml:space="preserve">Rates </w:t>
      </w:r>
      <w:r w:rsidR="00F64DF3">
        <w:t xml:space="preserve">and </w:t>
      </w:r>
      <w:r w:rsidR="00197770">
        <w:t>Protested Rates</w:t>
      </w:r>
      <w:r w:rsidR="00FA76A8">
        <w:t>.</w:t>
      </w:r>
      <w:r w:rsidR="00FA76A8">
        <w:rPr>
          <w:rStyle w:val="FootnoteReference"/>
        </w:rPr>
        <w:footnoteReference w:id="204"/>
      </w:r>
    </w:p>
    <w:p w:rsidR="002B1439" w:rsidRDefault="002B1439" w:rsidP="00F64DF3"/>
    <w:p w:rsidR="00855AFA" w:rsidRPr="00855AFA" w:rsidRDefault="002B1439" w:rsidP="00855AFA">
      <w:r>
        <w:tab/>
      </w:r>
      <w:r w:rsidR="00C03F43">
        <w:t>Second, t</w:t>
      </w:r>
      <w:r w:rsidR="00197770">
        <w:t xml:space="preserve">here is no evidence that </w:t>
      </w:r>
      <w:r w:rsidR="00FA76A8">
        <w:t xml:space="preserve">WTCPUA </w:t>
      </w:r>
      <w:r w:rsidR="00FC4FEF">
        <w:t xml:space="preserve">ever </w:t>
      </w:r>
      <w:r w:rsidR="00FA76A8">
        <w:t xml:space="preserve">used the utility-basis method, which is the </w:t>
      </w:r>
      <w:r w:rsidR="00FC4FEF">
        <w:t xml:space="preserve">only </w:t>
      </w:r>
      <w:r w:rsidR="00FA76A8">
        <w:t>other method defined in the rules</w:t>
      </w:r>
      <w:r w:rsidR="00FC4FEF" w:rsidRPr="00D114FF">
        <w:rPr>
          <w:rStyle w:val="FootnoteReference"/>
        </w:rPr>
        <w:footnoteReference w:id="205"/>
      </w:r>
      <w:r w:rsidR="00FA76A8">
        <w:t xml:space="preserve"> and </w:t>
      </w:r>
      <w:r w:rsidR="00FC4FEF">
        <w:t>described by the M1 Manual as generally accepted for revenue requirement analysis.</w:t>
      </w:r>
      <w:r w:rsidR="00FC4FEF">
        <w:rPr>
          <w:rStyle w:val="FootnoteReference"/>
        </w:rPr>
        <w:footnoteReference w:id="206"/>
      </w:r>
      <w:r w:rsidR="00FC4FEF">
        <w:t xml:space="preserve">  </w:t>
      </w:r>
      <w:r w:rsidR="00C03F43">
        <w:t xml:space="preserve">Third, </w:t>
      </w:r>
      <w:r w:rsidR="00FC4FEF">
        <w:t xml:space="preserve">there </w:t>
      </w:r>
      <w:r w:rsidR="00C03F43">
        <w:t xml:space="preserve">is no </w:t>
      </w:r>
      <w:r w:rsidR="00FC4FEF">
        <w:t>evidence that WTCPUA ever used the only other two methods to which the Commission</w:t>
      </w:r>
      <w:r w:rsidR="00B71573">
        <w:t>’</w:t>
      </w:r>
      <w:r w:rsidR="00FC4FEF">
        <w:t xml:space="preserve">s rules specifically refer: </w:t>
      </w:r>
      <w:r w:rsidR="00FC4FEF" w:rsidRPr="00FC4FEF">
        <w:t>phased</w:t>
      </w:r>
      <w:r w:rsidR="00FC4FEF">
        <w:rPr>
          <w:rStyle w:val="FootnoteReference"/>
        </w:rPr>
        <w:footnoteReference w:id="207"/>
      </w:r>
      <w:r w:rsidR="00FC4FEF" w:rsidRPr="00FC4FEF">
        <w:t xml:space="preserve"> and contractual</w:t>
      </w:r>
      <w:r w:rsidR="00FC4FEF">
        <w:t>.</w:t>
      </w:r>
      <w:r w:rsidR="00FC4FEF">
        <w:rPr>
          <w:rStyle w:val="FootnoteReference"/>
        </w:rPr>
        <w:footnoteReference w:id="208"/>
      </w:r>
      <w:r>
        <w:t xml:space="preserve">  </w:t>
      </w:r>
      <w:r w:rsidR="00C03F43">
        <w:t>Fourth, the evidence does not show that there are any other generally recognized revenue-requirement computational methods, although t</w:t>
      </w:r>
      <w:r w:rsidR="00FC4FEF">
        <w:t xml:space="preserve">he </w:t>
      </w:r>
      <w:r w:rsidR="002A5A38">
        <w:t>Commission</w:t>
      </w:r>
      <w:r w:rsidR="00B71573">
        <w:t>’</w:t>
      </w:r>
      <w:r w:rsidR="002A5A38">
        <w:t xml:space="preserve">s </w:t>
      </w:r>
      <w:r w:rsidR="00FC4FEF">
        <w:t>rules do not foreclose th</w:t>
      </w:r>
      <w:r w:rsidR="00C03F43">
        <w:t>at</w:t>
      </w:r>
      <w:r w:rsidR="00FC4FEF">
        <w:t xml:space="preserve"> possibility</w:t>
      </w:r>
      <w:r w:rsidR="00C03F43">
        <w:t xml:space="preserve">.  </w:t>
      </w:r>
      <w:r w:rsidR="00855AFA">
        <w:t>Fifth</w:t>
      </w:r>
      <w:r w:rsidR="00855AFA" w:rsidRPr="00855AFA">
        <w:t xml:space="preserve">, the ALJ does not find that the casual use of the word </w:t>
      </w:r>
      <w:r w:rsidR="00B71573">
        <w:t>“</w:t>
      </w:r>
      <w:r w:rsidR="00855AFA" w:rsidRPr="00855AFA">
        <w:t>methodology</w:t>
      </w:r>
      <w:r w:rsidR="00B71573">
        <w:t>”</w:t>
      </w:r>
      <w:r w:rsidR="00855AFA" w:rsidRPr="00855AFA">
        <w:t xml:space="preserve"> by the WTCPUA </w:t>
      </w:r>
      <w:r w:rsidR="00D967B0" w:rsidRPr="00855AFA">
        <w:t xml:space="preserve">Board </w:t>
      </w:r>
      <w:r w:rsidR="00855AFA" w:rsidRPr="00855AFA">
        <w:t xml:space="preserve">and it consultant to describe how it set the Protested </w:t>
      </w:r>
      <w:r w:rsidR="00855AFA" w:rsidRPr="00855AFA">
        <w:lastRenderedPageBreak/>
        <w:t xml:space="preserve">Rates means that the Commission intended the word </w:t>
      </w:r>
      <w:r w:rsidR="00B71573">
        <w:t>“</w:t>
      </w:r>
      <w:r w:rsidR="00855AFA" w:rsidRPr="00855AFA">
        <w:t>methodology</w:t>
      </w:r>
      <w:r w:rsidR="00B71573">
        <w:t>”</w:t>
      </w:r>
      <w:r w:rsidR="00855AFA" w:rsidRPr="00855AFA">
        <w:t xml:space="preserve"> to have that same meaning in the Public Interest Rule.</w:t>
      </w:r>
    </w:p>
    <w:p w:rsidR="00D32078" w:rsidRDefault="00D32078" w:rsidP="000A3129"/>
    <w:p w:rsidR="004B201E" w:rsidRDefault="00D32078" w:rsidP="004B201E">
      <w:r>
        <w:tab/>
      </w:r>
      <w:r w:rsidR="00855AFA">
        <w:t>Sixth</w:t>
      </w:r>
      <w:r>
        <w:t xml:space="preserve">, </w:t>
      </w:r>
      <w:r w:rsidR="00695442">
        <w:t>the evidence TCMUD 12 offered in an attempt to show WTCPUA changed its revenue-requirement computation methodology is cost-of-service evidence that may not be considered in determining whether the public interest is adversely affected by the Protested Rates.</w:t>
      </w:r>
      <w:r w:rsidR="003A15FD">
        <w:rPr>
          <w:rStyle w:val="FootnoteReference"/>
        </w:rPr>
        <w:footnoteReference w:id="209"/>
      </w:r>
      <w:r w:rsidR="003A15FD">
        <w:t xml:space="preserve">  </w:t>
      </w:r>
      <w:r w:rsidR="00EA2080">
        <w:t>In his testimony claiming WTCPUA changed methodologies, Mr. Joyce questions allocation of operation and maintenance expenses among customers, including costs of water, repair, maintenance, bookkeeping, financial management, utilities, and other expenses.</w:t>
      </w:r>
      <w:r w:rsidR="00EA2080">
        <w:rPr>
          <w:rStyle w:val="FootnoteReference"/>
        </w:rPr>
        <w:footnoteReference w:id="210"/>
      </w:r>
      <w:r w:rsidR="00EA2080">
        <w:t xml:space="preserve">  He also questions allocation of invested capital items, including debt service and capital recovery coverage.</w:t>
      </w:r>
      <w:r w:rsidR="00EA2080" w:rsidRPr="00B604DF">
        <w:rPr>
          <w:vertAlign w:val="superscript"/>
        </w:rPr>
        <w:footnoteReference w:id="211"/>
      </w:r>
    </w:p>
    <w:p w:rsidR="004B201E" w:rsidRDefault="004B201E" w:rsidP="004B201E"/>
    <w:p w:rsidR="001B3580" w:rsidRDefault="004B201E" w:rsidP="001B3580">
      <w:r>
        <w:tab/>
        <w:t>Mr. Joyce believes that his testimony does not raise cost-of-service issues because he does not recommend one allocation basis over another or an examination of the costs that flow from a particular allocation factor.</w:t>
      </w:r>
      <w:r>
        <w:rPr>
          <w:rStyle w:val="FootnoteReference"/>
        </w:rPr>
        <w:footnoteReference w:id="212"/>
      </w:r>
      <w:r>
        <w:t xml:space="preserve">  He claims that his analysis concerns only formulas used to make the computations, not the values used when performing the computations.</w:t>
      </w:r>
      <w:r>
        <w:rPr>
          <w:rStyle w:val="FootnoteReference"/>
        </w:rPr>
        <w:footnoteReference w:id="213"/>
      </w:r>
      <w:r>
        <w:t xml:space="preserve">  He contends WTCPUA changed the components of the revenue-requirement calculations, rather than simply changing inputs, and he only offered evidence to show changes in the allocation factors, not the underlying costs or inputs.</w:t>
      </w:r>
      <w:r>
        <w:rPr>
          <w:rStyle w:val="FootnoteReference"/>
        </w:rPr>
        <w:footnoteReference w:id="214"/>
      </w:r>
      <w:r w:rsidR="001B3580">
        <w:t xml:space="preserve">  In the opinions of Mr. Sto</w:t>
      </w:r>
      <w:r w:rsidR="00D967B0">
        <w:t>we and Ms. Graham, however, Mr. </w:t>
      </w:r>
      <w:r w:rsidR="001B3580">
        <w:t>Joyce’s testimony and supporting exhibits alleging methodological changes are actually part of a prohibited analysis of WTCPUA’s cost of service.</w:t>
      </w:r>
      <w:r w:rsidR="001B3580">
        <w:rPr>
          <w:rStyle w:val="FootnoteReference"/>
        </w:rPr>
        <w:footnoteReference w:id="215"/>
      </w:r>
      <w:r w:rsidR="001B3580">
        <w:t xml:space="preserve"> </w:t>
      </w:r>
    </w:p>
    <w:p w:rsidR="001B3580" w:rsidRDefault="001B3580" w:rsidP="004B201E"/>
    <w:p w:rsidR="00EA2080" w:rsidRDefault="001B3580" w:rsidP="00EA2080">
      <w:r>
        <w:tab/>
      </w:r>
      <w:r w:rsidR="004B201E">
        <w:t>The ALJ does not agree with Mr. Joyce’s claim that he carefully walked the line but never strayed into a cost-of-service analysis.</w:t>
      </w:r>
      <w:r>
        <w:t xml:space="preserve"> </w:t>
      </w:r>
      <w:r w:rsidR="00EA2080">
        <w:t xml:space="preserve">Clearly, </w:t>
      </w:r>
      <w:r>
        <w:t xml:space="preserve">the evidence Mr. Joyce sponsored </w:t>
      </w:r>
      <w:r w:rsidR="00EA2080">
        <w:t xml:space="preserve">concerns WTCPUA’s “cost of service.”  Also, </w:t>
      </w:r>
      <w:r w:rsidR="003A15FD">
        <w:t xml:space="preserve">it is </w:t>
      </w:r>
      <w:r w:rsidR="00EA2080">
        <w:t>“analysis,” which commonly means “[t]he separation of an intellectual or material whole into its constituent parts for individual study,” and “[t]he study of such constituent parts and their interrelationships in making up a whole.”</w:t>
      </w:r>
      <w:r w:rsidR="00EA2080">
        <w:rPr>
          <w:rStyle w:val="FootnoteReference"/>
        </w:rPr>
        <w:footnoteReference w:id="216"/>
      </w:r>
      <w:r w:rsidR="00EA2080">
        <w:t xml:space="preserve">  Thus, under the common definition of analysis and the meaning of “cost of service” derived from the </w:t>
      </w:r>
      <w:r w:rsidR="00EA2080" w:rsidRPr="00887983">
        <w:t>Commission</w:t>
      </w:r>
      <w:r w:rsidR="00EA2080">
        <w:t>’</w:t>
      </w:r>
      <w:r w:rsidR="00EA2080" w:rsidRPr="00887983">
        <w:t>s Cost Of Service Rule</w:t>
      </w:r>
      <w:r w:rsidR="00EA2080">
        <w:t xml:space="preserve">, “an analysis of the seller’s cost of service” is a separation of allowable utility expenses for operation, maintenance, and capital into constituent parts and the study of them individually and their interrelationships in making up a whole.  That describes the evidence that Mr. Joyce sponsored.  </w:t>
      </w:r>
    </w:p>
    <w:p w:rsidR="00695442" w:rsidRDefault="00695442" w:rsidP="001C5340"/>
    <w:p w:rsidR="00DF7CA6" w:rsidRDefault="00C10C33" w:rsidP="00C10C33">
      <w:r>
        <w:tab/>
      </w:r>
      <w:r w:rsidR="00E0115E">
        <w:t xml:space="preserve">The evidence Mr. Joyce sponsored </w:t>
      </w:r>
      <w:r>
        <w:t xml:space="preserve">would </w:t>
      </w:r>
      <w:r w:rsidR="00E0115E">
        <w:t xml:space="preserve">also be a cost-of-service analysis </w:t>
      </w:r>
      <w:r>
        <w:t>under the M1</w:t>
      </w:r>
      <w:r w:rsidR="00D967B0">
        <w:t> </w:t>
      </w:r>
      <w:r>
        <w:t xml:space="preserve">Manual.  </w:t>
      </w:r>
      <w:r w:rsidR="00212AF2">
        <w:t xml:space="preserve">Using the M1 Manual </w:t>
      </w:r>
      <w:r w:rsidR="00783D5A">
        <w:t xml:space="preserve">for guidance </w:t>
      </w:r>
      <w:r w:rsidR="00212AF2">
        <w:t xml:space="preserve">is </w:t>
      </w:r>
      <w:r w:rsidR="00DF7CA6">
        <w:t xml:space="preserve">problematic </w:t>
      </w:r>
      <w:r w:rsidR="00922C37">
        <w:t xml:space="preserve">because </w:t>
      </w:r>
      <w:r w:rsidR="00212AF2">
        <w:t xml:space="preserve">the </w:t>
      </w:r>
      <w:r w:rsidR="00C03F43">
        <w:t>PUC</w:t>
      </w:r>
      <w:r w:rsidR="00212AF2">
        <w:t xml:space="preserve"> rules</w:t>
      </w:r>
      <w:r w:rsidR="00922C37">
        <w:t xml:space="preserve"> use </w:t>
      </w:r>
      <w:r w:rsidR="00B71573">
        <w:t>“</w:t>
      </w:r>
      <w:r w:rsidR="00212AF2">
        <w:t>revenue requirement</w:t>
      </w:r>
      <w:r w:rsidR="00B71573">
        <w:t>”</w:t>
      </w:r>
      <w:r w:rsidR="00212AF2">
        <w:t xml:space="preserve"> and </w:t>
      </w:r>
      <w:r w:rsidR="00B71573">
        <w:t>“</w:t>
      </w:r>
      <w:r w:rsidR="00212AF2">
        <w:t>cost of service</w:t>
      </w:r>
      <w:r w:rsidR="00B71573">
        <w:t>”</w:t>
      </w:r>
      <w:r w:rsidR="00212AF2">
        <w:t xml:space="preserve"> as synonyms</w:t>
      </w:r>
      <w:r w:rsidR="00922C37">
        <w:t xml:space="preserve"> </w:t>
      </w:r>
      <w:r w:rsidR="00212AF2">
        <w:t>wh</w:t>
      </w:r>
      <w:r w:rsidR="00C03F43">
        <w:t>i</w:t>
      </w:r>
      <w:r w:rsidR="00345E1D">
        <w:t>le</w:t>
      </w:r>
      <w:r w:rsidR="00212AF2">
        <w:t xml:space="preserve"> the M1 Manual does not.  Nevertheless, according to the manual, a </w:t>
      </w:r>
      <w:r w:rsidR="00B71573">
        <w:t>“</w:t>
      </w:r>
      <w:r w:rsidR="00212AF2">
        <w:t>[c]</w:t>
      </w:r>
      <w:r w:rsidR="00212AF2" w:rsidRPr="002C0640">
        <w:t>ost-of-service analysis</w:t>
      </w:r>
      <w:r w:rsidR="00212AF2">
        <w:t xml:space="preserve"> . . . [a]</w:t>
      </w:r>
      <w:r w:rsidR="00212AF2" w:rsidRPr="002C0640">
        <w:t>llocates the revenue requirements to the various customer classes of service in a fair and equitable manner</w:t>
      </w:r>
      <w:r w:rsidR="00212AF2">
        <w:t>.</w:t>
      </w:r>
      <w:r w:rsidR="00B71573">
        <w:t>”</w:t>
      </w:r>
      <w:r w:rsidR="00212AF2" w:rsidRPr="007A244C">
        <w:rPr>
          <w:vertAlign w:val="superscript"/>
        </w:rPr>
        <w:footnoteReference w:id="217"/>
      </w:r>
      <w:r w:rsidR="00212AF2">
        <w:t xml:space="preserve">  </w:t>
      </w:r>
      <w:r w:rsidR="00C05B3B">
        <w:t xml:space="preserve">The evidence Mr. Joyce sponsored </w:t>
      </w:r>
      <w:r w:rsidR="006B77E7">
        <w:t>nearly entirely concerned allocation of WTCPUA</w:t>
      </w:r>
      <w:r w:rsidR="00B71573">
        <w:t>’</w:t>
      </w:r>
      <w:r w:rsidR="006B77E7">
        <w:t xml:space="preserve">s costs among its customers, if not by classes </w:t>
      </w:r>
      <w:r w:rsidR="00DF7CA6">
        <w:t xml:space="preserve">through </w:t>
      </w:r>
      <w:r w:rsidR="006B77E7">
        <w:t>a comprehensive set of rates th</w:t>
      </w:r>
      <w:r w:rsidR="00D967B0">
        <w:t>e</w:t>
      </w:r>
      <w:r w:rsidR="006B77E7">
        <w:t xml:space="preserve">n </w:t>
      </w:r>
      <w:r w:rsidR="00F158A8">
        <w:t xml:space="preserve">among </w:t>
      </w:r>
      <w:r w:rsidR="00281881">
        <w:t xml:space="preserve">all </w:t>
      </w:r>
      <w:r w:rsidR="006B77E7">
        <w:t>wholesale customer</w:t>
      </w:r>
      <w:r w:rsidR="000D1829">
        <w:t>s</w:t>
      </w:r>
      <w:r w:rsidR="00DF7CA6">
        <w:t xml:space="preserve"> through </w:t>
      </w:r>
      <w:r w:rsidR="00281881">
        <w:t xml:space="preserve">the rates </w:t>
      </w:r>
      <w:r w:rsidR="001F0C62">
        <w:t xml:space="preserve">specifically </w:t>
      </w:r>
      <w:r w:rsidR="00281881">
        <w:t xml:space="preserve">set for </w:t>
      </w:r>
      <w:r w:rsidR="00351756">
        <w:t xml:space="preserve">each of </w:t>
      </w:r>
      <w:r w:rsidR="00281881">
        <w:t>them</w:t>
      </w:r>
      <w:r>
        <w:t>.</w:t>
      </w:r>
    </w:p>
    <w:p w:rsidR="00C10C33" w:rsidRDefault="00C10C33" w:rsidP="00C10C33"/>
    <w:p w:rsidR="00AA27C1" w:rsidRDefault="00C10C33" w:rsidP="00F64DF3">
      <w:r>
        <w:tab/>
        <w:t xml:space="preserve">Seventh, </w:t>
      </w:r>
      <w:r w:rsidR="009F0B90">
        <w:t>narrowly interpreting the Public Interest Rule</w:t>
      </w:r>
      <w:r w:rsidR="008229BA">
        <w:t>’s</w:t>
      </w:r>
      <w:r w:rsidR="009F0B90">
        <w:t xml:space="preserve"> ban on considering </w:t>
      </w:r>
      <w:r w:rsidR="00B71573">
        <w:t>“</w:t>
      </w:r>
      <w:r w:rsidR="009F0B90">
        <w:t>an analysis of cost of service</w:t>
      </w:r>
      <w:r w:rsidR="00B71573">
        <w:t>”</w:t>
      </w:r>
      <w:r w:rsidR="009F0B90">
        <w:t xml:space="preserve"> and </w:t>
      </w:r>
      <w:r w:rsidR="001971EF">
        <w:t xml:space="preserve">broadly </w:t>
      </w:r>
      <w:r w:rsidRPr="001C5340">
        <w:t>interpret</w:t>
      </w:r>
      <w:r w:rsidR="00B4698F">
        <w:t xml:space="preserve">ing </w:t>
      </w:r>
      <w:r w:rsidR="00F158A8">
        <w:t xml:space="preserve">the phrase </w:t>
      </w:r>
      <w:r w:rsidR="00B71573">
        <w:t>“</w:t>
      </w:r>
      <w:r w:rsidR="00B4698F">
        <w:t>change</w:t>
      </w:r>
      <w:r w:rsidR="00925F2C">
        <w:t>d</w:t>
      </w:r>
      <w:r w:rsidR="00B4698F">
        <w:t xml:space="preserve"> </w:t>
      </w:r>
      <w:r w:rsidR="00925F2C">
        <w:t xml:space="preserve">the computation of the </w:t>
      </w:r>
      <w:r w:rsidRPr="001C5340">
        <w:t>revenue</w:t>
      </w:r>
      <w:r w:rsidR="00925F2C">
        <w:t xml:space="preserve"> </w:t>
      </w:r>
      <w:r w:rsidRPr="001C5340">
        <w:t xml:space="preserve">requirement </w:t>
      </w:r>
      <w:r w:rsidR="00925F2C">
        <w:t xml:space="preserve">. . . </w:t>
      </w:r>
      <w:r w:rsidRPr="001C5340">
        <w:t>methodology</w:t>
      </w:r>
      <w:r w:rsidR="009F0B90">
        <w:t>,</w:t>
      </w:r>
      <w:r w:rsidR="00B71573">
        <w:t>”</w:t>
      </w:r>
      <w:r w:rsidR="001971EF">
        <w:t xml:space="preserve"> </w:t>
      </w:r>
      <w:r w:rsidR="00B4698F">
        <w:t>a</w:t>
      </w:r>
      <w:r w:rsidR="00F158A8">
        <w:t>s TCMUD 12 advocates</w:t>
      </w:r>
      <w:r w:rsidR="001971EF">
        <w:t>,</w:t>
      </w:r>
      <w:r w:rsidR="00F158A8">
        <w:t xml:space="preserve"> </w:t>
      </w:r>
      <w:r w:rsidR="001971EF">
        <w:t xml:space="preserve">appears to </w:t>
      </w:r>
      <w:r w:rsidR="00F158A8">
        <w:t>be inconsistent with the intent of the state as previously expressed by the PUC</w:t>
      </w:r>
      <w:r w:rsidR="00B71573">
        <w:t>’</w:t>
      </w:r>
      <w:r w:rsidR="00F158A8">
        <w:t xml:space="preserve">s predecessor agency.  </w:t>
      </w:r>
      <w:r w:rsidR="005155E9">
        <w:t xml:space="preserve">When the PUC adopted the Public Interest Rule, it adopted the exact same wording that the rule had when </w:t>
      </w:r>
      <w:r w:rsidR="00DF26DC">
        <w:t xml:space="preserve">it was </w:t>
      </w:r>
      <w:r w:rsidR="00B4698F">
        <w:t xml:space="preserve">originally adopted in 1994 by </w:t>
      </w:r>
      <w:r w:rsidR="005155E9">
        <w:t>the PUC</w:t>
      </w:r>
      <w:r w:rsidR="00B71573">
        <w:t>’</w:t>
      </w:r>
      <w:r w:rsidR="005155E9">
        <w:t xml:space="preserve">s predecessor agency, the Texas Natural Resource </w:t>
      </w:r>
      <w:r w:rsidR="005155E9">
        <w:lastRenderedPageBreak/>
        <w:t>Conservation Commission (TNRCC)</w:t>
      </w:r>
      <w:r w:rsidR="00B4698F">
        <w:t>.</w:t>
      </w:r>
      <w:r w:rsidR="005155E9">
        <w:rPr>
          <w:rStyle w:val="FootnoteReference"/>
        </w:rPr>
        <w:footnoteReference w:id="218"/>
      </w:r>
      <w:r w:rsidR="005155E9">
        <w:t xml:space="preserve">  </w:t>
      </w:r>
      <w:r w:rsidR="006F14B4">
        <w:t xml:space="preserve">In the preamble to </w:t>
      </w:r>
      <w:r w:rsidR="00F158A8">
        <w:t xml:space="preserve">the </w:t>
      </w:r>
      <w:r w:rsidR="006F14B4">
        <w:t xml:space="preserve">adoption of the original Public Interest Rule, TNRCC repeatedly and firmly indicated that it would avoid considering cost of service </w:t>
      </w:r>
      <w:r w:rsidR="001971EF">
        <w:t>in</w:t>
      </w:r>
      <w:r w:rsidR="006F14B4">
        <w:t xml:space="preserve"> determining whether protested wholesale rates affect the public interest</w:t>
      </w:r>
      <w:r w:rsidR="00EA0A3A">
        <w:t xml:space="preserve"> and would hesitate to set </w:t>
      </w:r>
      <w:r w:rsidR="00152844">
        <w:t xml:space="preserve">rates for wholesale </w:t>
      </w:r>
      <w:r w:rsidR="00B4698F">
        <w:t xml:space="preserve">service </w:t>
      </w:r>
      <w:r w:rsidR="00152844">
        <w:t>obtained by contract</w:t>
      </w:r>
      <w:r w:rsidR="006F14B4">
        <w:t>:</w:t>
      </w:r>
    </w:p>
    <w:p w:rsidR="00AA27C1" w:rsidRDefault="00AA27C1" w:rsidP="00F64DF3"/>
    <w:p w:rsidR="00AA27C1" w:rsidRDefault="00AA27C1" w:rsidP="00AA27C1">
      <w:pPr>
        <w:spacing w:line="240" w:lineRule="auto"/>
        <w:ind w:left="720" w:right="720"/>
      </w:pPr>
      <w:r>
        <w:t>The commission concludes the public interest does not demand that a wholesale rate shall equal the seller</w:t>
      </w:r>
      <w:r w:rsidR="00B71573">
        <w:t>’</w:t>
      </w:r>
      <w:r>
        <w:t>s cost of providing service to the purchaser.</w:t>
      </w:r>
      <w:r w:rsidR="00F4788B">
        <w:t xml:space="preserve"> . . . [T]</w:t>
      </w:r>
      <w:r>
        <w:t xml:space="preserve">he circumstances which justify cost of service ratemaking are not present here. . . . </w:t>
      </w:r>
      <w:r w:rsidR="002A2308" w:rsidRPr="002A2308">
        <w:t>The disputes concerning wholesale rates which have come before the commission concern parties who are in a position quite different than the typical retail customer.  The purchaser is itself a utility that is sophisticated in utility transactions, and the purchaser, generally, has had several options from which it may obtain water or sewer service, including self service.</w:t>
      </w:r>
    </w:p>
    <w:p w:rsidR="00AA27C1" w:rsidRDefault="00AA27C1" w:rsidP="00AA27C1">
      <w:pPr>
        <w:spacing w:line="240" w:lineRule="auto"/>
        <w:ind w:left="720" w:right="720"/>
      </w:pPr>
    </w:p>
    <w:p w:rsidR="00F4788B" w:rsidRDefault="00F4788B" w:rsidP="00AA27C1">
      <w:pPr>
        <w:spacing w:line="240" w:lineRule="auto"/>
        <w:ind w:left="720" w:right="720"/>
      </w:pPr>
      <w:r>
        <w:t xml:space="preserve">. . . </w:t>
      </w:r>
    </w:p>
    <w:p w:rsidR="00F4788B" w:rsidRDefault="00F4788B" w:rsidP="00AA27C1">
      <w:pPr>
        <w:spacing w:line="240" w:lineRule="auto"/>
        <w:ind w:left="720" w:right="720"/>
      </w:pPr>
    </w:p>
    <w:p w:rsidR="00F4788B" w:rsidRDefault="00F4788B" w:rsidP="00AA27C1">
      <w:pPr>
        <w:spacing w:line="240" w:lineRule="auto"/>
        <w:ind w:left="720" w:right="720"/>
      </w:pPr>
      <w:r>
        <w:t>. . . [T]he use of cost of service to determine the public interest does not give sufficient deference to contractual agreements between the seller and the purchaser.</w:t>
      </w:r>
    </w:p>
    <w:p w:rsidR="00F4788B" w:rsidRDefault="00F4788B" w:rsidP="00AA27C1">
      <w:pPr>
        <w:spacing w:line="240" w:lineRule="auto"/>
        <w:ind w:left="720" w:right="720"/>
      </w:pPr>
    </w:p>
    <w:p w:rsidR="00F4788B" w:rsidRDefault="00F4788B" w:rsidP="00AA27C1">
      <w:pPr>
        <w:spacing w:line="240" w:lineRule="auto"/>
        <w:ind w:left="720" w:right="720"/>
      </w:pPr>
      <w:r>
        <w:t xml:space="preserve">. . . </w:t>
      </w:r>
    </w:p>
    <w:p w:rsidR="00F4788B" w:rsidRDefault="00F4788B" w:rsidP="00AA27C1">
      <w:pPr>
        <w:spacing w:line="240" w:lineRule="auto"/>
        <w:ind w:left="720" w:right="720"/>
      </w:pPr>
    </w:p>
    <w:p w:rsidR="00AA27C1" w:rsidRDefault="00AA27C1" w:rsidP="00AA27C1">
      <w:pPr>
        <w:spacing w:line="240" w:lineRule="auto"/>
        <w:ind w:left="720" w:right="720"/>
      </w:pPr>
      <w:r>
        <w:t xml:space="preserve">. . . </w:t>
      </w:r>
      <w:r w:rsidR="00F4788B">
        <w:t>[T]</w:t>
      </w:r>
      <w:r>
        <w:t>he commission favors a conservative approach when evaluating whether to cancel a rate which was set pursuant to a contract between utilities.</w:t>
      </w:r>
      <w:r w:rsidR="00F4788B">
        <w:t xml:space="preserve"> . . . </w:t>
      </w:r>
    </w:p>
    <w:p w:rsidR="00F4788B" w:rsidRDefault="00F4788B" w:rsidP="00AA27C1">
      <w:pPr>
        <w:spacing w:line="240" w:lineRule="auto"/>
        <w:ind w:left="720" w:right="720"/>
      </w:pPr>
    </w:p>
    <w:p w:rsidR="00F4788B" w:rsidRDefault="00F4788B" w:rsidP="00AA27C1">
      <w:pPr>
        <w:spacing w:line="240" w:lineRule="auto"/>
        <w:ind w:left="720" w:right="720"/>
      </w:pPr>
      <w:r>
        <w:t xml:space="preserve">. . . </w:t>
      </w:r>
    </w:p>
    <w:p w:rsidR="00AA27C1" w:rsidRDefault="00AA27C1" w:rsidP="00AA27C1">
      <w:pPr>
        <w:spacing w:line="240" w:lineRule="auto"/>
        <w:ind w:left="720" w:right="720"/>
      </w:pPr>
    </w:p>
    <w:p w:rsidR="00255445" w:rsidRDefault="00F4788B" w:rsidP="00AA27C1">
      <w:pPr>
        <w:spacing w:line="240" w:lineRule="auto"/>
        <w:ind w:left="720" w:right="720"/>
      </w:pPr>
      <w:r>
        <w:t xml:space="preserve">. . . </w:t>
      </w:r>
      <w:r w:rsidR="00255445" w:rsidRPr="00175443">
        <w:t>The adoption of these rules marks the end of past policy where the commission essentially automatically cancelled the rate set by contract and set a rate based on cost of service.</w:t>
      </w:r>
      <w:r w:rsidR="00255445" w:rsidRPr="00175443">
        <w:rPr>
          <w:vertAlign w:val="superscript"/>
        </w:rPr>
        <w:footnoteReference w:id="219"/>
      </w:r>
      <w:r w:rsidR="00255445" w:rsidRPr="00175443">
        <w:t xml:space="preserve"> </w:t>
      </w:r>
    </w:p>
    <w:p w:rsidR="00AA27C1" w:rsidRDefault="00AA27C1" w:rsidP="00F64DF3"/>
    <w:p w:rsidR="008D26B4" w:rsidRDefault="00152844" w:rsidP="008D26B4">
      <w:r>
        <w:tab/>
      </w:r>
      <w:r w:rsidR="000D15A4">
        <w:t>The</w:t>
      </w:r>
      <w:r w:rsidR="00DF26DC">
        <w:t>re</w:t>
      </w:r>
      <w:r w:rsidR="000D15A4">
        <w:t xml:space="preserve"> is no evidence that TNRCC or </w:t>
      </w:r>
      <w:r w:rsidR="00826C2A">
        <w:t xml:space="preserve">TCEQ </w:t>
      </w:r>
      <w:r w:rsidR="000D15A4">
        <w:t xml:space="preserve">ever interpreted </w:t>
      </w:r>
      <w:r w:rsidR="00B71573">
        <w:t>“</w:t>
      </w:r>
      <w:r w:rsidR="00DF26DC">
        <w:t xml:space="preserve">changed the computation of the </w:t>
      </w:r>
      <w:r w:rsidR="00DF26DC" w:rsidRPr="001C5340">
        <w:t>revenue</w:t>
      </w:r>
      <w:r w:rsidR="00DF26DC">
        <w:t xml:space="preserve"> </w:t>
      </w:r>
      <w:r w:rsidR="00DF26DC" w:rsidRPr="001C5340">
        <w:t xml:space="preserve">requirement </w:t>
      </w:r>
      <w:r w:rsidR="00DF26DC">
        <w:t xml:space="preserve">. . . </w:t>
      </w:r>
      <w:r w:rsidR="00DF26DC" w:rsidRPr="001C5340">
        <w:t>methodology</w:t>
      </w:r>
      <w:r w:rsidR="00B71573">
        <w:t>”</w:t>
      </w:r>
      <w:r w:rsidR="00DF26DC" w:rsidRPr="001C5340">
        <w:t xml:space="preserve"> </w:t>
      </w:r>
      <w:r w:rsidR="000D15A4">
        <w:t xml:space="preserve">in the broad way that TCMUD 12 proposes, or that they narrowly interpreted the prohibition on considering cost-of-service analysis.  </w:t>
      </w:r>
      <w:r w:rsidR="00DF26DC">
        <w:t xml:space="preserve">There is no </w:t>
      </w:r>
      <w:r w:rsidR="00DF26DC">
        <w:lastRenderedPageBreak/>
        <w:t>indication in any PUC rule or the PUC</w:t>
      </w:r>
      <w:r w:rsidR="00B71573">
        <w:t>’</w:t>
      </w:r>
      <w:r w:rsidR="00DF26DC">
        <w:t>s preambles to the proposal</w:t>
      </w:r>
      <w:r w:rsidR="00DF26DC">
        <w:rPr>
          <w:rStyle w:val="FootnoteReference"/>
        </w:rPr>
        <w:footnoteReference w:id="220"/>
      </w:r>
      <w:r w:rsidR="00DF26DC">
        <w:t xml:space="preserve"> and adoption</w:t>
      </w:r>
      <w:r w:rsidR="00DF26DC">
        <w:rPr>
          <w:rStyle w:val="FootnoteReference"/>
        </w:rPr>
        <w:footnoteReference w:id="221"/>
      </w:r>
      <w:r w:rsidR="00DF26DC">
        <w:t xml:space="preserve"> of the Public Interest </w:t>
      </w:r>
      <w:r w:rsidR="00913641">
        <w:t xml:space="preserve">Rule </w:t>
      </w:r>
      <w:r w:rsidR="00DF26DC">
        <w:t xml:space="preserve">that the PUC intended to adopt an approach different from that of its predecessor agencies.  </w:t>
      </w:r>
      <w:r w:rsidR="000D15A4">
        <w:t xml:space="preserve">In the absence of </w:t>
      </w:r>
      <w:r w:rsidR="00DF26DC">
        <w:t xml:space="preserve">rule, </w:t>
      </w:r>
      <w:r w:rsidR="000D15A4">
        <w:t>guidance</w:t>
      </w:r>
      <w:r w:rsidR="00DF26DC">
        <w:t>,</w:t>
      </w:r>
      <w:r w:rsidR="000D15A4">
        <w:t xml:space="preserve"> or precedent to the contrary, the ALJ a</w:t>
      </w:r>
      <w:r w:rsidR="00826C2A">
        <w:t>ssum</w:t>
      </w:r>
      <w:r w:rsidR="000D15A4">
        <w:t xml:space="preserve">es that </w:t>
      </w:r>
      <w:r w:rsidR="00826C2A">
        <w:t>PUC</w:t>
      </w:r>
      <w:r w:rsidR="000D15A4">
        <w:t xml:space="preserve">, like TNRCC and TCEQ before it, wishes to </w:t>
      </w:r>
      <w:r w:rsidR="004B32EB">
        <w:t>use</w:t>
      </w:r>
      <w:r w:rsidR="00DF26DC">
        <w:t xml:space="preserve"> a conservative approach to </w:t>
      </w:r>
      <w:r w:rsidR="00913641">
        <w:t xml:space="preserve">canceling </w:t>
      </w:r>
      <w:r w:rsidR="00DF26DC">
        <w:t>rates set pursuant to contract</w:t>
      </w:r>
      <w:r w:rsidR="008229BA">
        <w:t xml:space="preserve"> </w:t>
      </w:r>
      <w:r w:rsidR="00DF26DC">
        <w:t xml:space="preserve">and </w:t>
      </w:r>
      <w:r w:rsidR="000D15A4">
        <w:t xml:space="preserve">broadly interpret the </w:t>
      </w:r>
      <w:r w:rsidR="002611C0">
        <w:t>prohibition</w:t>
      </w:r>
      <w:r w:rsidR="000D15A4">
        <w:t xml:space="preserve"> on consideration of </w:t>
      </w:r>
      <w:r w:rsidR="002611C0">
        <w:t>cost-of-service analys</w:t>
      </w:r>
      <w:r w:rsidR="008229BA">
        <w:t>e</w:t>
      </w:r>
      <w:r w:rsidR="002611C0">
        <w:t>s</w:t>
      </w:r>
      <w:r w:rsidR="00DF26DC">
        <w:t>.</w:t>
      </w:r>
    </w:p>
    <w:p w:rsidR="00EF02D6" w:rsidRDefault="00EF02D6" w:rsidP="002611C0"/>
    <w:p w:rsidR="00F64DF3" w:rsidRDefault="00EF02D6" w:rsidP="002611C0">
      <w:r>
        <w:tab/>
      </w:r>
      <w:r w:rsidR="008229BA">
        <w:t>For all the above reasons</w:t>
      </w:r>
      <w:r w:rsidR="002611C0">
        <w:t xml:space="preserve">, </w:t>
      </w:r>
      <w:r>
        <w:t>t</w:t>
      </w:r>
      <w:r w:rsidR="002611C0">
        <w:t xml:space="preserve">he </w:t>
      </w:r>
      <w:r>
        <w:t>ALJ con</w:t>
      </w:r>
      <w:r w:rsidR="002611C0">
        <w:t xml:space="preserve">cludes that </w:t>
      </w:r>
      <w:r>
        <w:t>TCMUD 12 has failed to prove that WTCPUD changed its revenue-requirement computation methodology when it adopted the Protested Rates.</w:t>
      </w:r>
    </w:p>
    <w:p w:rsidR="00F64DF3" w:rsidRPr="00F64DF3" w:rsidRDefault="00F64DF3" w:rsidP="00F64DF3"/>
    <w:p w:rsidR="00D04AE4" w:rsidRDefault="00D04AE4" w:rsidP="003C7058">
      <w:pPr>
        <w:pStyle w:val="Heading3"/>
      </w:pPr>
      <w:bookmarkStart w:id="27" w:name="_Toc431366946"/>
      <w:r>
        <w:t>Alleged Changes i</w:t>
      </w:r>
      <w:r w:rsidR="001F06CE">
        <w:t>n Rate Computation Methodology</w:t>
      </w:r>
      <w:bookmarkEnd w:id="27"/>
    </w:p>
    <w:p w:rsidR="00D04AE4" w:rsidRDefault="00D04AE4" w:rsidP="003C7058">
      <w:pPr>
        <w:keepNext/>
      </w:pPr>
    </w:p>
    <w:p w:rsidR="00D04AE4" w:rsidRDefault="00D04AE4" w:rsidP="00D04AE4">
      <w:r>
        <w:tab/>
      </w:r>
      <w:r w:rsidR="00541EDB">
        <w:t xml:space="preserve">Mr. Joyce </w:t>
      </w:r>
      <w:r w:rsidR="00267E7A">
        <w:t xml:space="preserve">also </w:t>
      </w:r>
      <w:r w:rsidR="00541EDB">
        <w:t>testified that WTCPUA changed the method used to compute its rates.</w:t>
      </w:r>
      <w:r w:rsidR="00541EDB">
        <w:rPr>
          <w:rStyle w:val="FootnoteReference"/>
        </w:rPr>
        <w:footnoteReference w:id="222"/>
      </w:r>
      <w:r w:rsidR="00541EDB">
        <w:t xml:space="preserve">  </w:t>
      </w:r>
      <w:r>
        <w:t xml:space="preserve">As to the </w:t>
      </w:r>
      <w:r w:rsidR="00101B76">
        <w:t>volumetric rate</w:t>
      </w:r>
      <w:r>
        <w:t xml:space="preserve">, Mr. Joyce claims that WTCPUA changed the methodology for </w:t>
      </w:r>
      <w:r w:rsidR="000C43F6">
        <w:t>computing</w:t>
      </w:r>
      <w:r>
        <w:t xml:space="preserve"> it because WTCPUA</w:t>
      </w:r>
      <w:r w:rsidR="00B71573">
        <w:t>’</w:t>
      </w:r>
      <w:r>
        <w:t>s wholesale customers are no longer charged the same uniform rate.</w:t>
      </w:r>
      <w:r>
        <w:rPr>
          <w:rStyle w:val="FootnoteReference"/>
        </w:rPr>
        <w:footnoteReference w:id="223"/>
      </w:r>
      <w:r>
        <w:t xml:space="preserve">  The Prior Rates included </w:t>
      </w:r>
      <w:r w:rsidRPr="004D138C">
        <w:t xml:space="preserve">a uniform </w:t>
      </w:r>
      <w:r>
        <w:t xml:space="preserve">volume charge of </w:t>
      </w:r>
      <w:r w:rsidRPr="004D138C">
        <w:t>$2.77</w:t>
      </w:r>
      <w:r>
        <w:t xml:space="preserve"> per </w:t>
      </w:r>
      <w:r w:rsidRPr="004D138C">
        <w:t>1,000 gallons for wholesale water services</w:t>
      </w:r>
      <w:r>
        <w:t xml:space="preserve"> </w:t>
      </w:r>
      <w:r w:rsidRPr="004D138C">
        <w:t>customers that ha</w:t>
      </w:r>
      <w:r>
        <w:t xml:space="preserve">d </w:t>
      </w:r>
      <w:r w:rsidRPr="004D138C">
        <w:t>their own raw water supply, including TCMUD</w:t>
      </w:r>
      <w:r>
        <w:t> </w:t>
      </w:r>
      <w:r w:rsidRPr="004D138C">
        <w:t>12</w:t>
      </w:r>
      <w:r>
        <w:t>.</w:t>
      </w:r>
      <w:r w:rsidRPr="004D138C">
        <w:rPr>
          <w:vertAlign w:val="superscript"/>
        </w:rPr>
        <w:footnoteReference w:id="224"/>
      </w:r>
      <w:r>
        <w:t xml:space="preserve">  However, the </w:t>
      </w:r>
      <w:r w:rsidRPr="004D138C">
        <w:t xml:space="preserve">volumetric rate per </w:t>
      </w:r>
      <w:r>
        <w:t xml:space="preserve">1,000 </w:t>
      </w:r>
      <w:r w:rsidRPr="004D138C">
        <w:t>gallons</w:t>
      </w:r>
      <w:r>
        <w:t xml:space="preserve"> </w:t>
      </w:r>
      <w:r w:rsidR="00267E7A">
        <w:t xml:space="preserve">that WTCPUA </w:t>
      </w:r>
      <w:r>
        <w:t>charge</w:t>
      </w:r>
      <w:r w:rsidR="00267E7A">
        <w:t>s</w:t>
      </w:r>
      <w:r>
        <w:t xml:space="preserve"> TCMUD</w:t>
      </w:r>
      <w:r w:rsidR="00267E7A">
        <w:t> </w:t>
      </w:r>
      <w:r>
        <w:t xml:space="preserve">12 under the </w:t>
      </w:r>
      <w:r w:rsidRPr="004D138C">
        <w:t>Protested Rate</w:t>
      </w:r>
      <w:r>
        <w:t xml:space="preserve">s differs from the </w:t>
      </w:r>
      <w:r w:rsidR="00101B76">
        <w:t>volumetric rate</w:t>
      </w:r>
      <w:r>
        <w:t xml:space="preserve"> adopted at the same time for other wholesale customers with their own raw water</w:t>
      </w:r>
      <w:r w:rsidRPr="004D138C">
        <w:t>.</w:t>
      </w:r>
      <w:r w:rsidRPr="004D138C">
        <w:rPr>
          <w:vertAlign w:val="superscript"/>
        </w:rPr>
        <w:footnoteReference w:id="225"/>
      </w:r>
      <w:r w:rsidRPr="004D138C">
        <w:t xml:space="preserve">  </w:t>
      </w:r>
      <w:r>
        <w:t>Mr. Joyce contends that these changes were due to changes in the underlying methodology used to calculate the Protested Rates.</w:t>
      </w:r>
      <w:r>
        <w:rPr>
          <w:rStyle w:val="FootnoteReference"/>
        </w:rPr>
        <w:footnoteReference w:id="226"/>
      </w:r>
    </w:p>
    <w:p w:rsidR="00D04AE4" w:rsidRDefault="00D04AE4" w:rsidP="00D04AE4"/>
    <w:p w:rsidR="00D04AE4" w:rsidRDefault="00D04AE4" w:rsidP="00D04AE4">
      <w:r>
        <w:tab/>
        <w:t xml:space="preserve">As to the </w:t>
      </w:r>
      <w:r w:rsidR="00DC1864">
        <w:t>monthly rate</w:t>
      </w:r>
      <w:r>
        <w:t xml:space="preserve">, Mr. Joyce testified that </w:t>
      </w:r>
      <w:r w:rsidRPr="00B604DF">
        <w:t xml:space="preserve">WTCPUA used a simple methodology to set the </w:t>
      </w:r>
      <w:r>
        <w:t xml:space="preserve">Prior </w:t>
      </w:r>
      <w:r w:rsidRPr="00B604DF">
        <w:t xml:space="preserve">Rates, which included: (1) </w:t>
      </w:r>
      <w:r w:rsidR="00D967B0">
        <w:t xml:space="preserve">a </w:t>
      </w:r>
      <w:r w:rsidRPr="00B604DF">
        <w:t>calculat</w:t>
      </w:r>
      <w:r w:rsidR="00D967B0">
        <w:t xml:space="preserve">ion of </w:t>
      </w:r>
      <w:r w:rsidRPr="00B604DF">
        <w:t xml:space="preserve">the total wholesale costs; (2) </w:t>
      </w:r>
      <w:r w:rsidR="00D967B0">
        <w:t xml:space="preserve">a </w:t>
      </w:r>
      <w:r w:rsidRPr="00B604DF">
        <w:t>calculat</w:t>
      </w:r>
      <w:r w:rsidR="00D967B0">
        <w:t>ion</w:t>
      </w:r>
      <w:r w:rsidRPr="00B604DF">
        <w:t xml:space="preserve"> </w:t>
      </w:r>
      <w:r w:rsidR="00D967B0">
        <w:t xml:space="preserve">of </w:t>
      </w:r>
      <w:r w:rsidRPr="00B604DF">
        <w:t xml:space="preserve">total wholesale revenues at </w:t>
      </w:r>
      <w:r w:rsidR="00D967B0">
        <w:t>then-</w:t>
      </w:r>
      <w:r w:rsidRPr="00B604DF">
        <w:t xml:space="preserve">current rates; (3) </w:t>
      </w:r>
      <w:r w:rsidR="00D967B0">
        <w:t xml:space="preserve">a calculation of </w:t>
      </w:r>
      <w:r w:rsidRPr="00B604DF">
        <w:t xml:space="preserve">the resulting </w:t>
      </w:r>
      <w:r w:rsidR="00D967B0">
        <w:t>“</w:t>
      </w:r>
      <w:r w:rsidRPr="00B604DF">
        <w:t>required</w:t>
      </w:r>
      <w:r w:rsidR="00D967B0">
        <w:t>”</w:t>
      </w:r>
      <w:r w:rsidRPr="00B604DF">
        <w:t xml:space="preserve"> rate increase</w:t>
      </w:r>
      <w:r w:rsidR="00D967B0">
        <w:t>; and (4)</w:t>
      </w:r>
      <w:r w:rsidRPr="00B604DF">
        <w:rPr>
          <w:vertAlign w:val="superscript"/>
        </w:rPr>
        <w:t xml:space="preserve"> </w:t>
      </w:r>
      <w:r w:rsidR="00D967B0">
        <w:t>adoption of one-half of the “required” rate increase</w:t>
      </w:r>
      <w:r>
        <w:t>.</w:t>
      </w:r>
      <w:r w:rsidRPr="00B604DF">
        <w:rPr>
          <w:vertAlign w:val="superscript"/>
        </w:rPr>
        <w:footnoteReference w:id="227"/>
      </w:r>
      <w:r>
        <w:t xml:space="preserve">  </w:t>
      </w:r>
      <w:r w:rsidRPr="00B604DF">
        <w:t xml:space="preserve">For </w:t>
      </w:r>
      <w:r>
        <w:t>the Protested R</w:t>
      </w:r>
      <w:r w:rsidRPr="00B604DF">
        <w:t xml:space="preserve">ates, </w:t>
      </w:r>
      <w:r w:rsidR="00267E7A">
        <w:t xml:space="preserve">however, </w:t>
      </w:r>
      <w:r>
        <w:t xml:space="preserve">Mr. Joyce claims </w:t>
      </w:r>
      <w:r w:rsidRPr="00B604DF">
        <w:t xml:space="preserve">WTCPUA applied an entirely different and much more complex methodology to set monthly rates </w:t>
      </w:r>
      <w:r>
        <w:t xml:space="preserve">for </w:t>
      </w:r>
      <w:r w:rsidR="00093EAC">
        <w:t xml:space="preserve">TCMUD 12 </w:t>
      </w:r>
      <w:r>
        <w:t>and other customers</w:t>
      </w:r>
      <w:r w:rsidRPr="00B604DF">
        <w:t>:</w:t>
      </w:r>
      <w:r w:rsidRPr="00B604DF">
        <w:rPr>
          <w:vertAlign w:val="superscript"/>
        </w:rPr>
        <w:footnoteReference w:id="228"/>
      </w:r>
    </w:p>
    <w:p w:rsidR="00D04AE4" w:rsidRDefault="00D04AE4" w:rsidP="00D04AE4"/>
    <w:p w:rsidR="00D04AE4" w:rsidRDefault="00D04AE4" w:rsidP="00D04AE4">
      <w:pPr>
        <w:spacing w:line="240" w:lineRule="auto"/>
        <w:ind w:left="720"/>
      </w:pPr>
      <w:r w:rsidRPr="00B604DF">
        <w:t xml:space="preserve">(1) Separating the total capital cost allocation to TCMUD 12 into Series 2013, Series 2015, and Series 2019, related to the existing or </w:t>
      </w:r>
      <w:r>
        <w:t>anticipated WTCPUA bond issues;</w:t>
      </w:r>
    </w:p>
    <w:p w:rsidR="00D04AE4" w:rsidRPr="00B604DF" w:rsidRDefault="00D04AE4" w:rsidP="00D04AE4">
      <w:pPr>
        <w:spacing w:line="240" w:lineRule="auto"/>
        <w:ind w:left="720"/>
      </w:pPr>
    </w:p>
    <w:p w:rsidR="00D04AE4" w:rsidRPr="00B604DF" w:rsidRDefault="00D04AE4" w:rsidP="00D04AE4">
      <w:pPr>
        <w:spacing w:line="240" w:lineRule="auto"/>
        <w:ind w:left="720"/>
      </w:pPr>
      <w:r w:rsidRPr="00B604DF">
        <w:t>(2) Adding approximately 6.5% to this total capital cost alloc</w:t>
      </w:r>
      <w:r>
        <w:t xml:space="preserve">ation for </w:t>
      </w:r>
      <w:r w:rsidR="00DC1864">
        <w:t>reserve requirements</w:t>
      </w:r>
      <w:r>
        <w:t>;</w:t>
      </w:r>
    </w:p>
    <w:p w:rsidR="00D04AE4" w:rsidRDefault="00D04AE4" w:rsidP="00D04AE4">
      <w:pPr>
        <w:spacing w:line="240" w:lineRule="auto"/>
        <w:ind w:left="720"/>
      </w:pPr>
    </w:p>
    <w:p w:rsidR="00D04AE4" w:rsidRPr="00B604DF" w:rsidRDefault="00D04AE4" w:rsidP="00D04AE4">
      <w:pPr>
        <w:spacing w:line="240" w:lineRule="auto"/>
        <w:ind w:left="720"/>
      </w:pPr>
      <w:r w:rsidRPr="00B604DF">
        <w:t xml:space="preserve">(3) Adding another 2% to the total capital cost allocation for </w:t>
      </w:r>
      <w:r w:rsidR="00DC1864" w:rsidRPr="00B604DF">
        <w:t>issuance costs</w:t>
      </w:r>
      <w:r w:rsidRPr="00B604DF">
        <w:t xml:space="preserve">; </w:t>
      </w:r>
    </w:p>
    <w:p w:rsidR="00D04AE4" w:rsidRDefault="00D04AE4" w:rsidP="00D04AE4">
      <w:pPr>
        <w:spacing w:line="240" w:lineRule="auto"/>
        <w:ind w:left="720"/>
      </w:pPr>
    </w:p>
    <w:p w:rsidR="00D04AE4" w:rsidRPr="00B604DF" w:rsidRDefault="00D04AE4" w:rsidP="00D04AE4">
      <w:pPr>
        <w:spacing w:line="240" w:lineRule="auto"/>
        <w:ind w:left="720"/>
      </w:pPr>
      <w:r w:rsidRPr="00B604DF">
        <w:t>(4) Considering the growth projection in TCMUD 12 ea</w:t>
      </w:r>
      <w:r>
        <w:t>ch year from 2014 through 2048;</w:t>
      </w:r>
    </w:p>
    <w:p w:rsidR="00D04AE4" w:rsidRDefault="00D04AE4" w:rsidP="00D04AE4">
      <w:pPr>
        <w:spacing w:line="240" w:lineRule="auto"/>
        <w:ind w:left="720"/>
      </w:pPr>
    </w:p>
    <w:p w:rsidR="00D04AE4" w:rsidRPr="00B604DF" w:rsidRDefault="00D04AE4" w:rsidP="00D04AE4">
      <w:pPr>
        <w:spacing w:line="240" w:lineRule="auto"/>
        <w:ind w:left="720"/>
      </w:pPr>
      <w:r w:rsidRPr="00B604DF">
        <w:t xml:space="preserve">(5) Subtotaling the results from 1, 2, and 3 </w:t>
      </w:r>
      <w:r w:rsidR="00267E7A">
        <w:t xml:space="preserve">above </w:t>
      </w:r>
      <w:r w:rsidRPr="00B604DF">
        <w:t>(capital cost + 6.5% + 2%) and to that subtotal adding</w:t>
      </w:r>
      <w:r>
        <w:t xml:space="preserve"> another 25% for bond coverage;</w:t>
      </w:r>
    </w:p>
    <w:p w:rsidR="00D04AE4" w:rsidRDefault="00D04AE4" w:rsidP="00D04AE4">
      <w:pPr>
        <w:spacing w:line="240" w:lineRule="auto"/>
        <w:ind w:left="720"/>
      </w:pPr>
    </w:p>
    <w:p w:rsidR="00D04AE4" w:rsidRPr="00B604DF" w:rsidRDefault="00D04AE4" w:rsidP="00D04AE4">
      <w:pPr>
        <w:spacing w:line="240" w:lineRule="auto"/>
        <w:ind w:left="720"/>
      </w:pPr>
      <w:r w:rsidRPr="00B604DF">
        <w:t>(6) Subtotaling the results from 1,</w:t>
      </w:r>
      <w:r w:rsidR="00267E7A">
        <w:t xml:space="preserve"> </w:t>
      </w:r>
      <w:r w:rsidRPr="00B604DF">
        <w:t xml:space="preserve">2, and 3 </w:t>
      </w:r>
      <w:r w:rsidR="00267E7A">
        <w:t xml:space="preserve">above </w:t>
      </w:r>
      <w:r w:rsidRPr="00B604DF">
        <w:t>(capital cost + 6.5% + 2%) and from that subtotal subtracting 17% for sys</w:t>
      </w:r>
      <w:r>
        <w:t>tem-wide impact fee credit;</w:t>
      </w:r>
    </w:p>
    <w:p w:rsidR="00D04AE4" w:rsidRDefault="00D04AE4" w:rsidP="00D04AE4">
      <w:pPr>
        <w:spacing w:line="240" w:lineRule="auto"/>
        <w:ind w:left="720"/>
      </w:pPr>
    </w:p>
    <w:p w:rsidR="00D04AE4" w:rsidRPr="00B604DF" w:rsidRDefault="00D04AE4" w:rsidP="00D04AE4">
      <w:pPr>
        <w:spacing w:line="240" w:lineRule="auto"/>
        <w:ind w:left="720"/>
      </w:pPr>
      <w:r w:rsidRPr="00B604DF">
        <w:t xml:space="preserve">(7) Taking the subtotal and adding the 25% from 5 </w:t>
      </w:r>
      <w:r w:rsidR="003034E8">
        <w:t xml:space="preserve">above </w:t>
      </w:r>
      <w:r w:rsidRPr="00B604DF">
        <w:t xml:space="preserve">and subtracting the 17% from 6 </w:t>
      </w:r>
      <w:r w:rsidR="003034E8">
        <w:t xml:space="preserve">above </w:t>
      </w:r>
      <w:r w:rsidRPr="00B604DF">
        <w:t xml:space="preserve">to calculate the total amounts owed by Bond Series (one amount for Series 2013, another for Series 2015, and another for Series 2019); and </w:t>
      </w:r>
    </w:p>
    <w:p w:rsidR="00D04AE4" w:rsidRDefault="00D04AE4" w:rsidP="00D04AE4">
      <w:pPr>
        <w:spacing w:line="240" w:lineRule="auto"/>
        <w:ind w:left="720"/>
      </w:pPr>
    </w:p>
    <w:p w:rsidR="00D04AE4" w:rsidRPr="00B604DF" w:rsidRDefault="00D04AE4" w:rsidP="00D04AE4">
      <w:pPr>
        <w:spacing w:line="240" w:lineRule="auto"/>
        <w:ind w:left="720"/>
      </w:pPr>
      <w:r w:rsidRPr="00B604DF">
        <w:t xml:space="preserve">(8) Calculating the levelized principal and spreading the amount over the 30-year period for each bond issue to pro-rate the amount to the growth in number of connections.  </w:t>
      </w:r>
    </w:p>
    <w:p w:rsidR="00D04AE4" w:rsidRDefault="00D04AE4" w:rsidP="00D04AE4"/>
    <w:p w:rsidR="00555771" w:rsidRDefault="00555771" w:rsidP="00555771">
      <w:r>
        <w:tab/>
      </w:r>
      <w:r w:rsidR="00B4698F">
        <w:t>Th</w:t>
      </w:r>
      <w:r w:rsidR="002C6A36">
        <w:t>e</w:t>
      </w:r>
      <w:r w:rsidR="00B4698F">
        <w:t xml:space="preserve"> other pertinent experts do not agree that WTCPUA change</w:t>
      </w:r>
      <w:r w:rsidR="002C6A36">
        <w:t>d</w:t>
      </w:r>
      <w:r w:rsidR="00B4698F">
        <w:t xml:space="preserve"> its rate computation methodology.  </w:t>
      </w:r>
      <w:r>
        <w:t xml:space="preserve">Mr. </w:t>
      </w:r>
      <w:r w:rsidR="003034E8">
        <w:t xml:space="preserve">Stowe </w:t>
      </w:r>
      <w:r>
        <w:t>testified that WTCPUA used the same methodology to set the Prior and Protested Rates: a monthly fee and a flat volumetric rate.</w:t>
      </w:r>
      <w:r>
        <w:rPr>
          <w:rStyle w:val="FootnoteReference"/>
        </w:rPr>
        <w:footnoteReference w:id="229"/>
      </w:r>
      <w:r>
        <w:t xml:space="preserve">  Ms. Graham</w:t>
      </w:r>
      <w:r w:rsidR="00B71573">
        <w:t>’</w:t>
      </w:r>
      <w:r>
        <w:t xml:space="preserve">s analysis was different, but she concluded that the evidence did not show a change without examining cost of </w:t>
      </w:r>
      <w:r>
        <w:lastRenderedPageBreak/>
        <w:t xml:space="preserve">service, which is prohibited.  She testified that it appeared that the methodology to compute the </w:t>
      </w:r>
      <w:r w:rsidR="00B71573">
        <w:t>“</w:t>
      </w:r>
      <w:r>
        <w:t>fixed charge,</w:t>
      </w:r>
      <w:r w:rsidR="00B71573">
        <w:t>”</w:t>
      </w:r>
      <w:r>
        <w:t xml:space="preserve"> apparently meaning the </w:t>
      </w:r>
      <w:r w:rsidR="00101B76">
        <w:t>monthly charge</w:t>
      </w:r>
      <w:r>
        <w:t>, had not changed and was computed for each customer by using the fixed amount of revenue WTCPUA was trying to recover and a forecasted number of connections.</w:t>
      </w:r>
      <w:r>
        <w:rPr>
          <w:rStyle w:val="FootnoteReference"/>
        </w:rPr>
        <w:footnoteReference w:id="230"/>
      </w:r>
      <w:r>
        <w:t xml:space="preserve">  It also appeared to her that the </w:t>
      </w:r>
      <w:r w:rsidR="00DC1864">
        <w:t>“</w:t>
      </w:r>
      <w:r>
        <w:t>variable rate</w:t>
      </w:r>
      <w:r w:rsidR="00DC1864">
        <w:t>”</w:t>
      </w:r>
      <w:r>
        <w:t xml:space="preserve"> methodology</w:t>
      </w:r>
      <w:r w:rsidR="00DC1864">
        <w:t>—apparently meaning the methodology for the volumetric rate—</w:t>
      </w:r>
      <w:r>
        <w:t>had not changed; the variable rate was computed using the forecasted amount of consumption and the amount of variable revenue WTCPUA wanted to recover.</w:t>
      </w:r>
      <w:r>
        <w:rPr>
          <w:rStyle w:val="FootnoteReference"/>
        </w:rPr>
        <w:footnoteReference w:id="231"/>
      </w:r>
    </w:p>
    <w:p w:rsidR="00555771" w:rsidRDefault="00555771" w:rsidP="00D04AE4"/>
    <w:p w:rsidR="00F64DF3" w:rsidRDefault="00061B22" w:rsidP="002610FC">
      <w:pPr>
        <w:pStyle w:val="Heading3"/>
        <w:spacing w:line="240" w:lineRule="auto"/>
        <w:ind w:left="1440" w:hanging="720"/>
      </w:pPr>
      <w:bookmarkStart w:id="28" w:name="_Toc431366947"/>
      <w:r>
        <w:t xml:space="preserve">Evidence Does Not Show </w:t>
      </w:r>
      <w:r w:rsidR="00F64DF3">
        <w:t xml:space="preserve">WTCPUA </w:t>
      </w:r>
      <w:r>
        <w:t xml:space="preserve">Changed it </w:t>
      </w:r>
      <w:r w:rsidR="0037395A">
        <w:t>Rate Computation Methodology</w:t>
      </w:r>
      <w:bookmarkEnd w:id="28"/>
    </w:p>
    <w:p w:rsidR="00801CCF" w:rsidRDefault="00801CCF" w:rsidP="003C7058">
      <w:pPr>
        <w:keepNext/>
      </w:pPr>
    </w:p>
    <w:p w:rsidR="00807772" w:rsidRDefault="0037395A" w:rsidP="00642033">
      <w:r>
        <w:tab/>
        <w:t xml:space="preserve">The ALJ </w:t>
      </w:r>
      <w:r w:rsidR="00061B22">
        <w:t xml:space="preserve">does not find that </w:t>
      </w:r>
      <w:r>
        <w:t>WTCPUA change</w:t>
      </w:r>
      <w:r w:rsidR="00061B22">
        <w:t>d</w:t>
      </w:r>
      <w:r>
        <w:t xml:space="preserve"> </w:t>
      </w:r>
      <w:r w:rsidR="00671013">
        <w:t xml:space="preserve">its </w:t>
      </w:r>
      <w:r>
        <w:t>rate computation methodology</w:t>
      </w:r>
      <w:r w:rsidR="002C6A36">
        <w:t xml:space="preserve"> when it adopted the Protested Rates</w:t>
      </w:r>
      <w:r w:rsidR="00807772">
        <w:t>.</w:t>
      </w:r>
    </w:p>
    <w:p w:rsidR="00807772" w:rsidRDefault="00807772" w:rsidP="00642033"/>
    <w:p w:rsidR="00552CFF" w:rsidRDefault="00807772" w:rsidP="00642033">
      <w:r>
        <w:tab/>
      </w:r>
      <w:r w:rsidR="00552CFF">
        <w:t xml:space="preserve">The Public Interest Rule does not explain what it means by a change in rate computation methodology.  </w:t>
      </w:r>
      <w:r w:rsidR="00520159">
        <w:t xml:space="preserve">However, no party in this case disputes that a change in </w:t>
      </w:r>
      <w:r w:rsidR="00DC1864">
        <w:t xml:space="preserve">the </w:t>
      </w:r>
      <w:r w:rsidR="00520159">
        <w:t xml:space="preserve">rate structure would reflect a change in rate computation methodology.  </w:t>
      </w:r>
      <w:r w:rsidR="00642033">
        <w:t xml:space="preserve">According to the M1 Manual, a </w:t>
      </w:r>
      <w:r w:rsidR="00B71573">
        <w:t>“</w:t>
      </w:r>
      <w:r w:rsidR="00642033">
        <w:t>rate structure</w:t>
      </w:r>
      <w:r w:rsidR="00B71573">
        <w:t>”</w:t>
      </w:r>
      <w:r w:rsidR="00642033">
        <w:t xml:space="preserve"> is developed during the rate design analysis</w:t>
      </w:r>
      <w:r w:rsidR="00061B22">
        <w:t xml:space="preserve"> and </w:t>
      </w:r>
      <w:r w:rsidR="00642033">
        <w:t xml:space="preserve">classifies customers, establishes the frequency of billing, and identifies the charges or schedule of charges </w:t>
      </w:r>
      <w:r w:rsidR="00061B22">
        <w:t xml:space="preserve">that </w:t>
      </w:r>
      <w:r w:rsidR="00642033">
        <w:t>each classification of customers will be assessed.</w:t>
      </w:r>
      <w:r w:rsidR="00642033">
        <w:rPr>
          <w:rStyle w:val="FootnoteReference"/>
        </w:rPr>
        <w:footnoteReference w:id="232"/>
      </w:r>
      <w:r w:rsidR="00642033">
        <w:t xml:space="preserve">  No Commission rule defines </w:t>
      </w:r>
      <w:r w:rsidR="00B71573">
        <w:t>“</w:t>
      </w:r>
      <w:r w:rsidR="00642033">
        <w:t>rate structure,</w:t>
      </w:r>
      <w:r w:rsidR="00B71573">
        <w:t>”</w:t>
      </w:r>
      <w:r w:rsidR="00642033">
        <w:t xml:space="preserve"> althou</w:t>
      </w:r>
      <w:r w:rsidR="00A410DB">
        <w:t xml:space="preserve">gh some rules use the phrase </w:t>
      </w:r>
      <w:r w:rsidR="00DC1864">
        <w:t xml:space="preserve">similarly to </w:t>
      </w:r>
      <w:r w:rsidR="00642033">
        <w:t>the M1 Manual.</w:t>
      </w:r>
      <w:r w:rsidR="00642033">
        <w:rPr>
          <w:rStyle w:val="FootnoteReference"/>
        </w:rPr>
        <w:footnoteReference w:id="233"/>
      </w:r>
    </w:p>
    <w:p w:rsidR="00552CFF" w:rsidRDefault="00552CFF" w:rsidP="00642033"/>
    <w:p w:rsidR="00552CFF" w:rsidRDefault="00552CFF" w:rsidP="00552CFF">
      <w:r>
        <w:tab/>
        <w:t>The</w:t>
      </w:r>
      <w:r w:rsidR="0088015C">
        <w:t xml:space="preserve"> Commission</w:t>
      </w:r>
      <w:r w:rsidR="00B71573">
        <w:t>’</w:t>
      </w:r>
      <w:r w:rsidR="0088015C">
        <w:t xml:space="preserve">s rules refer to several </w:t>
      </w:r>
      <w:r>
        <w:t>possible rate structures</w:t>
      </w:r>
      <w:r w:rsidR="0088015C">
        <w:t xml:space="preserve">, including </w:t>
      </w:r>
      <w:r w:rsidR="00A67DCA">
        <w:t>declining</w:t>
      </w:r>
      <w:r w:rsidR="00507A1A">
        <w:t>-</w:t>
      </w:r>
      <w:r>
        <w:t>block</w:t>
      </w:r>
      <w:r w:rsidR="00A410DB">
        <w:t xml:space="preserve"> and</w:t>
      </w:r>
      <w:r>
        <w:t xml:space="preserve"> </w:t>
      </w:r>
      <w:r w:rsidR="00A67DCA">
        <w:t>in</w:t>
      </w:r>
      <w:r w:rsidR="00507A1A">
        <w:t>c</w:t>
      </w:r>
      <w:r w:rsidR="00A67DCA">
        <w:t>lin</w:t>
      </w:r>
      <w:r w:rsidR="00507A1A">
        <w:t>in</w:t>
      </w:r>
      <w:r w:rsidR="00A67DCA">
        <w:t>g</w:t>
      </w:r>
      <w:r w:rsidR="00507A1A">
        <w:t>-</w:t>
      </w:r>
      <w:r w:rsidR="00A67DCA">
        <w:t>block</w:t>
      </w:r>
      <w:r>
        <w:t>,</w:t>
      </w:r>
      <w:r w:rsidR="00671013">
        <w:rPr>
          <w:rStyle w:val="FootnoteReference"/>
        </w:rPr>
        <w:footnoteReference w:id="234"/>
      </w:r>
      <w:r w:rsidR="00671013">
        <w:t xml:space="preserve"> </w:t>
      </w:r>
      <w:r>
        <w:t xml:space="preserve">and </w:t>
      </w:r>
      <w:r w:rsidR="00507A1A">
        <w:t xml:space="preserve">phased </w:t>
      </w:r>
      <w:r w:rsidR="00AE0120">
        <w:t xml:space="preserve">or </w:t>
      </w:r>
      <w:r w:rsidR="00507A1A">
        <w:t xml:space="preserve">multi-step </w:t>
      </w:r>
      <w:r w:rsidR="0088015C">
        <w:t xml:space="preserve">volumetric </w:t>
      </w:r>
      <w:r w:rsidR="00507A1A">
        <w:t>rates</w:t>
      </w:r>
      <w:r w:rsidR="00236127">
        <w:t>.</w:t>
      </w:r>
      <w:r w:rsidR="00507A1A">
        <w:rPr>
          <w:rStyle w:val="FootnoteReference"/>
        </w:rPr>
        <w:footnoteReference w:id="235"/>
      </w:r>
      <w:r w:rsidR="00507A1A">
        <w:t xml:space="preserve"> </w:t>
      </w:r>
      <w:r w:rsidR="00EF48E7">
        <w:t xml:space="preserve"> </w:t>
      </w:r>
      <w:r>
        <w:t>In a prior case, the ALJ concluded that a change in the rate design</w:t>
      </w:r>
      <w:r w:rsidR="00061B22">
        <w:t xml:space="preserve">, </w:t>
      </w:r>
      <w:r>
        <w:t xml:space="preserve">which he might have better called a change in </w:t>
      </w:r>
      <w:r>
        <w:lastRenderedPageBreak/>
        <w:t>the rate structure</w:t>
      </w:r>
      <w:r w:rsidR="00061B22">
        <w:t xml:space="preserve">, </w:t>
      </w:r>
      <w:r>
        <w:t>from uniform to inclining-block volumetric rate</w:t>
      </w:r>
      <w:r w:rsidR="00A410DB">
        <w:t>s</w:t>
      </w:r>
      <w:r>
        <w:t xml:space="preserve"> reflected a change in the rate </w:t>
      </w:r>
      <w:r w:rsidR="0088015C">
        <w:t>computation</w:t>
      </w:r>
      <w:r>
        <w:t xml:space="preserve"> methodology.</w:t>
      </w:r>
      <w:r>
        <w:rPr>
          <w:rStyle w:val="FootnoteReference"/>
        </w:rPr>
        <w:footnoteReference w:id="236"/>
      </w:r>
      <w:r>
        <w:t xml:space="preserve">  The TCEQ agreed, finding that the seller </w:t>
      </w:r>
      <w:r w:rsidRPr="00836D0A">
        <w:t>changed its methodology for designing its rates when it switched to inclining-block rates.</w:t>
      </w:r>
      <w:r>
        <w:rPr>
          <w:rStyle w:val="FootnoteReference"/>
        </w:rPr>
        <w:footnoteReference w:id="237"/>
      </w:r>
    </w:p>
    <w:p w:rsidR="00552CFF" w:rsidRDefault="00552CFF" w:rsidP="00552CFF"/>
    <w:p w:rsidR="0088015C" w:rsidRDefault="0088015C" w:rsidP="0088015C">
      <w:r>
        <w:tab/>
        <w:t xml:space="preserve">WTCPUA used the same rate structure for both the Prior </w:t>
      </w:r>
      <w:r w:rsidR="00E63DF4">
        <w:t xml:space="preserve">Rates </w:t>
      </w:r>
      <w:r>
        <w:t xml:space="preserve">and the Protested Rates it has charged TCMUD 12.  Both include a flat </w:t>
      </w:r>
      <w:r w:rsidR="00101B76">
        <w:t>monthly charge</w:t>
      </w:r>
      <w:r>
        <w:t xml:space="preserve">, sometimes referred to as a </w:t>
      </w:r>
      <w:r w:rsidR="00B71573">
        <w:t>“</w:t>
      </w:r>
      <w:r>
        <w:t>Minimum Bill,</w:t>
      </w:r>
      <w:r w:rsidR="00B71573">
        <w:t>”</w:t>
      </w:r>
      <w:r>
        <w:t xml:space="preserve"> and a flat </w:t>
      </w:r>
      <w:r w:rsidR="00101B76">
        <w:t>volumetric rate</w:t>
      </w:r>
      <w:r>
        <w:t xml:space="preserve"> per 1,000 gallons of water used.</w:t>
      </w:r>
      <w:r w:rsidR="00B71573" w:rsidRPr="0059421B">
        <w:rPr>
          <w:vertAlign w:val="superscript"/>
        </w:rPr>
        <w:footnoteReference w:id="238"/>
      </w:r>
      <w:r>
        <w:t xml:space="preserve">  The </w:t>
      </w:r>
      <w:r w:rsidR="00101B76">
        <w:t>monthly charge</w:t>
      </w:r>
      <w:r w:rsidRPr="0059421B">
        <w:t xml:space="preserve"> </w:t>
      </w:r>
      <w:r>
        <w:t xml:space="preserve">was </w:t>
      </w:r>
      <w:r w:rsidRPr="0059421B">
        <w:t xml:space="preserve">$10,891.65 </w:t>
      </w:r>
      <w:r>
        <w:t xml:space="preserve">and now is </w:t>
      </w:r>
      <w:r w:rsidRPr="0059421B">
        <w:t>$8,140.89</w:t>
      </w:r>
      <w:r>
        <w:t>.  T</w:t>
      </w:r>
      <w:r w:rsidRPr="0059421B">
        <w:t xml:space="preserve">he </w:t>
      </w:r>
      <w:r w:rsidR="00E63DF4">
        <w:t xml:space="preserve">volumetric </w:t>
      </w:r>
      <w:r w:rsidR="00101B76">
        <w:t>rate</w:t>
      </w:r>
      <w:r w:rsidRPr="0059421B">
        <w:t xml:space="preserve"> </w:t>
      </w:r>
      <w:r>
        <w:t xml:space="preserve">was </w:t>
      </w:r>
      <w:r w:rsidRPr="0059421B">
        <w:t xml:space="preserve">$2.77 </w:t>
      </w:r>
      <w:r>
        <w:t xml:space="preserve">and now is </w:t>
      </w:r>
      <w:r w:rsidRPr="0059421B">
        <w:t>$2.11 per 1,000 gallons.</w:t>
      </w:r>
      <w:r w:rsidRPr="0059421B">
        <w:rPr>
          <w:vertAlign w:val="superscript"/>
        </w:rPr>
        <w:footnoteReference w:id="239"/>
      </w:r>
    </w:p>
    <w:p w:rsidR="0088015C" w:rsidRDefault="0088015C" w:rsidP="0088015C"/>
    <w:p w:rsidR="00B71573" w:rsidRDefault="00091541" w:rsidP="00AE0120">
      <w:r>
        <w:tab/>
      </w:r>
      <w:r w:rsidR="00AE0120">
        <w:t>Despite th</w:t>
      </w:r>
      <w:r w:rsidR="0088015C">
        <w:t>e</w:t>
      </w:r>
      <w:r w:rsidR="00AE0120">
        <w:t xml:space="preserve"> continuity</w:t>
      </w:r>
      <w:r w:rsidR="0088015C">
        <w:t xml:space="preserve"> in rate structure</w:t>
      </w:r>
      <w:r w:rsidR="003A4609">
        <w:t xml:space="preserve"> for TCMUD 12</w:t>
      </w:r>
      <w:r w:rsidR="00AE0120">
        <w:t xml:space="preserve">, </w:t>
      </w:r>
      <w:r w:rsidR="00CB0B76">
        <w:t xml:space="preserve">Mr. Joyce </w:t>
      </w:r>
      <w:r w:rsidR="00F0425E">
        <w:t xml:space="preserve">claims </w:t>
      </w:r>
      <w:r w:rsidR="0088015C">
        <w:t xml:space="preserve">WTCPUA changed the </w:t>
      </w:r>
      <w:r w:rsidR="00F0425E">
        <w:t xml:space="preserve">method </w:t>
      </w:r>
      <w:r w:rsidR="003A4609">
        <w:t>of computing TCMUD 12</w:t>
      </w:r>
      <w:r w:rsidR="00B71573">
        <w:t>’</w:t>
      </w:r>
      <w:r w:rsidR="003A4609">
        <w:t>s rates</w:t>
      </w:r>
      <w:r w:rsidR="002D2FE7">
        <w:t xml:space="preserve">.  </w:t>
      </w:r>
      <w:r w:rsidR="00635448">
        <w:t xml:space="preserve">WTCPUA formerly charged all of its wholesale water service customers, including TCMUD 12 under the Prior Rates, a flat volumetric rate of $2.77 </w:t>
      </w:r>
      <w:r w:rsidR="00635448" w:rsidRPr="004201C9">
        <w:t>per 1,000 gallons</w:t>
      </w:r>
      <w:r w:rsidR="00635448">
        <w:t>.</w:t>
      </w:r>
      <w:r w:rsidR="00635448" w:rsidRPr="0059421B">
        <w:rPr>
          <w:vertAlign w:val="superscript"/>
        </w:rPr>
        <w:footnoteReference w:id="240"/>
      </w:r>
      <w:r w:rsidR="00635448">
        <w:t xml:space="preserve">  Now it charges each wholesale customer a </w:t>
      </w:r>
      <w:r w:rsidR="00B71573">
        <w:t>unique, single</w:t>
      </w:r>
      <w:r w:rsidR="00635448">
        <w:t xml:space="preserve"> volumetric rate, ranging from $1.86 to $2.35 per 1,000 gallons</w:t>
      </w:r>
      <w:r w:rsidR="00156CC7">
        <w:t>,</w:t>
      </w:r>
      <w:r w:rsidR="00635448">
        <w:t xml:space="preserve"> including a rate of $2.11 </w:t>
      </w:r>
      <w:r w:rsidR="00635448" w:rsidRPr="004201C9">
        <w:t>per 1,000 gallons</w:t>
      </w:r>
      <w:r w:rsidR="00635448">
        <w:t xml:space="preserve"> to TCMUD 12 under the Protested Rates.</w:t>
      </w:r>
      <w:r w:rsidR="00635448" w:rsidRPr="0059421B">
        <w:rPr>
          <w:vertAlign w:val="superscript"/>
        </w:rPr>
        <w:footnoteReference w:id="241"/>
      </w:r>
      <w:r w:rsidR="00635448">
        <w:t xml:space="preserve">  </w:t>
      </w:r>
      <w:r w:rsidR="00224E36">
        <w:t xml:space="preserve">According to </w:t>
      </w:r>
      <w:r w:rsidR="00635448">
        <w:t>Mr. Joyce</w:t>
      </w:r>
      <w:r w:rsidR="00224E36">
        <w:t xml:space="preserve">, </w:t>
      </w:r>
      <w:r w:rsidR="00635448">
        <w:t xml:space="preserve">the fact that WTCPUA changed from a flat volumetric rate for all customers </w:t>
      </w:r>
      <w:r w:rsidR="002A1872">
        <w:t xml:space="preserve">to a different one for each customer </w:t>
      </w:r>
      <w:r w:rsidR="00635448">
        <w:t>evidences that the methodology for calculating the rate</w:t>
      </w:r>
      <w:r w:rsidR="003A4609">
        <w:t>s</w:t>
      </w:r>
      <w:r w:rsidR="00635448">
        <w:t xml:space="preserve"> fundamentally changed.</w:t>
      </w:r>
      <w:r w:rsidR="00635448">
        <w:rPr>
          <w:rStyle w:val="FootnoteReference"/>
        </w:rPr>
        <w:footnoteReference w:id="242"/>
      </w:r>
      <w:r w:rsidR="0045373A">
        <w:t xml:space="preserve">  </w:t>
      </w:r>
      <w:r w:rsidR="00B71573">
        <w:t>Additionally</w:t>
      </w:r>
      <w:r w:rsidR="0045373A">
        <w:t xml:space="preserve">, as described above, Mr. Joyce claims that WTCPUA changed the computation </w:t>
      </w:r>
      <w:r w:rsidR="0045373A">
        <w:lastRenderedPageBreak/>
        <w:t>methodology for the monthly rates by switching from a three-step method to a method with more steps.</w:t>
      </w:r>
      <w:r w:rsidR="0045373A" w:rsidRPr="00B604DF">
        <w:rPr>
          <w:vertAlign w:val="superscript"/>
        </w:rPr>
        <w:footnoteReference w:id="243"/>
      </w:r>
    </w:p>
    <w:p w:rsidR="00224E36" w:rsidRDefault="00224E36" w:rsidP="00AE0120"/>
    <w:p w:rsidR="006D177C" w:rsidRDefault="00224E36" w:rsidP="00F20191">
      <w:r>
        <w:tab/>
      </w:r>
      <w:r w:rsidR="008B5CF6">
        <w:t>T</w:t>
      </w:r>
      <w:r>
        <w:t xml:space="preserve">he ALJ does not find that </w:t>
      </w:r>
      <w:r w:rsidR="007825A9">
        <w:t>WTCPUA changed it rate</w:t>
      </w:r>
      <w:r w:rsidR="002A1872">
        <w:t>-computation methodology</w:t>
      </w:r>
      <w:r w:rsidR="007825A9">
        <w:t>.  First, the rate structure fo</w:t>
      </w:r>
      <w:r w:rsidR="00E74A24">
        <w:t xml:space="preserve">r TCMUD 12 was not changed; it </w:t>
      </w:r>
      <w:r w:rsidR="007825A9">
        <w:t xml:space="preserve">still includes a single monthly </w:t>
      </w:r>
      <w:r w:rsidR="00E63DF4">
        <w:t xml:space="preserve">charge </w:t>
      </w:r>
      <w:r w:rsidR="007825A9">
        <w:t>and a single volumetric rate.</w:t>
      </w:r>
      <w:r w:rsidR="00711D94">
        <w:t xml:space="preserve">  Second, </w:t>
      </w:r>
      <w:r>
        <w:t xml:space="preserve">charging </w:t>
      </w:r>
      <w:r w:rsidR="00711D94">
        <w:t xml:space="preserve">wholesale-contract </w:t>
      </w:r>
      <w:r>
        <w:t xml:space="preserve">customers </w:t>
      </w:r>
      <w:r w:rsidR="00E63DF4">
        <w:t xml:space="preserve">different </w:t>
      </w:r>
      <w:r>
        <w:t xml:space="preserve">volumetric </w:t>
      </w:r>
      <w:r w:rsidR="00E63DF4">
        <w:t xml:space="preserve">rates </w:t>
      </w:r>
      <w:r w:rsidR="007825A9">
        <w:t xml:space="preserve">and monthly </w:t>
      </w:r>
      <w:r w:rsidR="00E63DF4">
        <w:t xml:space="preserve">charges </w:t>
      </w:r>
      <w:r w:rsidR="00711D94">
        <w:t xml:space="preserve">does not </w:t>
      </w:r>
      <w:r>
        <w:t>prove</w:t>
      </w:r>
      <w:r w:rsidR="00711D94">
        <w:t xml:space="preserve"> </w:t>
      </w:r>
      <w:r>
        <w:t xml:space="preserve">that WTCPUA has changed its rate computation methodology.  </w:t>
      </w:r>
      <w:r w:rsidR="00705CAB">
        <w:t xml:space="preserve">WTCPUA has a separate contract with each wholesale customer, meaning </w:t>
      </w:r>
      <w:r w:rsidR="0002523F">
        <w:t xml:space="preserve">a wide range of </w:t>
      </w:r>
      <w:r w:rsidR="00705CAB">
        <w:t xml:space="preserve">factors </w:t>
      </w:r>
      <w:r w:rsidR="0002523F">
        <w:t xml:space="preserve">other than a change in rate computation methodology </w:t>
      </w:r>
      <w:r w:rsidR="00705CAB">
        <w:t xml:space="preserve">could have led their rates to be different from </w:t>
      </w:r>
      <w:r w:rsidR="006D177C">
        <w:t xml:space="preserve">the </w:t>
      </w:r>
      <w:r w:rsidR="00705CAB">
        <w:t xml:space="preserve">rates </w:t>
      </w:r>
      <w:r w:rsidR="0088015C">
        <w:t>charged TCMUD 12.</w:t>
      </w:r>
    </w:p>
    <w:p w:rsidR="00711D94" w:rsidRDefault="00711D94" w:rsidP="00F20191"/>
    <w:p w:rsidR="00FE27CD" w:rsidRDefault="006D177C" w:rsidP="00F20191">
      <w:r>
        <w:tab/>
      </w:r>
      <w:r w:rsidR="00711D94">
        <w:t>Third, in a</w:t>
      </w:r>
      <w:r w:rsidR="00D43258">
        <w:t xml:space="preserve">ttempting to prove </w:t>
      </w:r>
      <w:r w:rsidR="003338C0">
        <w:t xml:space="preserve">WTCPUA </w:t>
      </w:r>
      <w:r w:rsidR="00D43258">
        <w:t>change</w:t>
      </w:r>
      <w:r w:rsidR="003338C0">
        <w:t>d</w:t>
      </w:r>
      <w:r w:rsidR="00D43258">
        <w:t xml:space="preserve"> </w:t>
      </w:r>
      <w:r w:rsidR="003338C0">
        <w:t xml:space="preserve">the method for </w:t>
      </w:r>
      <w:r w:rsidR="00D43258">
        <w:t>comput</w:t>
      </w:r>
      <w:r w:rsidR="009D51B7">
        <w:t>ing TCMUD </w:t>
      </w:r>
      <w:r w:rsidR="003338C0">
        <w:t>12</w:t>
      </w:r>
      <w:r w:rsidR="00B71573">
        <w:t>’</w:t>
      </w:r>
      <w:r w:rsidR="003338C0">
        <w:t>s rate</w:t>
      </w:r>
      <w:r w:rsidR="00711D94">
        <w:t>s</w:t>
      </w:r>
      <w:r w:rsidR="00D43258">
        <w:t xml:space="preserve">, </w:t>
      </w:r>
      <w:r w:rsidR="003B7DF4">
        <w:t xml:space="preserve">TCMUD 12 </w:t>
      </w:r>
      <w:r w:rsidR="00D43258">
        <w:t xml:space="preserve">once again </w:t>
      </w:r>
      <w:r w:rsidR="003B7DF4">
        <w:t>offered</w:t>
      </w:r>
      <w:r w:rsidR="00D43258">
        <w:t>,</w:t>
      </w:r>
      <w:r w:rsidR="003B7DF4">
        <w:t xml:space="preserve"> through Mr. Joyce</w:t>
      </w:r>
      <w:r w:rsidR="00D43258">
        <w:t>,</w:t>
      </w:r>
      <w:r w:rsidR="003B7DF4">
        <w:t xml:space="preserve"> an analysis of </w:t>
      </w:r>
      <w:r w:rsidR="003338C0">
        <w:t>WTCPUA</w:t>
      </w:r>
      <w:r w:rsidR="00B71573">
        <w:t>’</w:t>
      </w:r>
      <w:r w:rsidR="003338C0">
        <w:t xml:space="preserve">s costs and their allocation among its wholesale customers, </w:t>
      </w:r>
      <w:r w:rsidR="00711D94">
        <w:t xml:space="preserve">which led </w:t>
      </w:r>
      <w:r w:rsidR="003338C0">
        <w:t xml:space="preserve">Mr. Joyce </w:t>
      </w:r>
      <w:r w:rsidR="00711D94">
        <w:t xml:space="preserve">to </w:t>
      </w:r>
      <w:r w:rsidR="003338C0">
        <w:t>conclude that WTCPUA changed its rate computation methodolog</w:t>
      </w:r>
      <w:r w:rsidR="00711D94">
        <w:t>ies</w:t>
      </w:r>
      <w:r w:rsidR="003338C0">
        <w:t>.</w:t>
      </w:r>
      <w:r w:rsidR="003338C0">
        <w:rPr>
          <w:rStyle w:val="FootnoteReference"/>
        </w:rPr>
        <w:footnoteReference w:id="244"/>
      </w:r>
      <w:r w:rsidR="00711D94">
        <w:t xml:space="preserve">  </w:t>
      </w:r>
      <w:r w:rsidR="00061B22">
        <w:t xml:space="preserve">The details are different, </w:t>
      </w:r>
      <w:r w:rsidR="003338C0">
        <w:t xml:space="preserve">but Mr. Joyce and TCMUD 12 </w:t>
      </w:r>
      <w:r w:rsidR="00061B22">
        <w:t xml:space="preserve">are </w:t>
      </w:r>
      <w:r w:rsidR="003338C0">
        <w:t>once again claim</w:t>
      </w:r>
      <w:r w:rsidR="00061B22">
        <w:t>ing</w:t>
      </w:r>
      <w:r w:rsidR="003338C0">
        <w:t xml:space="preserve"> that analyzing </w:t>
      </w:r>
      <w:r w:rsidR="00061B22">
        <w:t>WTCPUA</w:t>
      </w:r>
      <w:r w:rsidR="00B71573">
        <w:t>’</w:t>
      </w:r>
      <w:r w:rsidR="00061B22">
        <w:t xml:space="preserve">s </w:t>
      </w:r>
      <w:r w:rsidR="003338C0">
        <w:t xml:space="preserve">cost </w:t>
      </w:r>
      <w:r w:rsidR="00B71573">
        <w:t xml:space="preserve">of service </w:t>
      </w:r>
      <w:r w:rsidR="003338C0">
        <w:t xml:space="preserve">and </w:t>
      </w:r>
      <w:r w:rsidR="00B71573">
        <w:t xml:space="preserve">its </w:t>
      </w:r>
      <w:r w:rsidR="003338C0">
        <w:t>allocation is not a cost</w:t>
      </w:r>
      <w:r w:rsidR="00061B22">
        <w:t>-</w:t>
      </w:r>
      <w:r w:rsidR="003338C0">
        <w:t>of</w:t>
      </w:r>
      <w:r w:rsidR="00061B22">
        <w:t>-</w:t>
      </w:r>
      <w:r w:rsidR="003338C0">
        <w:t>service analysis</w:t>
      </w:r>
      <w:r w:rsidR="00061B22">
        <w:t>.</w:t>
      </w:r>
      <w:r w:rsidR="00B71573">
        <w:t xml:space="preserve">  </w:t>
      </w:r>
      <w:r w:rsidR="00F14F7D">
        <w:t>The ALJ will not repeat the details concerning the meaning</w:t>
      </w:r>
      <w:r w:rsidR="00867519">
        <w:t>s</w:t>
      </w:r>
      <w:r w:rsidR="00F14F7D">
        <w:t xml:space="preserve"> of </w:t>
      </w:r>
      <w:r w:rsidR="00B71573">
        <w:t>“</w:t>
      </w:r>
      <w:r w:rsidR="00F14F7D" w:rsidRPr="00F14F7D">
        <w:t>analysis of the seller</w:t>
      </w:r>
      <w:r w:rsidR="00B71573">
        <w:t>’</w:t>
      </w:r>
      <w:r w:rsidR="00F14F7D" w:rsidRPr="00F14F7D">
        <w:t>s cost of service</w:t>
      </w:r>
      <w:r w:rsidR="00B71573">
        <w:t>”</w:t>
      </w:r>
      <w:r w:rsidR="00867519">
        <w:t xml:space="preserve"> </w:t>
      </w:r>
      <w:r w:rsidR="00FE27CD">
        <w:t xml:space="preserve">that he discussed above when considering </w:t>
      </w:r>
      <w:r w:rsidR="00061B22">
        <w:t xml:space="preserve">the </w:t>
      </w:r>
      <w:r w:rsidR="00FE27CD">
        <w:t>alleged change in revenue</w:t>
      </w:r>
      <w:r w:rsidR="00711D94">
        <w:t>-</w:t>
      </w:r>
      <w:r w:rsidR="00FE27CD">
        <w:t>requirement</w:t>
      </w:r>
      <w:r w:rsidR="00061B22">
        <w:t xml:space="preserve"> computation methodology</w:t>
      </w:r>
      <w:r w:rsidR="00FE27CD">
        <w:t>.</w:t>
      </w:r>
      <w:r w:rsidR="00867519">
        <w:t xml:space="preserve"> Applying those same meanings</w:t>
      </w:r>
      <w:r w:rsidR="00136B06">
        <w:t xml:space="preserve">, </w:t>
      </w:r>
      <w:r w:rsidR="00867519">
        <w:t xml:space="preserve">the ALJ </w:t>
      </w:r>
      <w:r w:rsidR="00F14F7D">
        <w:t>concludes that the evidence TCMUD 12 offered in attempting to show a change in rate computation methodology was a cost</w:t>
      </w:r>
      <w:r w:rsidR="00B71573">
        <w:t>-</w:t>
      </w:r>
      <w:r w:rsidR="00F14F7D">
        <w:t>of</w:t>
      </w:r>
      <w:r w:rsidR="00B71573">
        <w:t>-</w:t>
      </w:r>
      <w:r w:rsidR="00F14F7D">
        <w:t>service analysis</w:t>
      </w:r>
      <w:r w:rsidR="00867519">
        <w:t xml:space="preserve">, under </w:t>
      </w:r>
      <w:r w:rsidR="00E00651">
        <w:t xml:space="preserve">both (1) </w:t>
      </w:r>
      <w:r w:rsidR="003B7DF4">
        <w:t xml:space="preserve">the common definition of </w:t>
      </w:r>
      <w:r w:rsidR="00B71573">
        <w:t>“</w:t>
      </w:r>
      <w:r w:rsidR="003B7DF4">
        <w:t>analysis</w:t>
      </w:r>
      <w:r w:rsidR="00B71573">
        <w:t>”</w:t>
      </w:r>
      <w:r w:rsidR="003B7DF4">
        <w:t xml:space="preserve"> and the meaning of cost of service that the ALJ derive</w:t>
      </w:r>
      <w:r w:rsidR="00061B22">
        <w:t>d</w:t>
      </w:r>
      <w:r w:rsidR="003B7DF4">
        <w:t xml:space="preserve"> from the</w:t>
      </w:r>
      <w:r w:rsidR="00B71573">
        <w:t xml:space="preserve"> </w:t>
      </w:r>
      <w:r w:rsidR="003B7DF4" w:rsidRPr="00887983">
        <w:t>Cost Of Service Rule</w:t>
      </w:r>
      <w:r w:rsidR="00E00651">
        <w:t xml:space="preserve"> and (2) </w:t>
      </w:r>
      <w:r w:rsidR="00E74A24">
        <w:t xml:space="preserve">the </w:t>
      </w:r>
      <w:r w:rsidR="00F20191">
        <w:t>M1 Manual</w:t>
      </w:r>
      <w:r w:rsidR="00B71573">
        <w:t>’</w:t>
      </w:r>
      <w:r w:rsidR="00E00651">
        <w:t xml:space="preserve">s description of </w:t>
      </w:r>
      <w:r w:rsidR="00E74A24">
        <w:t xml:space="preserve">a </w:t>
      </w:r>
      <w:r w:rsidR="00F20191">
        <w:t>c</w:t>
      </w:r>
      <w:r w:rsidR="00F20191" w:rsidRPr="007A244C">
        <w:t>ost-of-service analysis</w:t>
      </w:r>
      <w:r w:rsidR="00F20191">
        <w:t>.</w:t>
      </w:r>
      <w:r w:rsidR="00F20191" w:rsidRPr="007A244C">
        <w:rPr>
          <w:vertAlign w:val="superscript"/>
        </w:rPr>
        <w:footnoteReference w:id="245"/>
      </w:r>
    </w:p>
    <w:p w:rsidR="00FE27CD" w:rsidRDefault="00FE27CD" w:rsidP="00F20191"/>
    <w:p w:rsidR="00FE27CD" w:rsidRDefault="00FE27CD" w:rsidP="00FE27CD">
      <w:r>
        <w:tab/>
        <w:t>F</w:t>
      </w:r>
      <w:r w:rsidR="00711D94">
        <w:t>ourth</w:t>
      </w:r>
      <w:r>
        <w:t>, as discussed previously, TCMUD 12</w:t>
      </w:r>
      <w:r w:rsidR="00B71573">
        <w:t>’</w:t>
      </w:r>
      <w:r>
        <w:t xml:space="preserve">s narrow </w:t>
      </w:r>
      <w:r w:rsidRPr="001C5340">
        <w:t xml:space="preserve">interpretation of </w:t>
      </w:r>
      <w:r>
        <w:t xml:space="preserve">the </w:t>
      </w:r>
      <w:r w:rsidR="00711D94">
        <w:t xml:space="preserve">ban on considering </w:t>
      </w:r>
      <w:r w:rsidRPr="001C5340">
        <w:t>cost-of-service analys</w:t>
      </w:r>
      <w:r w:rsidR="00E63DF4">
        <w:t>i</w:t>
      </w:r>
      <w:r w:rsidRPr="001C5340">
        <w:t xml:space="preserve">s </w:t>
      </w:r>
      <w:r w:rsidR="00B71573">
        <w:t xml:space="preserve">appears </w:t>
      </w:r>
      <w:r>
        <w:t xml:space="preserve">contrary to </w:t>
      </w:r>
      <w:r w:rsidR="006155DA">
        <w:t xml:space="preserve">the </w:t>
      </w:r>
      <w:r w:rsidR="00711D94">
        <w:t xml:space="preserve">expressed </w:t>
      </w:r>
      <w:r w:rsidR="006155DA">
        <w:t xml:space="preserve">intent </w:t>
      </w:r>
      <w:r w:rsidR="00144DC8">
        <w:t xml:space="preserve">and practice </w:t>
      </w:r>
      <w:r w:rsidR="00711D94">
        <w:t xml:space="preserve">of the </w:t>
      </w:r>
      <w:r w:rsidR="006155DA">
        <w:lastRenderedPageBreak/>
        <w:t>PUC</w:t>
      </w:r>
      <w:r w:rsidR="00B71573">
        <w:t>’</w:t>
      </w:r>
      <w:r w:rsidR="006155DA">
        <w:t>s predecessor agenc</w:t>
      </w:r>
      <w:r w:rsidR="00144DC8">
        <w:t>ies.</w:t>
      </w:r>
      <w:r w:rsidR="00E74A24">
        <w:t xml:space="preserve">  The ALJ assumes the PUC has retained those in the absence of contrary rules, guidance, or precedent.</w:t>
      </w:r>
    </w:p>
    <w:p w:rsidR="00FE27CD" w:rsidRDefault="00FE27CD" w:rsidP="00F20191"/>
    <w:p w:rsidR="00385BC4" w:rsidRDefault="00385BC4" w:rsidP="00385BC4">
      <w:r>
        <w:tab/>
        <w:t>Accordingly, the ALJ concludes that TCMUD 12 has failed to prove that WTCPUA changed its rate computation methodology when it adopted the Protested Rates.</w:t>
      </w:r>
    </w:p>
    <w:p w:rsidR="00801CCF" w:rsidRDefault="00801CCF" w:rsidP="007112AC"/>
    <w:p w:rsidR="00743B97" w:rsidRDefault="007E7ECA" w:rsidP="00E63DF4">
      <w:pPr>
        <w:pStyle w:val="Heading2"/>
        <w:spacing w:line="240" w:lineRule="auto"/>
      </w:pPr>
      <w:bookmarkStart w:id="29" w:name="_Toc431366948"/>
      <w:r>
        <w:t xml:space="preserve">Evidence Does Not Show That </w:t>
      </w:r>
      <w:r w:rsidRPr="007E7ECA">
        <w:t xml:space="preserve">WTCPUA </w:t>
      </w:r>
      <w:r w:rsidR="007C5C42" w:rsidRPr="007E7ECA">
        <w:t xml:space="preserve">Is </w:t>
      </w:r>
      <w:r w:rsidR="000D1829" w:rsidRPr="007E7ECA">
        <w:t xml:space="preserve">a </w:t>
      </w:r>
      <w:r w:rsidR="007C5C42" w:rsidRPr="007E7ECA">
        <w:t>Monopoly</w:t>
      </w:r>
      <w:r w:rsidR="007C5C42">
        <w:t xml:space="preserve"> </w:t>
      </w:r>
      <w:r w:rsidR="000D1829">
        <w:t xml:space="preserve">or </w:t>
      </w:r>
      <w:r w:rsidR="00427589">
        <w:t xml:space="preserve">Has </w:t>
      </w:r>
      <w:r w:rsidR="007C5C42">
        <w:t xml:space="preserve">Abused </w:t>
      </w:r>
      <w:r w:rsidR="000D1829">
        <w:t xml:space="preserve">Any </w:t>
      </w:r>
      <w:r w:rsidR="00427589">
        <w:t>Monopoly Power It Might Have</w:t>
      </w:r>
      <w:bookmarkEnd w:id="29"/>
    </w:p>
    <w:p w:rsidR="007E7ECA" w:rsidRDefault="007E7ECA" w:rsidP="000474AA"/>
    <w:p w:rsidR="007C5C42" w:rsidRDefault="007E7ECA" w:rsidP="000474AA">
      <w:r>
        <w:tab/>
        <w:t>The ALJ does not concl</w:t>
      </w:r>
      <w:r w:rsidR="007C5C42">
        <w:t>ude that WTCPUA is a monopoly.</w:t>
      </w:r>
      <w:r w:rsidR="00984601">
        <w:t xml:space="preserve">  </w:t>
      </w:r>
      <w:r w:rsidR="00C72DF4">
        <w:t xml:space="preserve">If </w:t>
      </w:r>
      <w:r w:rsidR="00984601">
        <w:t xml:space="preserve">the Commission </w:t>
      </w:r>
      <w:r w:rsidR="007B7E54">
        <w:t>find</w:t>
      </w:r>
      <w:r w:rsidR="00C72DF4">
        <w:t>s</w:t>
      </w:r>
      <w:r w:rsidR="007B7E54">
        <w:t xml:space="preserve"> </w:t>
      </w:r>
      <w:r w:rsidR="00984601">
        <w:t xml:space="preserve">otherwise, the ALJ </w:t>
      </w:r>
      <w:r w:rsidR="00322C23">
        <w:t xml:space="preserve">would </w:t>
      </w:r>
      <w:r w:rsidR="00984601">
        <w:t>conclude that WTCPUA has not abuse</w:t>
      </w:r>
      <w:r w:rsidR="00E52552">
        <w:t>d</w:t>
      </w:r>
      <w:r w:rsidR="00984601">
        <w:t xml:space="preserve"> any monopoly power it </w:t>
      </w:r>
      <w:r w:rsidR="000D310F">
        <w:t>has</w:t>
      </w:r>
      <w:r w:rsidR="00984601">
        <w:t>.</w:t>
      </w:r>
    </w:p>
    <w:p w:rsidR="00984601" w:rsidRDefault="00984601" w:rsidP="000474AA"/>
    <w:p w:rsidR="00963A88" w:rsidRDefault="00B512FB" w:rsidP="00B05B4F">
      <w:r>
        <w:tab/>
      </w:r>
      <w:r w:rsidR="00017947">
        <w:t>The Commission</w:t>
      </w:r>
      <w:r w:rsidR="00B71573">
        <w:t>’</w:t>
      </w:r>
      <w:r w:rsidR="00017947">
        <w:t xml:space="preserve">s rules do not specify </w:t>
      </w:r>
      <w:r w:rsidR="00F6207D">
        <w:t xml:space="preserve">or suggest </w:t>
      </w:r>
      <w:r w:rsidR="00017947">
        <w:t xml:space="preserve">what </w:t>
      </w:r>
      <w:r w:rsidR="00F6207D">
        <w:t>the Public Interest Rule means by the phrase</w:t>
      </w:r>
      <w:r w:rsidR="00017947">
        <w:t xml:space="preserve"> </w:t>
      </w:r>
      <w:r w:rsidR="00B71573">
        <w:t>“</w:t>
      </w:r>
      <w:r w:rsidR="00017947">
        <w:t>monopoly</w:t>
      </w:r>
      <w:r w:rsidR="00F6207D">
        <w:t xml:space="preserve"> power.</w:t>
      </w:r>
      <w:r w:rsidR="00B71573">
        <w:t>”</w:t>
      </w:r>
      <w:r w:rsidR="00017947">
        <w:t xml:space="preserve">  This leads </w:t>
      </w:r>
      <w:r w:rsidR="00CC2C4B">
        <w:t xml:space="preserve">the parties to </w:t>
      </w:r>
      <w:r w:rsidR="003829D5">
        <w:t xml:space="preserve">argue about </w:t>
      </w:r>
      <w:r>
        <w:t xml:space="preserve">the </w:t>
      </w:r>
      <w:r w:rsidR="00017947">
        <w:t>meaning</w:t>
      </w:r>
      <w:r>
        <w:t xml:space="preserve"> of the phrase</w:t>
      </w:r>
      <w:r w:rsidR="00F6207D">
        <w:t>.</w:t>
      </w:r>
      <w:r>
        <w:t xml:space="preserve">  </w:t>
      </w:r>
      <w:r w:rsidR="007E7ECA">
        <w:t>TCMUD 12</w:t>
      </w:r>
      <w:r w:rsidR="00B71573">
        <w:t>’</w:t>
      </w:r>
      <w:r w:rsidR="007E7ECA">
        <w:t xml:space="preserve">s expert, Jay Zarnikau, PhD, </w:t>
      </w:r>
      <w:r w:rsidR="00F237B9">
        <w:t xml:space="preserve">is a </w:t>
      </w:r>
      <w:r w:rsidR="007E7ECA">
        <w:t xml:space="preserve">doctor of economics and has extensive experience in utility resource planning and regulation, as a consultant, academic researcher, and </w:t>
      </w:r>
      <w:r w:rsidR="00E74A24">
        <w:t xml:space="preserve">prior </w:t>
      </w:r>
      <w:r w:rsidR="007E7ECA">
        <w:t>director of utility regulation for the Commission.</w:t>
      </w:r>
      <w:r w:rsidR="007E7ECA">
        <w:rPr>
          <w:rStyle w:val="FootnoteReference"/>
        </w:rPr>
        <w:footnoteReference w:id="246"/>
      </w:r>
      <w:r w:rsidR="007C5C42">
        <w:t xml:space="preserve">  </w:t>
      </w:r>
      <w:r w:rsidR="00017947">
        <w:t xml:space="preserve">In his </w:t>
      </w:r>
      <w:r w:rsidR="00963A88">
        <w:t>opinion, WTCPUA is a monopoly.</w:t>
      </w:r>
    </w:p>
    <w:p w:rsidR="00963A88" w:rsidRDefault="00963A88" w:rsidP="00B05B4F"/>
    <w:p w:rsidR="00017947" w:rsidRDefault="00963A88" w:rsidP="00B05B4F">
      <w:r>
        <w:tab/>
        <w:t xml:space="preserve">Dr. Zarnikau </w:t>
      </w:r>
      <w:r w:rsidR="00D12D63">
        <w:t xml:space="preserve">reached that opinion </w:t>
      </w:r>
      <w:r w:rsidR="00F6207D">
        <w:t xml:space="preserve">in </w:t>
      </w:r>
      <w:r w:rsidR="00D12D63">
        <w:t xml:space="preserve">two </w:t>
      </w:r>
      <w:r w:rsidR="00F6207D">
        <w:t>ways</w:t>
      </w:r>
      <w:r w:rsidR="00D12D63">
        <w:t xml:space="preserve">.  First, he notes that the Texas Water Code § 13.001(b) provides that </w:t>
      </w:r>
      <w:r w:rsidR="00B71573">
        <w:t>“</w:t>
      </w:r>
      <w:r w:rsidR="00D12D63" w:rsidRPr="00D12D63">
        <w:rPr>
          <w:b/>
        </w:rPr>
        <w:t>retail</w:t>
      </w:r>
      <w:r w:rsidR="00D12D63">
        <w:t xml:space="preserve"> public utilities are by definition monopolies in the areas they serve.</w:t>
      </w:r>
      <w:r w:rsidR="00B71573">
        <w:t>”</w:t>
      </w:r>
      <w:r w:rsidR="00F237B9">
        <w:rPr>
          <w:rStyle w:val="FootnoteReference"/>
        </w:rPr>
        <w:footnoteReference w:id="247"/>
      </w:r>
      <w:r w:rsidR="00D12D63">
        <w:t xml:space="preserve">  Dr. Zarnikau claims that some of the </w:t>
      </w:r>
      <w:r w:rsidR="00F237B9">
        <w:t xml:space="preserve">Participants </w:t>
      </w:r>
      <w:r w:rsidR="00D12D63">
        <w:t>in WTCPUA</w:t>
      </w:r>
      <w:r w:rsidR="00F24790">
        <w:t>—Bee Cave, Hays County, and District 5—a</w:t>
      </w:r>
      <w:r w:rsidR="00D12D63">
        <w:t xml:space="preserve">re </w:t>
      </w:r>
      <w:r w:rsidR="009C2EF3">
        <w:t xml:space="preserve">retail public utilities; hence, </w:t>
      </w:r>
      <w:r w:rsidR="00F6207D">
        <w:t xml:space="preserve">he concludes </w:t>
      </w:r>
      <w:r w:rsidR="009C2EF3">
        <w:t>WTCPUA is a retail public utility</w:t>
      </w:r>
      <w:r>
        <w:t xml:space="preserve"> because it serves the area that include</w:t>
      </w:r>
      <w:r w:rsidR="00F24790">
        <w:t>s</w:t>
      </w:r>
      <w:r>
        <w:t xml:space="preserve"> TCMUD 12</w:t>
      </w:r>
      <w:r w:rsidR="009C2EF3">
        <w:t>.</w:t>
      </w:r>
      <w:r>
        <w:rPr>
          <w:rStyle w:val="FootnoteReference"/>
        </w:rPr>
        <w:footnoteReference w:id="248"/>
      </w:r>
      <w:r w:rsidR="009C2EF3">
        <w:t xml:space="preserve">  In post-hearing brief</w:t>
      </w:r>
      <w:r w:rsidR="00C26C1A">
        <w:t>s</w:t>
      </w:r>
      <w:r w:rsidR="009C2EF3">
        <w:t xml:space="preserve">, TCMUD 12 and the </w:t>
      </w:r>
      <w:r w:rsidR="00C26C1A">
        <w:t xml:space="preserve">Staff similarly argue that WTCPUA is a </w:t>
      </w:r>
      <w:r w:rsidR="00C26C1A" w:rsidRPr="00F24790">
        <w:rPr>
          <w:b/>
        </w:rPr>
        <w:t>wholesale</w:t>
      </w:r>
      <w:r w:rsidR="00C26C1A">
        <w:t xml:space="preserve"> monopoly because it is a </w:t>
      </w:r>
      <w:r w:rsidR="00C26C1A" w:rsidRPr="00F24790">
        <w:rPr>
          <w:b/>
        </w:rPr>
        <w:t>retail</w:t>
      </w:r>
      <w:r w:rsidR="00C26C1A">
        <w:t xml:space="preserve"> public utility, which </w:t>
      </w:r>
      <w:r>
        <w:t xml:space="preserve">by definition </w:t>
      </w:r>
      <w:r w:rsidR="00F24790">
        <w:t xml:space="preserve">is </w:t>
      </w:r>
      <w:r w:rsidR="00C26C1A">
        <w:t xml:space="preserve">a monopoly.  The ALJ will skip the details of these arguments.  </w:t>
      </w:r>
      <w:r w:rsidR="00C60338">
        <w:t>Even assuming for the sake of argument that WTCPUA is a monopoly</w:t>
      </w:r>
      <w:r w:rsidR="00E63DF4">
        <w:t xml:space="preserve"> in its </w:t>
      </w:r>
      <w:r w:rsidR="00E63DF4">
        <w:lastRenderedPageBreak/>
        <w:t>provision of water to retail customers, it does not follow that WTCPUA is also a monopoly in its treatment of water for wholesale customers.</w:t>
      </w:r>
    </w:p>
    <w:p w:rsidR="00017947" w:rsidRDefault="00017947" w:rsidP="00B05B4F"/>
    <w:p w:rsidR="00B05B4F" w:rsidRDefault="00C26C1A" w:rsidP="00B05B4F">
      <w:r>
        <w:tab/>
        <w:t xml:space="preserve">Second, </w:t>
      </w:r>
      <w:r w:rsidR="00F1104A">
        <w:t>in Dr. Zarnikau</w:t>
      </w:r>
      <w:r w:rsidR="00B71573">
        <w:t>’</w:t>
      </w:r>
      <w:r w:rsidR="00F1104A">
        <w:t>s opinion, WTCPUA, Bee Cave, Hays County, and District 5 operate as a monopoly because (1) they are operating in concert, (2) they are the only providers of wholesale water services within TCMUD 12</w:t>
      </w:r>
      <w:r w:rsidR="00E74A24">
        <w:t>’s</w:t>
      </w:r>
      <w:r w:rsidR="00F1104A">
        <w:t xml:space="preserve"> retail service area, (3) there are formidable barriers to other suppliers entering the field to serve TCMUD 12, and (4) building a new system to serve TCMUD 12 would be prohibitively expensive.</w:t>
      </w:r>
      <w:r w:rsidR="00F1104A">
        <w:rPr>
          <w:rStyle w:val="FootnoteReference"/>
        </w:rPr>
        <w:footnoteReference w:id="249"/>
      </w:r>
      <w:r w:rsidR="009832B3">
        <w:t xml:space="preserve">  </w:t>
      </w:r>
      <w:r w:rsidR="00D60039">
        <w:t xml:space="preserve">Dr. Zarnikau </w:t>
      </w:r>
      <w:r w:rsidR="00F1104A">
        <w:t xml:space="preserve">bases his opinion </w:t>
      </w:r>
      <w:r w:rsidR="00D60039">
        <w:t xml:space="preserve">on economics literature </w:t>
      </w:r>
      <w:r w:rsidR="00F1104A">
        <w:t xml:space="preserve">defining </w:t>
      </w:r>
      <w:r w:rsidR="00D60039">
        <w:t xml:space="preserve">monopoly </w:t>
      </w:r>
      <w:r w:rsidR="00F1104A">
        <w:t>as</w:t>
      </w:r>
      <w:r w:rsidR="00D60039">
        <w:t xml:space="preserve"> a market structure </w:t>
      </w:r>
      <w:r w:rsidR="006B7FBA">
        <w:t xml:space="preserve">in </w:t>
      </w:r>
      <w:r w:rsidR="00D60039">
        <w:t>which one producer, or a group acting in concert, exercises exclusive control over all, or nearly all</w:t>
      </w:r>
      <w:r w:rsidR="00F1104A">
        <w:t xml:space="preserve">, </w:t>
      </w:r>
      <w:r w:rsidR="00D60039">
        <w:t xml:space="preserve">of a supply of goods or services in a certain area or market </w:t>
      </w:r>
      <w:r w:rsidR="00F1104A">
        <w:t xml:space="preserve">to which </w:t>
      </w:r>
      <w:r w:rsidR="00D60039">
        <w:t>there are formidable barriers to entry.</w:t>
      </w:r>
      <w:r w:rsidR="00843332">
        <w:rPr>
          <w:rStyle w:val="FootnoteReference"/>
        </w:rPr>
        <w:footnoteReference w:id="250"/>
      </w:r>
      <w:r w:rsidR="00D60039">
        <w:t xml:space="preserve">  He also testified that antitrust law and courts in the United States h</w:t>
      </w:r>
      <w:r w:rsidR="00E63DF4">
        <w:t>ave</w:t>
      </w:r>
      <w:r w:rsidR="00D60039">
        <w:t xml:space="preserve"> developed a much lower standard to classify a market structure as a monopoly and that in modern economics literature a </w:t>
      </w:r>
      <w:r w:rsidR="009832B3">
        <w:t xml:space="preserve">dominant firm is a </w:t>
      </w:r>
      <w:r w:rsidR="00D60039">
        <w:t>monopolist.</w:t>
      </w:r>
      <w:r w:rsidR="00427589">
        <w:rPr>
          <w:rStyle w:val="FootnoteReference"/>
        </w:rPr>
        <w:footnoteReference w:id="251"/>
      </w:r>
      <w:r w:rsidR="00843332">
        <w:t xml:space="preserve">  </w:t>
      </w:r>
      <w:r w:rsidR="00843332" w:rsidRPr="00843332">
        <w:t xml:space="preserve">Antitrust cases often result in a court considering a 70% market share sufficient to establish a </w:t>
      </w:r>
      <w:r w:rsidR="00843332" w:rsidRPr="00843332">
        <w:rPr>
          <w:i/>
        </w:rPr>
        <w:t>prima facie</w:t>
      </w:r>
      <w:r w:rsidR="00843332" w:rsidRPr="00843332">
        <w:t xml:space="preserve"> case of monopoly power, even if there are some smaller </w:t>
      </w:r>
      <w:r w:rsidR="00B71573">
        <w:t>“</w:t>
      </w:r>
      <w:r w:rsidR="00843332" w:rsidRPr="00843332">
        <w:t>fringe</w:t>
      </w:r>
      <w:r w:rsidR="00B71573">
        <w:t>”</w:t>
      </w:r>
      <w:r w:rsidR="00843332" w:rsidRPr="00843332">
        <w:t xml:space="preserve"> suppliers with a significant ma</w:t>
      </w:r>
      <w:r w:rsidR="00843332">
        <w:t>rket share in the same market.</w:t>
      </w:r>
      <w:r w:rsidR="00427589">
        <w:rPr>
          <w:rStyle w:val="FootnoteReference"/>
        </w:rPr>
        <w:footnoteReference w:id="252"/>
      </w:r>
      <w:r w:rsidR="00963A88">
        <w:t xml:space="preserve">  According to Dr.</w:t>
      </w:r>
      <w:r w:rsidR="00D64F92">
        <w:t> </w:t>
      </w:r>
      <w:r w:rsidR="00963A88">
        <w:t>Zarnikau, WTCPUA i</w:t>
      </w:r>
      <w:r w:rsidR="009F5CA1">
        <w:t>s a monopolist under both the dominant-firm and the one-firm, one-group methods of analysis</w:t>
      </w:r>
      <w:r w:rsidR="00155CD1">
        <w:t>.</w:t>
      </w:r>
      <w:r w:rsidR="005D3EC4">
        <w:rPr>
          <w:rStyle w:val="FootnoteReference"/>
        </w:rPr>
        <w:footnoteReference w:id="253"/>
      </w:r>
    </w:p>
    <w:p w:rsidR="00B95DF8" w:rsidRDefault="00B95DF8" w:rsidP="00B05B4F"/>
    <w:p w:rsidR="00D60039" w:rsidRDefault="00D60039" w:rsidP="00D60039">
      <w:r>
        <w:tab/>
        <w:t>WTCPUA</w:t>
      </w:r>
      <w:r w:rsidR="00B71573">
        <w:t>’</w:t>
      </w:r>
      <w:r>
        <w:t>s economic expert</w:t>
      </w:r>
      <w:r w:rsidR="00984601">
        <w:t xml:space="preserve">, </w:t>
      </w:r>
      <w:r>
        <w:t xml:space="preserve">Richard A. Baudino, </w:t>
      </w:r>
      <w:r w:rsidR="00984601">
        <w:t>disagrees with Dr. Zarnikau</w:t>
      </w:r>
      <w:r w:rsidR="00155CD1">
        <w:t xml:space="preserve"> and concludes that WTCPUA is not a monopolist</w:t>
      </w:r>
      <w:r w:rsidR="00984601">
        <w:t xml:space="preserve">.  Mr. Baudino </w:t>
      </w:r>
      <w:r>
        <w:t>holds bachelor and master degrees in economics</w:t>
      </w:r>
      <w:r w:rsidR="00736EC1">
        <w:t xml:space="preserve"> and </w:t>
      </w:r>
      <w:r>
        <w:t>works as an economic consultant specializing in utility ratemaking and planning issues.</w:t>
      </w:r>
      <w:r w:rsidR="00736EC1">
        <w:rPr>
          <w:rStyle w:val="FootnoteReference"/>
        </w:rPr>
        <w:footnoteReference w:id="254"/>
      </w:r>
      <w:r>
        <w:t xml:space="preserve">  </w:t>
      </w:r>
      <w:r w:rsidR="00E74A24">
        <w:t xml:space="preserve">Based </w:t>
      </w:r>
      <w:r w:rsidR="00DB7919">
        <w:t xml:space="preserve">in part on an economics textbook used in many universities, </w:t>
      </w:r>
      <w:r w:rsidR="00E74A24">
        <w:t>Mr.</w:t>
      </w:r>
      <w:r w:rsidR="00B87A43">
        <w:t> </w:t>
      </w:r>
      <w:r w:rsidR="00E74A24">
        <w:t xml:space="preserve">Baudino advocates a one-firm, one-group definition of monopolist </w:t>
      </w:r>
      <w:r w:rsidR="004C395A">
        <w:t>that i</w:t>
      </w:r>
      <w:r w:rsidR="00B87A43">
        <w:t>s</w:t>
      </w:r>
      <w:r w:rsidR="004C395A">
        <w:t xml:space="preserve"> more stringent </w:t>
      </w:r>
      <w:r w:rsidR="00155CD1">
        <w:lastRenderedPageBreak/>
        <w:t xml:space="preserve">than </w:t>
      </w:r>
      <w:r w:rsidR="004C395A">
        <w:t xml:space="preserve">the </w:t>
      </w:r>
      <w:r w:rsidR="0019669E">
        <w:t xml:space="preserve">“modern” </w:t>
      </w:r>
      <w:r w:rsidR="004C395A">
        <w:t xml:space="preserve">one </w:t>
      </w:r>
      <w:r w:rsidR="0019669E">
        <w:t xml:space="preserve">about which </w:t>
      </w:r>
      <w:r w:rsidR="004C395A">
        <w:t>Dr. Zarnikau</w:t>
      </w:r>
      <w:r w:rsidR="0019669E">
        <w:t xml:space="preserve"> testified</w:t>
      </w:r>
      <w:r w:rsidR="004C395A">
        <w:t>.</w:t>
      </w:r>
      <w:r w:rsidR="00DB7919">
        <w:rPr>
          <w:rStyle w:val="FootnoteReference"/>
        </w:rPr>
        <w:footnoteReference w:id="255"/>
      </w:r>
      <w:r w:rsidR="004C395A">
        <w:t xml:space="preserve">  </w:t>
      </w:r>
      <w:r>
        <w:t>He testified</w:t>
      </w:r>
      <w:r w:rsidR="00DB7919">
        <w:t xml:space="preserve"> </w:t>
      </w:r>
      <w:r>
        <w:t>that WTCPUA is not a monopoly</w:t>
      </w:r>
      <w:r w:rsidR="004C395A">
        <w:t xml:space="preserve"> because (1) it is not TCMUD 12</w:t>
      </w:r>
      <w:r w:rsidR="00B71573">
        <w:t>’</w:t>
      </w:r>
      <w:r w:rsidR="004C395A">
        <w:t xml:space="preserve">s only option for water treatment services, (2) </w:t>
      </w:r>
      <w:r w:rsidR="00EF407D">
        <w:t>it</w:t>
      </w:r>
      <w:r w:rsidR="004C395A">
        <w:t xml:space="preserve"> does not have complete control over prices and quantities of services, (3) TCMUD 12 has </w:t>
      </w:r>
      <w:r w:rsidR="00EF407D">
        <w:t xml:space="preserve">and has </w:t>
      </w:r>
      <w:r w:rsidR="004C395A">
        <w:t>had substantial bargaining power, and (4) high costs of entry do not necessarily suggest a monopoly market.</w:t>
      </w:r>
      <w:r w:rsidR="00DB7919">
        <w:rPr>
          <w:rStyle w:val="FootnoteReference"/>
        </w:rPr>
        <w:footnoteReference w:id="256"/>
      </w:r>
    </w:p>
    <w:p w:rsidR="00D60039" w:rsidRDefault="00D60039" w:rsidP="000474AA"/>
    <w:p w:rsidR="00155CD1" w:rsidRDefault="00B05B4F" w:rsidP="000474AA">
      <w:r>
        <w:tab/>
      </w:r>
      <w:r w:rsidR="00CC2C4B">
        <w:t xml:space="preserve">The </w:t>
      </w:r>
      <w:r w:rsidR="00155CD1">
        <w:t xml:space="preserve">ALJ does not believe that the </w:t>
      </w:r>
      <w:r w:rsidR="00CC2C4B">
        <w:t xml:space="preserve">Commission </w:t>
      </w:r>
      <w:r w:rsidR="00EF407D">
        <w:t xml:space="preserve">must </w:t>
      </w:r>
      <w:r w:rsidR="00CC2C4B">
        <w:t xml:space="preserve">choose </w:t>
      </w:r>
      <w:r w:rsidR="00155CD1">
        <w:t xml:space="preserve">in this case between the dominant-firm and the one-firm, one-group </w:t>
      </w:r>
      <w:r w:rsidR="00EF407D">
        <w:t>definitions of monopoly</w:t>
      </w:r>
      <w:r w:rsidR="00155CD1">
        <w:t>.</w:t>
      </w:r>
      <w:r w:rsidR="003829D5">
        <w:t xml:space="preserve">  Either way, the ALJ does not conclude that WTCPUA is a monopoly.  </w:t>
      </w:r>
    </w:p>
    <w:p w:rsidR="00155CD1" w:rsidRDefault="00155CD1" w:rsidP="000474AA"/>
    <w:p w:rsidR="001D2301" w:rsidRDefault="00155CD1" w:rsidP="000474AA">
      <w:r>
        <w:tab/>
        <w:t>T</w:t>
      </w:r>
      <w:r w:rsidR="00BB7ABF">
        <w:t xml:space="preserve">o reach his opinion that WTCPUA is a monopoly, Dr. Zarnikau </w:t>
      </w:r>
      <w:r w:rsidR="009B78C2">
        <w:t xml:space="preserve">chiefly </w:t>
      </w:r>
      <w:r w:rsidR="00BB7ABF">
        <w:t xml:space="preserve">relied on two opinions of Mr. </w:t>
      </w:r>
      <w:r w:rsidR="000D4FF9">
        <w:t>DiQuinzio</w:t>
      </w:r>
      <w:r w:rsidR="00BB7ABF">
        <w:t>: (1) WTCPUA exercises sole control over the supply of water services, and (2) there is no practical alternative to using its system because a substitute system would be prohibitively expensive.</w:t>
      </w:r>
      <w:r w:rsidR="00BB7ABF">
        <w:rPr>
          <w:rStyle w:val="FootnoteReference"/>
        </w:rPr>
        <w:footnoteReference w:id="257"/>
      </w:r>
      <w:r w:rsidR="00FC0C69">
        <w:t xml:space="preserve">  </w:t>
      </w:r>
      <w:r w:rsidR="009B78C2">
        <w:t>Under the Public Interest Rule</w:t>
      </w:r>
      <w:r w:rsidR="00B95DF8">
        <w:t xml:space="preserve">, those </w:t>
      </w:r>
      <w:r w:rsidR="001B72EB">
        <w:t>facts</w:t>
      </w:r>
      <w:r w:rsidR="009B78C2">
        <w:t xml:space="preserve">, if true, </w:t>
      </w:r>
      <w:r w:rsidR="00B95DF8">
        <w:t xml:space="preserve">would indicate that WTCPUA has disparately greater </w:t>
      </w:r>
      <w:r w:rsidR="00B95DF8" w:rsidRPr="00B95DF8">
        <w:t xml:space="preserve">bargaining power </w:t>
      </w:r>
      <w:r w:rsidR="00B95DF8">
        <w:t xml:space="preserve">than </w:t>
      </w:r>
      <w:r w:rsidR="001D2301">
        <w:t xml:space="preserve">TCMUD 12 </w:t>
      </w:r>
      <w:r w:rsidR="0052270B">
        <w:t xml:space="preserve">and </w:t>
      </w:r>
      <w:r w:rsidR="001D2301">
        <w:t xml:space="preserve">suggest </w:t>
      </w:r>
      <w:r w:rsidR="009B78C2">
        <w:t xml:space="preserve">that it has </w:t>
      </w:r>
      <w:r w:rsidR="001D2301">
        <w:t>monopoly power.</w:t>
      </w:r>
      <w:r w:rsidR="001D2301">
        <w:rPr>
          <w:rStyle w:val="FootnoteReference"/>
        </w:rPr>
        <w:footnoteReference w:id="258"/>
      </w:r>
    </w:p>
    <w:p w:rsidR="00B95DF8" w:rsidRDefault="00B95DF8" w:rsidP="000474AA"/>
    <w:p w:rsidR="009B78C2" w:rsidRDefault="00D47C82" w:rsidP="000474AA">
      <w:r>
        <w:tab/>
      </w:r>
      <w:r w:rsidR="003E4BE5">
        <w:t xml:space="preserve">As discussed above, </w:t>
      </w:r>
      <w:r w:rsidR="00FC0C69">
        <w:t xml:space="preserve">however, </w:t>
      </w:r>
      <w:r w:rsidR="00427589">
        <w:t xml:space="preserve">the evidence shows that TCMUD 12 is not legally or contractually prohibited from </w:t>
      </w:r>
      <w:r>
        <w:t>prov</w:t>
      </w:r>
      <w:r w:rsidR="001B72EB">
        <w:t>id</w:t>
      </w:r>
      <w:r>
        <w:t>ing i</w:t>
      </w:r>
      <w:r w:rsidR="00427589">
        <w:t>tself</w:t>
      </w:r>
      <w:r>
        <w:t xml:space="preserve"> with water treatment services</w:t>
      </w:r>
      <w:r w:rsidR="00BB7ABF">
        <w:t xml:space="preserve">.  </w:t>
      </w:r>
      <w:r w:rsidR="00E52552">
        <w:t>To the contrary, a</w:t>
      </w:r>
      <w:r w:rsidR="00E52552" w:rsidRPr="00AE2603">
        <w:t xml:space="preserve">s a municipal utility district, TCMUD 12 has the statutory authority to construct and operate </w:t>
      </w:r>
      <w:r w:rsidR="001A73D4">
        <w:t xml:space="preserve">its own </w:t>
      </w:r>
      <w:r w:rsidR="00E52552" w:rsidRPr="00AE2603">
        <w:t>water treatment facilities.</w:t>
      </w:r>
      <w:r w:rsidR="00E52552" w:rsidRPr="00AE2603">
        <w:rPr>
          <w:vertAlign w:val="superscript"/>
        </w:rPr>
        <w:footnoteReference w:id="259"/>
      </w:r>
      <w:r w:rsidR="00E52552" w:rsidRPr="00AE2603">
        <w:t xml:space="preserve">  </w:t>
      </w:r>
      <w:r w:rsidR="00BB7ABF">
        <w:t xml:space="preserve">Thus, the evidence does not show that there is a </w:t>
      </w:r>
      <w:r w:rsidR="001A73D4">
        <w:t xml:space="preserve">legal </w:t>
      </w:r>
      <w:r w:rsidR="00BB7ABF">
        <w:t xml:space="preserve">barrier to </w:t>
      </w:r>
      <w:r>
        <w:t>TCMUD 12</w:t>
      </w:r>
      <w:r w:rsidR="00B71573">
        <w:t>’</w:t>
      </w:r>
      <w:r>
        <w:t xml:space="preserve">s </w:t>
      </w:r>
      <w:r w:rsidR="00BB7ABF">
        <w:t>entry</w:t>
      </w:r>
      <w:r w:rsidR="003829D5">
        <w:t xml:space="preserve"> into the field to provide itself with water treatment service.</w:t>
      </w:r>
      <w:r w:rsidR="00BB7ABF">
        <w:t xml:space="preserve">  </w:t>
      </w:r>
      <w:r w:rsidR="00E52552">
        <w:t>Accordingly, WTCPUA does not exercise sole control over the market</w:t>
      </w:r>
      <w:r w:rsidR="009B78C2">
        <w:t xml:space="preserve"> for water treatment services.</w:t>
      </w:r>
    </w:p>
    <w:p w:rsidR="009B78C2" w:rsidRDefault="009B78C2" w:rsidP="000474AA"/>
    <w:p w:rsidR="00427589" w:rsidRDefault="009B78C2" w:rsidP="000474AA">
      <w:r>
        <w:tab/>
      </w:r>
      <w:r w:rsidR="00BB7ABF">
        <w:t xml:space="preserve">Moreover, </w:t>
      </w:r>
      <w:r w:rsidR="00427589">
        <w:t xml:space="preserve">TCMUD 12 failed to prove that building its own facilities to serve itself was or is prohibitively expensive.  </w:t>
      </w:r>
      <w:r w:rsidR="00E52552">
        <w:t>As discussed above, t</w:t>
      </w:r>
      <w:r w:rsidR="00427589">
        <w:t xml:space="preserve">he evidence </w:t>
      </w:r>
      <w:r w:rsidR="00E52552">
        <w:t xml:space="preserve">TCMUD 12 offered and pointed </w:t>
      </w:r>
      <w:r w:rsidR="00E52552">
        <w:lastRenderedPageBreak/>
        <w:t xml:space="preserve">to </w:t>
      </w:r>
      <w:r w:rsidR="00D47C82">
        <w:t>concerning th</w:t>
      </w:r>
      <w:r w:rsidR="00E52552">
        <w:t xml:space="preserve">e cost to construct its own facilities </w:t>
      </w:r>
      <w:r w:rsidR="00427589">
        <w:t xml:space="preserve">was so </w:t>
      </w:r>
      <w:r w:rsidR="00427589" w:rsidRPr="003E4BE5">
        <w:t>fragmentary</w:t>
      </w:r>
      <w:r w:rsidR="00427589">
        <w:t xml:space="preserve"> and </w:t>
      </w:r>
      <w:r w:rsidR="00427589" w:rsidRPr="003E4BE5">
        <w:t xml:space="preserve">unsupported </w:t>
      </w:r>
      <w:r w:rsidR="00427589">
        <w:t>that the ALJ assigned no evidentiary weight to it</w:t>
      </w:r>
      <w:r w:rsidR="00BB7ABF">
        <w:t xml:space="preserve">.  Further, the </w:t>
      </w:r>
      <w:r w:rsidR="00427589">
        <w:t xml:space="preserve">ALJ found that </w:t>
      </w:r>
      <w:r w:rsidR="00427589" w:rsidRPr="003E4BE5">
        <w:t>no expert, including Dr.</w:t>
      </w:r>
      <w:r w:rsidR="001A73D4">
        <w:t> </w:t>
      </w:r>
      <w:r w:rsidR="00427589" w:rsidRPr="003E4BE5">
        <w:t>Zarnikau, could reasonably rely on such a manifestly unreliable estimate</w:t>
      </w:r>
      <w:r w:rsidR="00D64F92">
        <w:t xml:space="preserve">.  </w:t>
      </w:r>
      <w:r w:rsidR="00427589">
        <w:t xml:space="preserve">Accordingly, </w:t>
      </w:r>
      <w:r w:rsidR="00FC0C69">
        <w:t xml:space="preserve">because </w:t>
      </w:r>
      <w:r w:rsidR="00427589">
        <w:t xml:space="preserve">Dr. </w:t>
      </w:r>
      <w:r w:rsidR="001B72EB">
        <w:t>Zarnikau’</w:t>
      </w:r>
      <w:r w:rsidR="000D4FF9">
        <w:t>s</w:t>
      </w:r>
      <w:r w:rsidR="00427589">
        <w:t xml:space="preserve"> opinion that WTCPUA </w:t>
      </w:r>
      <w:r w:rsidR="00FC0C69">
        <w:t xml:space="preserve">is a monopoly is built on two key premises not supported by the </w:t>
      </w:r>
      <w:r>
        <w:t>evidence</w:t>
      </w:r>
      <w:r w:rsidR="00FC0C69">
        <w:t xml:space="preserve">, the ALJ assigns </w:t>
      </w:r>
      <w:r w:rsidR="001A73D4">
        <w:t xml:space="preserve">little </w:t>
      </w:r>
      <w:r w:rsidR="00FC0C69">
        <w:t xml:space="preserve">evidentiary weight to Dr. </w:t>
      </w:r>
      <w:r w:rsidR="000D4FF9">
        <w:t>Zarnikau’s</w:t>
      </w:r>
      <w:r w:rsidR="00FC0C69">
        <w:t xml:space="preserve"> opinion that WTCPUA is a monopoly.</w:t>
      </w:r>
    </w:p>
    <w:p w:rsidR="008017E2" w:rsidRDefault="008017E2" w:rsidP="00CE056B"/>
    <w:p w:rsidR="00AA7C08" w:rsidRDefault="00AA7C08" w:rsidP="00AA7C08">
      <w:r>
        <w:tab/>
      </w:r>
      <w:r w:rsidR="007422E6">
        <w:t>Moreover, e</w:t>
      </w:r>
      <w:r>
        <w:t xml:space="preserve">ven assuming, for the sake of argument, that WTCPUA is a monopoly, the evidence does not show that WTCPUA abused monopoly power it might have in providing water service to TCMUD 12.  As already discussed, the Protested Rates about which TCMUD </w:t>
      </w:r>
      <w:r w:rsidR="00141357">
        <w:t xml:space="preserve">12 </w:t>
      </w:r>
      <w:r>
        <w:t xml:space="preserve">complains are actually lower than the Prior Rates it paid WTCPUA.  </w:t>
      </w:r>
      <w:r w:rsidRPr="0059421B">
        <w:t>TCMUD 12</w:t>
      </w:r>
      <w:r>
        <w:t>’</w:t>
      </w:r>
      <w:r w:rsidRPr="0059421B">
        <w:t xml:space="preserve">s </w:t>
      </w:r>
      <w:r>
        <w:t>monthly charge</w:t>
      </w:r>
      <w:r w:rsidRPr="0059421B">
        <w:t xml:space="preserve"> </w:t>
      </w:r>
      <w:r w:rsidRPr="001556AD">
        <w:t>decreased</w:t>
      </w:r>
      <w:r w:rsidRPr="0059421B">
        <w:t xml:space="preserve"> from $10,891.65 to $8,140.89</w:t>
      </w:r>
      <w:r w:rsidR="00141357">
        <w:t>,</w:t>
      </w:r>
      <w:r w:rsidRPr="0059421B">
        <w:t xml:space="preserve"> and </w:t>
      </w:r>
      <w:r>
        <w:t xml:space="preserve">its </w:t>
      </w:r>
      <w:r w:rsidR="00141357">
        <w:t xml:space="preserve">volumetric </w:t>
      </w:r>
      <w:r>
        <w:t>rate</w:t>
      </w:r>
      <w:r w:rsidRPr="0059421B">
        <w:t xml:space="preserve"> decreased from $2.77 to $2.11 per 1,000 gallons.</w:t>
      </w:r>
      <w:r w:rsidRPr="0059421B">
        <w:rPr>
          <w:vertAlign w:val="superscript"/>
        </w:rPr>
        <w:footnoteReference w:id="260"/>
      </w:r>
      <w:r>
        <w:t xml:space="preserve">  </w:t>
      </w:r>
      <w:r w:rsidR="007422E6">
        <w:t>The Protested Rates are even lower than the Initial Rates that TCMUD 12 agreed to pay in the 2009 Water Services Agreement</w:t>
      </w:r>
      <w:r w:rsidR="0086366A">
        <w:t>, a monthly charge of $9,430 and a volumetric rate of $2.40 per 1,000 gallons.</w:t>
      </w:r>
      <w:r w:rsidR="0086366A">
        <w:rPr>
          <w:rStyle w:val="FootnoteReference"/>
        </w:rPr>
        <w:footnoteReference w:id="261"/>
      </w:r>
      <w:r w:rsidR="0086366A">
        <w:t xml:space="preserve">  </w:t>
      </w:r>
      <w:r>
        <w:t xml:space="preserve">The ALJ concludes that </w:t>
      </w:r>
      <w:r w:rsidR="001B72EB">
        <w:t xml:space="preserve">WTCPUA’s </w:t>
      </w:r>
      <w:r>
        <w:t xml:space="preserve">lowering </w:t>
      </w:r>
      <w:r w:rsidR="0086366A">
        <w:t xml:space="preserve">of </w:t>
      </w:r>
      <w:r>
        <w:t xml:space="preserve">rates </w:t>
      </w:r>
      <w:r w:rsidR="00141357">
        <w:t xml:space="preserve">indicates </w:t>
      </w:r>
      <w:r>
        <w:t>a</w:t>
      </w:r>
      <w:r w:rsidR="0086366A">
        <w:t xml:space="preserve">n absence </w:t>
      </w:r>
      <w:r>
        <w:t>of abuse</w:t>
      </w:r>
      <w:r w:rsidR="001B72EB">
        <w:t xml:space="preserve"> of power over TCMUD 12</w:t>
      </w:r>
      <w:r>
        <w:t>.</w:t>
      </w:r>
    </w:p>
    <w:p w:rsidR="00AA7C08" w:rsidRDefault="00AA7C08" w:rsidP="00AA7C08"/>
    <w:p w:rsidR="00AA7C08" w:rsidRDefault="00AA7C08" w:rsidP="00AA7C08">
      <w:r>
        <w:tab/>
        <w:t>Despite that, TCMUD 12 claims that WTCPUA abused its monopoly power by changing its rate computation methodology in a way that will require TCMUD 12 to pay higher rates in the future.  There are two fundamental defects in this argument.  First, future rates are not at issue in this case and arguments concerning them are speculative.  Any p</w:t>
      </w:r>
      <w:r w:rsidR="00141357">
        <w:t xml:space="preserve">lan that WTCPUA might have for its </w:t>
      </w:r>
      <w:r>
        <w:t xml:space="preserve">rates </w:t>
      </w:r>
      <w:r w:rsidR="00141357">
        <w:t xml:space="preserve">in the future </w:t>
      </w:r>
      <w:r>
        <w:t>could change.</w:t>
      </w:r>
    </w:p>
    <w:p w:rsidR="00AA7C08" w:rsidRDefault="00AA7C08" w:rsidP="00AA7C08"/>
    <w:p w:rsidR="00AA7C08" w:rsidRDefault="00AA7C08" w:rsidP="00AA7C08">
      <w:r>
        <w:tab/>
        <w:t>Second, as discusse</w:t>
      </w:r>
      <w:r w:rsidR="00433120">
        <w:t xml:space="preserve">d at length above, TCMUD 12 </w:t>
      </w:r>
      <w:r>
        <w:t>failed to prove that WTCPUA changed its rate</w:t>
      </w:r>
      <w:r w:rsidR="00433120">
        <w:t>-</w:t>
      </w:r>
      <w:r>
        <w:t>computation methodolog</w:t>
      </w:r>
      <w:r w:rsidR="00433120">
        <w:t>ies</w:t>
      </w:r>
      <w:r>
        <w:t xml:space="preserve">.  </w:t>
      </w:r>
      <w:r w:rsidR="00B2398C">
        <w:t xml:space="preserve">Attempting to show </w:t>
      </w:r>
      <w:r w:rsidR="00433120">
        <w:t xml:space="preserve">the </w:t>
      </w:r>
      <w:r w:rsidR="00B2398C">
        <w:t xml:space="preserve">methodologies had been changed, TCMUD 12 offered </w:t>
      </w:r>
      <w:r>
        <w:t>cost-of-service analys</w:t>
      </w:r>
      <w:r w:rsidR="00B2398C">
        <w:t>es</w:t>
      </w:r>
      <w:r>
        <w:t xml:space="preserve"> that may not be considered in this public</w:t>
      </w:r>
      <w:r w:rsidR="00C6101F">
        <w:t xml:space="preserve"> </w:t>
      </w:r>
      <w:r>
        <w:t>interest phase of the case.  Further, TCMUD 12’s expansive concept of rate</w:t>
      </w:r>
      <w:r w:rsidR="00433120">
        <w:t>-</w:t>
      </w:r>
      <w:r>
        <w:t xml:space="preserve">computation methodology is not rooted in the Commission’s rules or the M1 Manual and conflicts with the expressed intent of </w:t>
      </w:r>
      <w:r>
        <w:lastRenderedPageBreak/>
        <w:t xml:space="preserve">the PUC’s predecessor agency, TNRCC, in adopting the </w:t>
      </w:r>
      <w:r w:rsidR="00433120">
        <w:t xml:space="preserve">original </w:t>
      </w:r>
      <w:r>
        <w:t xml:space="preserve">Public Interest Rule, which intent the ALJ assumes the PUC has </w:t>
      </w:r>
      <w:r w:rsidR="00433120">
        <w:t>not changed</w:t>
      </w:r>
      <w:r>
        <w:t>.  TNRCC favored a conservative approach that deferred to contractual agreements for wholesale serv</w:t>
      </w:r>
      <w:r w:rsidR="00D420BB">
        <w:t>ic</w:t>
      </w:r>
      <w:r>
        <w:t>e and did not automatically cancel rates set by contract.</w:t>
      </w:r>
    </w:p>
    <w:p w:rsidR="00AA7C08" w:rsidRDefault="00AA7C08" w:rsidP="00AA7C08"/>
    <w:p w:rsidR="00162360" w:rsidRDefault="00060AC9" w:rsidP="002262AB">
      <w:pPr>
        <w:pStyle w:val="Heading1"/>
        <w:keepNext w:val="0"/>
        <w:spacing w:line="240" w:lineRule="auto"/>
        <w:ind w:left="0"/>
      </w:pPr>
      <w:bookmarkStart w:id="30" w:name="_Toc431366949"/>
      <w:r>
        <w:rPr>
          <w:caps w:val="0"/>
        </w:rPr>
        <w:t>EVIDENCE DOES NOT SHOW THAT THE PROTESTED RATES ADVERSELY AFFECT THE PUBLIC INTEREST</w:t>
      </w:r>
      <w:bookmarkEnd w:id="30"/>
    </w:p>
    <w:p w:rsidR="00162360" w:rsidRDefault="00162360" w:rsidP="00162360"/>
    <w:p w:rsidR="00162360" w:rsidRDefault="00162360" w:rsidP="00162360">
      <w:r>
        <w:tab/>
      </w:r>
      <w:r w:rsidR="00687E68">
        <w:t>The ALJ conclude</w:t>
      </w:r>
      <w:r w:rsidR="009F4F48">
        <w:t>s</w:t>
      </w:r>
      <w:r w:rsidR="00687E68">
        <w:t xml:space="preserve"> that </w:t>
      </w:r>
      <w:r w:rsidR="00060AC9">
        <w:t>TCMUD 12 failed to prove that: (1)</w:t>
      </w:r>
      <w:r>
        <w:t xml:space="preserve"> </w:t>
      </w:r>
      <w:r w:rsidR="00687E68">
        <w:t xml:space="preserve">WTCPUA has or LCRA previously had </w:t>
      </w:r>
      <w:r>
        <w:t>dis</w:t>
      </w:r>
      <w:r w:rsidR="005F2483">
        <w:t>paratel</w:t>
      </w:r>
      <w:r w:rsidR="00687E68">
        <w:t>y greater bargaining power than TCMUD 12</w:t>
      </w:r>
      <w:r w:rsidR="00060AC9">
        <w:t>; (2)</w:t>
      </w:r>
      <w:r w:rsidR="00687E68">
        <w:t xml:space="preserve"> WTCPUA </w:t>
      </w:r>
      <w:r>
        <w:t>changed it</w:t>
      </w:r>
      <w:r w:rsidR="0033179F">
        <w:t>s</w:t>
      </w:r>
      <w:r>
        <w:t xml:space="preserve"> methodolog</w:t>
      </w:r>
      <w:r w:rsidR="00060AC9">
        <w:t>y</w:t>
      </w:r>
      <w:r w:rsidR="00E308B2">
        <w:t xml:space="preserve"> </w:t>
      </w:r>
      <w:r>
        <w:t xml:space="preserve">for computing </w:t>
      </w:r>
      <w:r w:rsidR="001B72EB">
        <w:t xml:space="preserve">its </w:t>
      </w:r>
      <w:r>
        <w:t>revenue requirement or rates</w:t>
      </w:r>
      <w:r w:rsidR="00060AC9">
        <w:t xml:space="preserve"> when it adopted the Protested Rates; (3) WTCPUA has or LCRA previously had</w:t>
      </w:r>
      <w:r>
        <w:t xml:space="preserve"> </w:t>
      </w:r>
      <w:r w:rsidR="00687E68">
        <w:t>monopoly power</w:t>
      </w:r>
      <w:r w:rsidR="00060AC9">
        <w:t xml:space="preserve"> over TCMUD 12</w:t>
      </w:r>
      <w:r w:rsidR="00687E68">
        <w:t>, or abused that monopoly power</w:t>
      </w:r>
      <w:r w:rsidR="00E308B2">
        <w:t xml:space="preserve"> if it </w:t>
      </w:r>
      <w:r w:rsidR="00060AC9">
        <w:t>existed; or (4) the Protested Rates adversely affect the public interest.</w:t>
      </w:r>
    </w:p>
    <w:p w:rsidR="00162360" w:rsidRPr="00162360" w:rsidRDefault="00162360" w:rsidP="00162360"/>
    <w:p w:rsidR="00885B8D" w:rsidRDefault="00885B8D" w:rsidP="00723847">
      <w:pPr>
        <w:pStyle w:val="Heading1"/>
        <w:keepNext w:val="0"/>
      </w:pPr>
      <w:bookmarkStart w:id="31" w:name="_Toc431366950"/>
      <w:r>
        <w:t>TRANSCRIPTION COSTS</w:t>
      </w:r>
      <w:bookmarkEnd w:id="31"/>
    </w:p>
    <w:p w:rsidR="005E000B" w:rsidRDefault="005E000B" w:rsidP="005E000B"/>
    <w:p w:rsidR="00D00E5B" w:rsidRDefault="00FC2C14" w:rsidP="00D00E5B">
      <w:r>
        <w:tab/>
        <w:t>The official transcription for the Prehearing Conference and the three days of the Hearing on the Merits was paid for by TCMUD 12 at a cost of $5,434.70.</w:t>
      </w:r>
      <w:r>
        <w:rPr>
          <w:rStyle w:val="FootnoteReference"/>
        </w:rPr>
        <w:footnoteReference w:id="262"/>
      </w:r>
      <w:r>
        <w:t xml:space="preserve">  The cost of the original transcript and copies for the ALJ and PUC only, was $3,545.36.</w:t>
      </w:r>
      <w:r w:rsidR="00D00E5B">
        <w:t xml:space="preserve"> TCMUD 12 requests that each party to this case, with the exception of the PUC Staff, be allocated an equal share of the transcription costs, $709.07 each.</w:t>
      </w:r>
    </w:p>
    <w:p w:rsidR="00D00E5B" w:rsidRDefault="00D00E5B" w:rsidP="00D00E5B"/>
    <w:p w:rsidR="00D00E5B" w:rsidRDefault="00D00E5B" w:rsidP="00D00E5B">
      <w:r>
        <w:tab/>
        <w:t>WTCPUA believes that each party should bear only the cost of the transcript that party ordered.</w:t>
      </w:r>
      <w:r>
        <w:rPr>
          <w:rStyle w:val="FootnoteReference"/>
        </w:rPr>
        <w:footnoteReference w:id="263"/>
      </w:r>
      <w:r>
        <w:t xml:space="preserve">  District 5 did not order a transcript and believes it should pay no portion of the transcript cost.  Hays County does not claim transcript costs.  Staff believes that the Commission has no jurisdiction to order an allocation of transcript costs.  Bee Cave does not address the issue.</w:t>
      </w:r>
    </w:p>
    <w:p w:rsidR="00D00E5B" w:rsidRDefault="00D00E5B" w:rsidP="00D00E5B"/>
    <w:p w:rsidR="002C2FF6" w:rsidRDefault="00FC2C14" w:rsidP="00FC2C14">
      <w:r>
        <w:lastRenderedPageBreak/>
        <w:tab/>
      </w:r>
      <w:r w:rsidR="002C2FF6">
        <w:t>This case was originally filed at TCEQ, before jurisdiction was transferred to the PUC</w:t>
      </w:r>
      <w:r w:rsidR="003E5917">
        <w:t>.  U</w:t>
      </w:r>
      <w:r w:rsidR="002C2FF6">
        <w:t>nder the TCEQ</w:t>
      </w:r>
      <w:r w:rsidR="00B71573">
        <w:t>’</w:t>
      </w:r>
      <w:r w:rsidR="002C2FF6">
        <w:t>s r</w:t>
      </w:r>
      <w:r>
        <w:t xml:space="preserve">ules, the parties to </w:t>
      </w:r>
      <w:r w:rsidR="002C2FF6">
        <w:t>a</w:t>
      </w:r>
      <w:r>
        <w:t xml:space="preserve"> case may be allocated a portion of the transcription costs.</w:t>
      </w:r>
      <w:r w:rsidR="002C2FF6">
        <w:rPr>
          <w:rStyle w:val="FootnoteReference"/>
        </w:rPr>
        <w:footnoteReference w:id="264"/>
      </w:r>
      <w:r>
        <w:t xml:space="preserve">  </w:t>
      </w:r>
      <w:r w:rsidR="002C2FF6">
        <w:t>The TCEQ</w:t>
      </w:r>
      <w:r w:rsidR="00B71573">
        <w:t>’</w:t>
      </w:r>
      <w:r w:rsidR="002C2FF6">
        <w:t>s rule is no longer applicable to th</w:t>
      </w:r>
      <w:r w:rsidR="000041AB">
        <w:t>is</w:t>
      </w:r>
      <w:r w:rsidR="002C2FF6">
        <w:t xml:space="preserve"> case, and PUC </w:t>
      </w:r>
      <w:r w:rsidR="000041AB">
        <w:t xml:space="preserve">does not have a </w:t>
      </w:r>
      <w:r w:rsidR="002C2FF6">
        <w:t xml:space="preserve">similar rule.  </w:t>
      </w:r>
      <w:r w:rsidR="006F066A">
        <w:t xml:space="preserve">Not remembering that, the ALJ wrote in </w:t>
      </w:r>
      <w:r w:rsidR="002C2FF6" w:rsidRPr="002C2FF6">
        <w:t>SOAH Order No. 1</w:t>
      </w:r>
      <w:r w:rsidR="002C2FF6">
        <w:t xml:space="preserve"> </w:t>
      </w:r>
      <w:r w:rsidR="00B71573">
        <w:t>“</w:t>
      </w:r>
      <w:r w:rsidR="002C2FF6" w:rsidRPr="002C2FF6">
        <w:t>when the Commission or the PUC makes a final decision in this case, the costs of the recording and transcription shall be allocated among the parties in accordance to 30 Tex. Admin. Code § 80.23.</w:t>
      </w:r>
      <w:r w:rsidR="00B71573">
        <w:t>”</w:t>
      </w:r>
    </w:p>
    <w:p w:rsidR="00FC2C14" w:rsidRDefault="00FC2C14" w:rsidP="00FC2C14"/>
    <w:p w:rsidR="0036019F" w:rsidRDefault="006F066A" w:rsidP="006F066A">
      <w:r>
        <w:tab/>
        <w:t>The ALJ does not recommend that the Commission allocate to other parties any portion the cost of the transcript for which TCMUD 12 paid.  Despite what th</w:t>
      </w:r>
      <w:r w:rsidR="0036019F">
        <w:t xml:space="preserve">e ALJ wrote in SOAH Order No. 1, </w:t>
      </w:r>
      <w:r w:rsidR="000041AB">
        <w:t>the ALJ sees nothing in c</w:t>
      </w:r>
      <w:r w:rsidR="0036019F">
        <w:t xml:space="preserve">hapter 13 of the Texas Water Code, </w:t>
      </w:r>
      <w:r w:rsidR="001B72EB">
        <w:t>the Public Utility Regulatory Act</w:t>
      </w:r>
      <w:r w:rsidR="0036019F">
        <w:t>,</w:t>
      </w:r>
      <w:r w:rsidR="001B72EB">
        <w:rPr>
          <w:rStyle w:val="FootnoteReference"/>
        </w:rPr>
        <w:footnoteReference w:id="265"/>
      </w:r>
      <w:r w:rsidR="0036019F">
        <w:t xml:space="preserve"> or </w:t>
      </w:r>
      <w:r>
        <w:t xml:space="preserve">the </w:t>
      </w:r>
      <w:r w:rsidR="0036019F">
        <w:t>PUC</w:t>
      </w:r>
      <w:r w:rsidR="00B71573">
        <w:t>’</w:t>
      </w:r>
      <w:r w:rsidR="0036019F">
        <w:t xml:space="preserve">s rules authorizing </w:t>
      </w:r>
      <w:r w:rsidR="003E5917">
        <w:t xml:space="preserve">the ALJ or </w:t>
      </w:r>
      <w:r w:rsidR="0036019F">
        <w:t>the PUC to allocate transcript costs among the parties.</w:t>
      </w:r>
    </w:p>
    <w:p w:rsidR="0036019F" w:rsidRDefault="0036019F" w:rsidP="006F066A"/>
    <w:p w:rsidR="00885B8D" w:rsidRPr="003E5917" w:rsidRDefault="0031683C" w:rsidP="00723847">
      <w:pPr>
        <w:pStyle w:val="Heading1"/>
        <w:keepNext w:val="0"/>
      </w:pPr>
      <w:bookmarkStart w:id="32" w:name="_Toc431366951"/>
      <w:r w:rsidRPr="003E5917">
        <w:rPr>
          <w:caps w:val="0"/>
        </w:rPr>
        <w:t>RECOMMENDATION</w:t>
      </w:r>
      <w:bookmarkEnd w:id="32"/>
      <w:r w:rsidRPr="003E5917">
        <w:rPr>
          <w:caps w:val="0"/>
        </w:rPr>
        <w:t xml:space="preserve"> </w:t>
      </w:r>
    </w:p>
    <w:p w:rsidR="0036019F" w:rsidRDefault="0036019F" w:rsidP="00885B8D"/>
    <w:p w:rsidR="00176897" w:rsidRDefault="0036019F" w:rsidP="00885B8D">
      <w:r>
        <w:tab/>
      </w:r>
      <w:r w:rsidR="005E000B">
        <w:t xml:space="preserve">The ALJ recommends that the Commission </w:t>
      </w:r>
      <w:r>
        <w:t>adopt the following Findings of Fact and Conclusions of Law, find that the evidence does not show that the Protested Rates adversely affect the public interest, and dismiss the TCMUD 12</w:t>
      </w:r>
      <w:r w:rsidR="00B71573">
        <w:t>’</w:t>
      </w:r>
      <w:r>
        <w:t>s petition with prejudice to refiling.</w:t>
      </w:r>
    </w:p>
    <w:p w:rsidR="0036019F" w:rsidRDefault="0036019F" w:rsidP="00885B8D"/>
    <w:p w:rsidR="0031683C" w:rsidRPr="009F4F48" w:rsidRDefault="0031683C" w:rsidP="0031683C">
      <w:pPr>
        <w:pStyle w:val="Heading1"/>
        <w:keepNext w:val="0"/>
      </w:pPr>
      <w:bookmarkStart w:id="33" w:name="_Toc431366952"/>
      <w:r w:rsidRPr="009F4F48">
        <w:rPr>
          <w:caps w:val="0"/>
        </w:rPr>
        <w:t>FINDINGS</w:t>
      </w:r>
      <w:r w:rsidRPr="009F4F48">
        <w:t xml:space="preserve"> OF FACT</w:t>
      </w:r>
      <w:bookmarkEnd w:id="33"/>
    </w:p>
    <w:p w:rsidR="0031683C"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Travis County Municipal Utility District No. 12 (TCMUD 12) is a conservation and reclamation district created and functioning under article 16, section 59 of the Texas Constitution and chapters 49 and 54 of the Texas Water Code.</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Travis County Municipal Utility Districts Nos. 11 and 13 (</w:t>
      </w:r>
      <w:r w:rsidR="007E01B6">
        <w:t>TCMUDs 11</w:t>
      </w:r>
      <w:r w:rsidRPr="007A365B">
        <w:t xml:space="preserve"> and 13) are also conservation and reclamation districts.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lastRenderedPageBreak/>
        <w:t>TCMUDs 11, 12, and 13 are also “retail public utilities” because they are “operating, maintaining, or controlling in this state facilities for providing potable water service or sewer service, or both, for compensation.”  Tex. Water Code § 13.002(19).</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TCMUDs 11, 12, and 13 provide retail water service to geographically distinct areas within a larger area in Travis County, Texas, known as “The Highlands.”  TCMUD 11 also serves an adjacent area, known as “Rough Hollow.”</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On September 25, 2008, TCMUD 12 and the Lower Colorado River Authority (LCRA) entered into a contract (Raw Water Contract) under which LCRA </w:t>
      </w:r>
      <w:r w:rsidR="003E5917">
        <w:t xml:space="preserve">agreed to </w:t>
      </w:r>
      <w:r w:rsidRPr="007A365B">
        <w:t>provide up to 1,680 acre-feet of raw water per year to TCMUD 12 for municipal use by TCMUDs 11, 12, and 13 within their service areas.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t>I</w:t>
      </w:r>
      <w:r w:rsidRPr="007A365B">
        <w:t>n October 2009, TCMUD 12 and LCRA entered into a separate wholesale water services agreement (Water Services Agreement).  In that agreement, LCRA agreed to divert, transport, and treat, as needed, the raw water that TCMUD</w:t>
      </w:r>
      <w:r w:rsidR="009F4F48">
        <w:t xml:space="preserve"> </w:t>
      </w:r>
      <w:r w:rsidRPr="007A365B">
        <w:t>12 had purchased from LCRA under the Raw Water Contract and to deliver that treated water to TCMUD</w:t>
      </w:r>
      <w:r w:rsidR="009F4F48">
        <w:t xml:space="preserve"> </w:t>
      </w:r>
      <w:r w:rsidRPr="007A365B">
        <w:t>12 at a specified delivery point.</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In the Water Services Agreement, TCMUD 12 agreed to pay LCRA:</w:t>
      </w:r>
    </w:p>
    <w:p w:rsidR="0031683C" w:rsidRPr="007A365B" w:rsidRDefault="0031683C" w:rsidP="0031683C">
      <w:pPr>
        <w:spacing w:line="240" w:lineRule="auto"/>
      </w:pPr>
    </w:p>
    <w:p w:rsidR="0031683C" w:rsidRDefault="0031683C" w:rsidP="00085C5D">
      <w:pPr>
        <w:pStyle w:val="ListParagraph"/>
        <w:numPr>
          <w:ilvl w:val="1"/>
          <w:numId w:val="11"/>
        </w:numPr>
        <w:spacing w:line="240" w:lineRule="auto"/>
        <w:ind w:hanging="720"/>
      </w:pPr>
      <w:r w:rsidRPr="007A365B">
        <w:t xml:space="preserve">a one-time connection fee per each living unit equivalent (LUE) for each new retail customer that connected to the </w:t>
      </w:r>
      <w:r w:rsidR="007E01B6">
        <w:t>TCMUDs 11</w:t>
      </w:r>
      <w:r w:rsidRPr="007A365B">
        <w:t>, 12, or 13 systems;</w:t>
      </w:r>
    </w:p>
    <w:p w:rsidR="0031683C" w:rsidRPr="007A365B" w:rsidRDefault="0031683C" w:rsidP="0031683C">
      <w:pPr>
        <w:pStyle w:val="ListParagraph"/>
        <w:spacing w:line="240" w:lineRule="auto"/>
        <w:ind w:left="1440"/>
      </w:pPr>
    </w:p>
    <w:p w:rsidR="0031683C" w:rsidRDefault="0031683C" w:rsidP="00085C5D">
      <w:pPr>
        <w:pStyle w:val="ListParagraph"/>
        <w:numPr>
          <w:ilvl w:val="1"/>
          <w:numId w:val="11"/>
        </w:numPr>
        <w:spacing w:line="240" w:lineRule="auto"/>
        <w:ind w:hanging="720"/>
      </w:pPr>
      <w:r w:rsidRPr="007A365B">
        <w:t>a monthly char</w:t>
      </w:r>
      <w:r>
        <w:t>ge for each calendar month; and</w:t>
      </w:r>
    </w:p>
    <w:p w:rsidR="0031683C" w:rsidRPr="007A365B" w:rsidRDefault="0031683C" w:rsidP="0031683C">
      <w:pPr>
        <w:pStyle w:val="ListParagraph"/>
        <w:spacing w:line="240" w:lineRule="auto"/>
        <w:ind w:left="1440"/>
      </w:pPr>
    </w:p>
    <w:p w:rsidR="0031683C" w:rsidRPr="007A365B" w:rsidRDefault="0031683C" w:rsidP="00085C5D">
      <w:pPr>
        <w:pStyle w:val="ListParagraph"/>
        <w:numPr>
          <w:ilvl w:val="1"/>
          <w:numId w:val="11"/>
        </w:numPr>
        <w:spacing w:line="240" w:lineRule="auto"/>
        <w:ind w:hanging="720"/>
      </w:pPr>
      <w:r w:rsidRPr="007A365B">
        <w:t>a monthly volumetric rate for diversion, transportation, treatment, and delivery of the actual amount of water delivered to TCMUD 12 during the month.</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The connection fee was designed to recover all or part of LCRA’s costs for capital improvements or facility expansions intended to serve new development in LCRA’s service area.</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The monthly charge was designed primarily to recover TCMUD 12’s allocable share of LCRA’s capital-related costs of the system used to provide service (West Travis County System) that were not recovered through the connection fee.</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The volumetric rate was designed primarily to recover LCRA’s operation and maintenance costs, together with LCRA’s other costs not recovered through the connection fee or the monthly charge.</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The connection fee was initially set at $4,120 per LUE, the monthly charge was initially set at $9,430 per month, and the volumetric rate was initially set at $2.40 per 1,000 gallons.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lastRenderedPageBreak/>
        <w:t>The Water Services Agreement provided that LCRA could modify the connection fee, monthly charge, and volumetric rate to recover TCMUD 12’s proportionate, just, reasonable, nondiscriminatory, fair, and equitable share of the costs of the West Travis County System.</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West Travis County Public Utility Agency (WTCPUA) is a Texas public utility agency, a political subdivision of the state of Texas organized under chapter 572 of the Texas Local Government Code.</w:t>
      </w:r>
    </w:p>
    <w:p w:rsidR="0031683C" w:rsidRPr="007A365B" w:rsidRDefault="0031683C" w:rsidP="0031683C">
      <w:pPr>
        <w:spacing w:line="240" w:lineRule="auto"/>
      </w:pPr>
    </w:p>
    <w:p w:rsidR="0031683C" w:rsidRPr="007A365B" w:rsidRDefault="0031683C" w:rsidP="009F4F48">
      <w:pPr>
        <w:pStyle w:val="ListParagraph"/>
        <w:numPr>
          <w:ilvl w:val="0"/>
          <w:numId w:val="11"/>
        </w:numPr>
        <w:spacing w:line="240" w:lineRule="auto"/>
        <w:ind w:hanging="720"/>
      </w:pPr>
      <w:r w:rsidRPr="007A365B">
        <w:t xml:space="preserve">WTCPUA was formed by </w:t>
      </w:r>
      <w:r>
        <w:t xml:space="preserve">the City of </w:t>
      </w:r>
      <w:r w:rsidRPr="007A365B">
        <w:t xml:space="preserve">Bee Cave, </w:t>
      </w:r>
      <w:r>
        <w:t xml:space="preserve">Texas (Bee Cave); </w:t>
      </w:r>
      <w:r w:rsidRPr="007A365B">
        <w:t xml:space="preserve">Hays County, </w:t>
      </w:r>
      <w:r>
        <w:t xml:space="preserve">Texas (Hays County); </w:t>
      </w:r>
      <w:r w:rsidRPr="007A365B">
        <w:t xml:space="preserve">and </w:t>
      </w:r>
      <w:r w:rsidR="0081178C" w:rsidRPr="0081178C">
        <w:t>West Travis County Municipal Utility District No. 5 (District 5)</w:t>
      </w:r>
      <w:r w:rsidRPr="007A365B">
        <w:t xml:space="preserve"> (collectively, Participants).  </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In keeping with a series of contracts as described below, WTCPUA diverts from Lake Austin in Travis County, Texas, raw water TCMUD 12 </w:t>
      </w:r>
      <w:r>
        <w:t xml:space="preserve">purchases from LCRA under the Raw Water Contract and </w:t>
      </w:r>
      <w:r w:rsidRPr="007A365B">
        <w:t>transports, treats, and delivers the treated water to TCMUD 12, in that same county.</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In January 2012, LCRA and WTCPUA entered into a utilities installment purchase agreement (Utilities Purchase Agreement) by which LCRA sold </w:t>
      </w:r>
      <w:r>
        <w:t xml:space="preserve">to WTCPUA </w:t>
      </w:r>
      <w:r w:rsidRPr="007A365B">
        <w:t>the West Travis County System</w:t>
      </w:r>
      <w:r>
        <w:t>.  The system</w:t>
      </w:r>
      <w:r w:rsidRPr="007A365B">
        <w:t xml:space="preserve"> </w:t>
      </w:r>
      <w:r>
        <w:t xml:space="preserve">consisted of </w:t>
      </w:r>
      <w:r w:rsidRPr="007A365B">
        <w:t>certain water and wastewater utility facilities i</w:t>
      </w:r>
      <w:r>
        <w:t>n western Travis and Hays Counties</w:t>
      </w:r>
      <w:r w:rsidRPr="007A365B">
        <w:t xml:space="preserve">, </w:t>
      </w:r>
      <w:r>
        <w:t xml:space="preserve">Texas, </w:t>
      </w:r>
      <w:r w:rsidRPr="007A365B">
        <w:t>includ</w:t>
      </w:r>
      <w:r>
        <w:t>ing</w:t>
      </w:r>
      <w:r w:rsidRPr="007A365B">
        <w:t xml:space="preserve"> the facilities that LCRA had used to serve TCMUD 12 under the Water Services Agreement</w:t>
      </w:r>
      <w:r>
        <w:t>.</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In June 2012, LCRA, TCMUD 12, and WTCPUA entered into an agreement (Transfer Agreement), retroactively effective to March 19, 2012, regarding transfer of the operations of the West Travis County System.  In that agreement, LCRA assigned to the WTCPUA all obligations and duties of the LCRA under the Water Services Agreement, </w:t>
      </w:r>
      <w:r w:rsidR="009F4F48">
        <w:t>WTC</w:t>
      </w:r>
      <w:r w:rsidRPr="007A365B">
        <w:t>PUA assumed those obligations and duties, and WTCPUA consented to the assignment and assumption.</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On March 19, 2012, after assuming operational control of the West Travis County System, WTCPUA adopted the monthly charge and volume</w:t>
      </w:r>
      <w:r>
        <w:t>tric rate that LCRA had charged</w:t>
      </w:r>
      <w:r w:rsidRPr="007A365B">
        <w:t>, including the rates charged to TCMUD 12</w:t>
      </w:r>
      <w:r>
        <w:t xml:space="preserve"> </w:t>
      </w:r>
      <w:r w:rsidRPr="007A365B">
        <w:t xml:space="preserve">(Initial Rates).  Accordingly, WTCPUA’s initial monthly charge to TCMUD 12 was $9,430 and </w:t>
      </w:r>
      <w:r>
        <w:t xml:space="preserve">its </w:t>
      </w:r>
      <w:r w:rsidRPr="007A365B">
        <w:t>volumetric rate was $2.40 per 1,000 gallons.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On November 15, 2012, the WTCPUA Board of Directors adopted an order increasing its wholesale water treatment service rates, including those charged to TCMUD 12, by 15.5% effective January 2013 (Prior Rates).  Specifically, the Prior Rates increased TCMUD 12’s monthly charge from $9,430 to $10,891.65 and the volumetric rate from $2.40 to $2.77 per 1,000 gallons.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TCMUD 12 did not appeal the Prior Rates.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lastRenderedPageBreak/>
        <w:t>On November 21, 2013, the WTCPUA Board of Directors adopted a</w:t>
      </w:r>
      <w:r>
        <w:t xml:space="preserve">n </w:t>
      </w:r>
      <w:r w:rsidRPr="007A365B">
        <w:t>order revising the wholesale water treatment service rates charged to TCMUD 12, effective January 1, 2014 (Protested Rates).  As compared to the Prior Rates, the Protested Rates decreased TCMUD 12’s monthly charge from $10,891.65 to $8,140.89 and decreased its volumetric rate from $2.77 to $2.11 per 1,000 gallons.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On March 6, 2014, TCMUD 12 filed a petition with the Texas Commission on Environmental Quality (TCEQ) appealing the Protested Rates and asserting TCEQ had jurisdiction </w:t>
      </w:r>
      <w:r w:rsidR="0081178C">
        <w:t xml:space="preserve">to consider the appeal </w:t>
      </w:r>
      <w:r w:rsidRPr="007A365B">
        <w:t>under Texas Water Code §§ 11.036, 11.041, 12.013</w:t>
      </w:r>
      <w:r>
        <w:t>,</w:t>
      </w:r>
      <w:r w:rsidRPr="007A365B">
        <w:t xml:space="preserve"> and 13.043(f), and Texas Local Government Code §</w:t>
      </w:r>
      <w:r>
        <w:t> </w:t>
      </w:r>
      <w:r w:rsidRPr="007A365B">
        <w:t>572.061(d).</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TCEQ referred the case to State Office of Administrative Hearings (SOAH) for hearing and issued </w:t>
      </w:r>
      <w:r>
        <w:t xml:space="preserve">a </w:t>
      </w:r>
      <w:r w:rsidRPr="007A365B">
        <w:t>notice of a preliminary hearing.</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On September 1, 2014, jurisdiction over certain functions was transferred from the TCEQ to the </w:t>
      </w:r>
      <w:r>
        <w:t>Public Utility Commission of Texas (</w:t>
      </w:r>
      <w:r w:rsidRPr="007A365B">
        <w:t>PUC</w:t>
      </w:r>
      <w:r w:rsidR="009F4F48">
        <w:t xml:space="preserve"> or Commission)</w:t>
      </w:r>
      <w:r w:rsidRPr="007A365B">
        <w:t>, includ</w:t>
      </w:r>
      <w:r w:rsidR="00D055D1">
        <w:t>ing</w:t>
      </w:r>
      <w:r w:rsidRPr="007A365B">
        <w:t xml:space="preserve"> jurisdiction under Texas Water Code §§</w:t>
      </w:r>
      <w:r>
        <w:t> </w:t>
      </w:r>
      <w:r w:rsidRPr="007A365B">
        <w:t>12.013 and 13.043(f).  Acts 2013, 83</w:t>
      </w:r>
      <w:r w:rsidR="009F4F48">
        <w:t xml:space="preserve">rd </w:t>
      </w:r>
      <w:r w:rsidRPr="007A365B">
        <w:t>Leg., R.S., Ch. 170 (H.B. 1600), eff. Sept. 1, 2013</w:t>
      </w:r>
      <w:r w:rsidR="009F4F48">
        <w:t>;</w:t>
      </w:r>
      <w:r w:rsidRPr="007A365B">
        <w:t xml:space="preserve"> Acts 2013, 83</w:t>
      </w:r>
      <w:r w:rsidR="009F4F48">
        <w:t xml:space="preserve">rd </w:t>
      </w:r>
      <w:r w:rsidRPr="007A365B">
        <w:t>Leg., R.S., Ch. 171 (S.B. 567), eff. Sept. 1, 2013.</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Jurisdiction under Texas Water Code §§ 11.036 and 11.041 remains with TCEQ.</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To simplify matters in this case after the transfer of jurisdiction, TCMUD 12 amended its petition to withdraw its claim of jurisdiction under §§ 11.036 and 11.041.</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TCMUD 12 claims that</w:t>
      </w:r>
      <w:r w:rsidR="00CE3400">
        <w:t>,</w:t>
      </w:r>
      <w:r w:rsidRPr="007A365B">
        <w:t xml:space="preserve"> </w:t>
      </w:r>
      <w:r w:rsidR="00CE3400">
        <w:t xml:space="preserve">by adopting the Protested Rates, </w:t>
      </w:r>
      <w:r w:rsidRPr="007A365B">
        <w:t xml:space="preserve">WTCPUA has </w:t>
      </w:r>
      <w:r>
        <w:t xml:space="preserve">and abused </w:t>
      </w:r>
      <w:r w:rsidRPr="007A365B">
        <w:t>monopoly power because: (1) WTCPU</w:t>
      </w:r>
      <w:r w:rsidR="000E6AB9">
        <w:t>A</w:t>
      </w:r>
      <w:r w:rsidRPr="007A365B">
        <w:t xml:space="preserve"> has disparately greater bargaining power than TCMUD 12</w:t>
      </w:r>
      <w:r>
        <w:t>;</w:t>
      </w:r>
      <w:r w:rsidRPr="007A365B">
        <w:t xml:space="preserve"> and (2) WTCPUA changed its methodologies</w:t>
      </w:r>
      <w:r>
        <w:t xml:space="preserve"> used to </w:t>
      </w:r>
      <w:r w:rsidRPr="007A365B">
        <w:t>compute the Protested Rates and the revenue requirement underlying them to the long</w:t>
      </w:r>
      <w:r w:rsidR="00D055D1">
        <w:t>-term disadvantage of TCMUD 12.</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Based on the alleged abuse of monopoly power, TCMUD 12 </w:t>
      </w:r>
      <w:r>
        <w:t xml:space="preserve">also </w:t>
      </w:r>
      <w:r w:rsidRPr="007A365B">
        <w:t>contends that the Protested Rates adversely affect the public interest.</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TCMUD 12, on behalf of itself and TCMUDs 11 and 13, asks the PUC to find that the Protested Rates adversely affect the public interest</w:t>
      </w:r>
      <w:r>
        <w:t xml:space="preserve"> and </w:t>
      </w:r>
      <w:r w:rsidRPr="007A365B">
        <w:t xml:space="preserve">remand this case to the Administrative Law Judge (ALJ) for further hearing so that the Commission can set the rates </w:t>
      </w:r>
      <w:r w:rsidR="007E01B6">
        <w:t>TCMUDs 11</w:t>
      </w:r>
      <w:r w:rsidRPr="007A365B">
        <w:t xml:space="preserve">, 12, and 13 should pay WTCPUA for </w:t>
      </w:r>
      <w:r w:rsidR="000E6AB9">
        <w:t xml:space="preserve">wholesale </w:t>
      </w:r>
      <w:r>
        <w:t xml:space="preserve">water treatment </w:t>
      </w:r>
      <w:r w:rsidRPr="007A365B">
        <w:t>service.</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rPr>
          <w:lang w:val="en-CA"/>
        </w:rPr>
        <w:fldChar w:fldCharType="begin"/>
      </w:r>
      <w:r w:rsidRPr="007A365B">
        <w:rPr>
          <w:lang w:val="en-CA"/>
        </w:rPr>
        <w:instrText xml:space="preserve"> SEQ CHAPTER \h \r 1</w:instrText>
      </w:r>
      <w:r w:rsidRPr="007A365B">
        <w:rPr>
          <w:lang w:val="en-CA"/>
        </w:rPr>
        <w:fldChar w:fldCharType="end"/>
      </w:r>
      <w:r w:rsidRPr="007A365B">
        <w:t>The following are the parties in this case:</w:t>
      </w:r>
    </w:p>
    <w:p w:rsidR="0031683C" w:rsidRPr="007A365B" w:rsidRDefault="0031683C" w:rsidP="0031683C">
      <w:pPr>
        <w:spacing w:line="240" w:lineRule="auto"/>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78"/>
        <w:gridCol w:w="4482"/>
      </w:tblGrid>
      <w:tr w:rsidR="0031683C" w:rsidRPr="007A365B" w:rsidTr="0031683C">
        <w:trPr>
          <w:cantSplit/>
          <w:tblHeader/>
        </w:trPr>
        <w:tc>
          <w:tcPr>
            <w:tcW w:w="4878" w:type="dxa"/>
            <w:shd w:val="clear" w:color="auto" w:fill="auto"/>
          </w:tcPr>
          <w:p w:rsidR="0031683C" w:rsidRPr="007A365B" w:rsidRDefault="0031683C" w:rsidP="0031683C">
            <w:pPr>
              <w:spacing w:line="240" w:lineRule="auto"/>
              <w:rPr>
                <w:b/>
              </w:rPr>
            </w:pPr>
            <w:r w:rsidRPr="007A365B">
              <w:rPr>
                <w:b/>
              </w:rPr>
              <w:t>PARTY</w:t>
            </w:r>
          </w:p>
        </w:tc>
        <w:tc>
          <w:tcPr>
            <w:tcW w:w="4482" w:type="dxa"/>
            <w:shd w:val="clear" w:color="auto" w:fill="auto"/>
          </w:tcPr>
          <w:p w:rsidR="0031683C" w:rsidRPr="007A365B" w:rsidRDefault="0031683C" w:rsidP="0031683C">
            <w:pPr>
              <w:spacing w:line="240" w:lineRule="auto"/>
              <w:rPr>
                <w:b/>
              </w:rPr>
            </w:pPr>
            <w:r w:rsidRPr="007A365B">
              <w:rPr>
                <w:b/>
              </w:rPr>
              <w:t>REPRESENTATIVE</w:t>
            </w:r>
          </w:p>
        </w:tc>
      </w:tr>
      <w:tr w:rsidR="0031683C" w:rsidRPr="007A365B" w:rsidTr="0031683C">
        <w:trPr>
          <w:cantSplit/>
        </w:trPr>
        <w:tc>
          <w:tcPr>
            <w:tcW w:w="4878" w:type="dxa"/>
            <w:shd w:val="clear" w:color="auto" w:fill="auto"/>
          </w:tcPr>
          <w:p w:rsidR="0031683C" w:rsidRPr="007A365B" w:rsidRDefault="007E01B6" w:rsidP="00D055D1">
            <w:pPr>
              <w:spacing w:line="240" w:lineRule="auto"/>
            </w:pPr>
            <w:r>
              <w:t>TCMUDs 11</w:t>
            </w:r>
            <w:r w:rsidR="00D055D1">
              <w:t xml:space="preserve">, 12, and 13 (collectively, </w:t>
            </w:r>
            <w:r w:rsidR="0031683C" w:rsidRPr="007A365B">
              <w:t>TCMUD 12)</w:t>
            </w:r>
          </w:p>
        </w:tc>
        <w:tc>
          <w:tcPr>
            <w:tcW w:w="4482" w:type="dxa"/>
            <w:shd w:val="clear" w:color="auto" w:fill="auto"/>
          </w:tcPr>
          <w:p w:rsidR="0031683C" w:rsidRPr="007A365B" w:rsidRDefault="0031683C" w:rsidP="0031683C">
            <w:pPr>
              <w:spacing w:line="240" w:lineRule="auto"/>
            </w:pPr>
            <w:r w:rsidRPr="007A365B">
              <w:t>Kay Trostle &amp; Miguel Huerta</w:t>
            </w:r>
          </w:p>
        </w:tc>
      </w:tr>
      <w:tr w:rsidR="0031683C" w:rsidRPr="007A365B" w:rsidTr="0031683C">
        <w:trPr>
          <w:cantSplit/>
        </w:trPr>
        <w:tc>
          <w:tcPr>
            <w:tcW w:w="4878" w:type="dxa"/>
            <w:shd w:val="clear" w:color="auto" w:fill="auto"/>
          </w:tcPr>
          <w:p w:rsidR="0031683C" w:rsidRPr="007A365B" w:rsidRDefault="0031683C" w:rsidP="0031683C">
            <w:pPr>
              <w:spacing w:line="240" w:lineRule="auto"/>
            </w:pPr>
            <w:r w:rsidRPr="007A365B">
              <w:lastRenderedPageBreak/>
              <w:t>WTCPUA</w:t>
            </w:r>
          </w:p>
        </w:tc>
        <w:tc>
          <w:tcPr>
            <w:tcW w:w="4482" w:type="dxa"/>
            <w:shd w:val="clear" w:color="auto" w:fill="auto"/>
          </w:tcPr>
          <w:p w:rsidR="0031683C" w:rsidRPr="007A365B" w:rsidRDefault="0031683C" w:rsidP="0031683C">
            <w:pPr>
              <w:spacing w:line="240" w:lineRule="auto"/>
            </w:pPr>
            <w:r w:rsidRPr="007A365B">
              <w:t>David Klein, Georgia Krump, &amp; Melissa Long</w:t>
            </w:r>
          </w:p>
        </w:tc>
      </w:tr>
      <w:tr w:rsidR="0031683C" w:rsidRPr="007A365B" w:rsidTr="0031683C">
        <w:trPr>
          <w:cantSplit/>
        </w:trPr>
        <w:tc>
          <w:tcPr>
            <w:tcW w:w="4878" w:type="dxa"/>
            <w:shd w:val="clear" w:color="auto" w:fill="auto"/>
          </w:tcPr>
          <w:p w:rsidR="0031683C" w:rsidRPr="007A365B" w:rsidRDefault="0031683C" w:rsidP="0031683C">
            <w:pPr>
              <w:spacing w:line="240" w:lineRule="auto"/>
            </w:pPr>
            <w:r w:rsidRPr="007A365B">
              <w:t>City Of Bee Cave, Texas (Bee Cave)</w:t>
            </w:r>
          </w:p>
        </w:tc>
        <w:tc>
          <w:tcPr>
            <w:tcW w:w="4482" w:type="dxa"/>
            <w:shd w:val="clear" w:color="auto" w:fill="auto"/>
          </w:tcPr>
          <w:p w:rsidR="0031683C" w:rsidRPr="007A365B" w:rsidRDefault="0031683C" w:rsidP="0031683C">
            <w:pPr>
              <w:spacing w:line="240" w:lineRule="auto"/>
            </w:pPr>
            <w:r w:rsidRPr="007A365B">
              <w:t>Jim Haley</w:t>
            </w:r>
          </w:p>
        </w:tc>
      </w:tr>
      <w:tr w:rsidR="0031683C" w:rsidRPr="007A365B" w:rsidTr="0031683C">
        <w:trPr>
          <w:cantSplit/>
        </w:trPr>
        <w:tc>
          <w:tcPr>
            <w:tcW w:w="4878" w:type="dxa"/>
            <w:shd w:val="clear" w:color="auto" w:fill="auto"/>
          </w:tcPr>
          <w:p w:rsidR="0031683C" w:rsidRPr="007A365B" w:rsidRDefault="0031683C" w:rsidP="0031683C">
            <w:pPr>
              <w:spacing w:line="240" w:lineRule="auto"/>
            </w:pPr>
            <w:r w:rsidRPr="007A365B">
              <w:t>Hays County, Texas (Hays County)</w:t>
            </w:r>
          </w:p>
        </w:tc>
        <w:tc>
          <w:tcPr>
            <w:tcW w:w="4482" w:type="dxa"/>
            <w:shd w:val="clear" w:color="auto" w:fill="auto"/>
          </w:tcPr>
          <w:p w:rsidR="0031683C" w:rsidRPr="007A365B" w:rsidRDefault="0031683C" w:rsidP="0031683C">
            <w:pPr>
              <w:spacing w:line="240" w:lineRule="auto"/>
            </w:pPr>
            <w:r w:rsidRPr="007A365B">
              <w:t>Mark D. Kennedy</w:t>
            </w:r>
          </w:p>
        </w:tc>
      </w:tr>
      <w:tr w:rsidR="0031683C" w:rsidRPr="007A365B" w:rsidTr="0031683C">
        <w:trPr>
          <w:cantSplit/>
        </w:trPr>
        <w:tc>
          <w:tcPr>
            <w:tcW w:w="4878" w:type="dxa"/>
            <w:shd w:val="clear" w:color="auto" w:fill="auto"/>
          </w:tcPr>
          <w:p w:rsidR="0031683C" w:rsidRPr="007A365B" w:rsidRDefault="0031683C" w:rsidP="0031683C">
            <w:pPr>
              <w:spacing w:line="240" w:lineRule="auto"/>
            </w:pPr>
            <w:r w:rsidRPr="007A365B">
              <w:t>West Travis County Municipal Utility District No. 5 (District 5)</w:t>
            </w:r>
          </w:p>
        </w:tc>
        <w:tc>
          <w:tcPr>
            <w:tcW w:w="4482" w:type="dxa"/>
            <w:shd w:val="clear" w:color="auto" w:fill="auto"/>
          </w:tcPr>
          <w:p w:rsidR="0031683C" w:rsidRPr="007A365B" w:rsidRDefault="0031683C" w:rsidP="0031683C">
            <w:pPr>
              <w:spacing w:line="240" w:lineRule="auto"/>
            </w:pPr>
            <w:r w:rsidRPr="007A365B">
              <w:t>Randy Wilburn</w:t>
            </w:r>
          </w:p>
        </w:tc>
      </w:tr>
      <w:tr w:rsidR="0031683C" w:rsidRPr="007A365B" w:rsidTr="0031683C">
        <w:trPr>
          <w:cantSplit/>
        </w:trPr>
        <w:tc>
          <w:tcPr>
            <w:tcW w:w="4878" w:type="dxa"/>
            <w:shd w:val="clear" w:color="auto" w:fill="auto"/>
          </w:tcPr>
          <w:p w:rsidR="0031683C" w:rsidRPr="007A365B" w:rsidRDefault="0031683C" w:rsidP="0031683C">
            <w:pPr>
              <w:spacing w:line="240" w:lineRule="auto"/>
            </w:pPr>
            <w:r w:rsidRPr="007A365B">
              <w:t>PUC Staff</w:t>
            </w:r>
          </w:p>
        </w:tc>
        <w:tc>
          <w:tcPr>
            <w:tcW w:w="4482" w:type="dxa"/>
            <w:shd w:val="clear" w:color="auto" w:fill="auto"/>
          </w:tcPr>
          <w:p w:rsidR="0031683C" w:rsidRPr="007A365B" w:rsidRDefault="0031683C" w:rsidP="0031683C">
            <w:pPr>
              <w:spacing w:line="240" w:lineRule="auto"/>
            </w:pPr>
            <w:r w:rsidRPr="007A365B">
              <w:t>Jessica Gray &amp; Sam Chang</w:t>
            </w:r>
          </w:p>
        </w:tc>
      </w:tr>
      <w:tr w:rsidR="0031683C" w:rsidRPr="007A365B" w:rsidTr="0031683C">
        <w:trPr>
          <w:cantSplit/>
        </w:trPr>
        <w:tc>
          <w:tcPr>
            <w:tcW w:w="4878" w:type="dxa"/>
            <w:shd w:val="clear" w:color="auto" w:fill="auto"/>
          </w:tcPr>
          <w:p w:rsidR="0031683C" w:rsidRPr="007A365B" w:rsidRDefault="0031683C" w:rsidP="0031683C">
            <w:pPr>
              <w:spacing w:line="240" w:lineRule="auto"/>
            </w:pPr>
            <w:r w:rsidRPr="007A365B">
              <w:t>Texas Commission on Environmental Quality (TCEQ), Office of Public Interest Counsel (OPIC)</w:t>
            </w:r>
          </w:p>
        </w:tc>
        <w:tc>
          <w:tcPr>
            <w:tcW w:w="4482" w:type="dxa"/>
            <w:shd w:val="clear" w:color="auto" w:fill="auto"/>
          </w:tcPr>
          <w:p w:rsidR="0031683C" w:rsidRPr="007A365B" w:rsidRDefault="0031683C" w:rsidP="0031683C">
            <w:pPr>
              <w:spacing w:line="240" w:lineRule="auto"/>
            </w:pPr>
            <w:r w:rsidRPr="007A365B">
              <w:t>Rudy Calderon</w:t>
            </w:r>
          </w:p>
        </w:tc>
      </w:tr>
    </w:tbl>
    <w:p w:rsidR="0031683C" w:rsidRPr="007A365B" w:rsidRDefault="0031683C" w:rsidP="00CE3400">
      <w:pPr>
        <w:spacing w:line="240" w:lineRule="auto"/>
      </w:pPr>
    </w:p>
    <w:p w:rsidR="0031683C" w:rsidRPr="007A365B" w:rsidRDefault="0031683C" w:rsidP="00085C5D">
      <w:pPr>
        <w:pStyle w:val="ListParagraph"/>
        <w:numPr>
          <w:ilvl w:val="0"/>
          <w:numId w:val="11"/>
        </w:numPr>
        <w:spacing w:line="240" w:lineRule="auto"/>
        <w:ind w:hanging="720"/>
      </w:pPr>
      <w:r w:rsidRPr="007A365B">
        <w:t>The following are the major procedural events in this case:</w:t>
      </w:r>
    </w:p>
    <w:p w:rsidR="0031683C" w:rsidRPr="007A365B" w:rsidRDefault="0031683C" w:rsidP="00CE3400">
      <w:pPr>
        <w:spacing w:line="240" w:lineRule="auto"/>
      </w:pPr>
    </w:p>
    <w:tbl>
      <w:tblPr>
        <w:tblStyle w:val="TableGrid"/>
        <w:tblW w:w="0" w:type="auto"/>
        <w:tblLook w:val="04A0" w:firstRow="1" w:lastRow="0" w:firstColumn="1" w:lastColumn="0" w:noHBand="0" w:noVBand="1"/>
      </w:tblPr>
      <w:tblGrid>
        <w:gridCol w:w="2358"/>
        <w:gridCol w:w="7218"/>
      </w:tblGrid>
      <w:tr w:rsidR="0031683C" w:rsidRPr="007A365B" w:rsidTr="0031683C">
        <w:trPr>
          <w:cantSplit/>
          <w:tblHeader/>
        </w:trPr>
        <w:tc>
          <w:tcPr>
            <w:tcW w:w="2358" w:type="dxa"/>
            <w:vAlign w:val="center"/>
          </w:tcPr>
          <w:p w:rsidR="0031683C" w:rsidRPr="007A365B" w:rsidRDefault="0031683C" w:rsidP="0031683C">
            <w:pPr>
              <w:spacing w:line="240" w:lineRule="auto"/>
              <w:rPr>
                <w:b/>
              </w:rPr>
            </w:pPr>
            <w:r w:rsidRPr="007A365B">
              <w:rPr>
                <w:b/>
              </w:rPr>
              <w:t>DATE</w:t>
            </w:r>
          </w:p>
        </w:tc>
        <w:tc>
          <w:tcPr>
            <w:tcW w:w="7218" w:type="dxa"/>
            <w:vAlign w:val="center"/>
          </w:tcPr>
          <w:p w:rsidR="0031683C" w:rsidRPr="007A365B" w:rsidRDefault="0031683C" w:rsidP="0031683C">
            <w:pPr>
              <w:spacing w:line="240" w:lineRule="auto"/>
              <w:rPr>
                <w:b/>
              </w:rPr>
            </w:pPr>
            <w:r w:rsidRPr="007A365B">
              <w:rPr>
                <w:b/>
              </w:rPr>
              <w:t>EVENT</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March 6, 2014</w:t>
            </w:r>
          </w:p>
        </w:tc>
        <w:tc>
          <w:tcPr>
            <w:tcW w:w="7218" w:type="dxa"/>
            <w:vAlign w:val="center"/>
          </w:tcPr>
          <w:p w:rsidR="0031683C" w:rsidRPr="007A365B" w:rsidRDefault="0031683C" w:rsidP="0031683C">
            <w:pPr>
              <w:spacing w:line="240" w:lineRule="auto"/>
            </w:pPr>
            <w:r w:rsidRPr="007A365B">
              <w:t>TCMUD 12’s petition filed with TCEQ</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April 11, 2014</w:t>
            </w:r>
          </w:p>
        </w:tc>
        <w:tc>
          <w:tcPr>
            <w:tcW w:w="7218" w:type="dxa"/>
            <w:vAlign w:val="center"/>
          </w:tcPr>
          <w:p w:rsidR="0031683C" w:rsidRPr="007A365B" w:rsidRDefault="0031683C" w:rsidP="0031683C">
            <w:pPr>
              <w:spacing w:line="240" w:lineRule="auto"/>
            </w:pPr>
            <w:r w:rsidRPr="007A365B">
              <w:t>WTCPUA response to petition</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April 28, 2014</w:t>
            </w:r>
          </w:p>
        </w:tc>
        <w:tc>
          <w:tcPr>
            <w:tcW w:w="7218" w:type="dxa"/>
            <w:vAlign w:val="center"/>
          </w:tcPr>
          <w:p w:rsidR="0031683C" w:rsidRPr="007A365B" w:rsidRDefault="0031683C" w:rsidP="0031683C">
            <w:pPr>
              <w:spacing w:line="240" w:lineRule="auto"/>
            </w:pPr>
            <w:r w:rsidRPr="007A365B">
              <w:t xml:space="preserve">TCEQ referral to </w:t>
            </w:r>
            <w:r w:rsidR="00CE3400">
              <w:t>the State Office of Administrative Hearings (SOAH)</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May 9, 2014</w:t>
            </w:r>
          </w:p>
        </w:tc>
        <w:tc>
          <w:tcPr>
            <w:tcW w:w="7218" w:type="dxa"/>
            <w:vAlign w:val="center"/>
          </w:tcPr>
          <w:p w:rsidR="0031683C" w:rsidRPr="007A365B" w:rsidRDefault="0031683C" w:rsidP="0031683C">
            <w:pPr>
              <w:spacing w:line="240" w:lineRule="auto"/>
            </w:pPr>
            <w:r w:rsidRPr="007A365B">
              <w:t>TCEQ notice of preliminary hearing</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June 11, 2014</w:t>
            </w:r>
          </w:p>
        </w:tc>
        <w:tc>
          <w:tcPr>
            <w:tcW w:w="7218" w:type="dxa"/>
            <w:vAlign w:val="center"/>
          </w:tcPr>
          <w:p w:rsidR="0031683C" w:rsidRPr="007A365B" w:rsidRDefault="0031683C" w:rsidP="0031683C">
            <w:pPr>
              <w:spacing w:line="240" w:lineRule="auto"/>
            </w:pPr>
            <w:r w:rsidRPr="007A365B">
              <w:t>Preliminary hearing by SOAH for TCEQ</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July 14, 2014</w:t>
            </w:r>
          </w:p>
        </w:tc>
        <w:tc>
          <w:tcPr>
            <w:tcW w:w="7218" w:type="dxa"/>
            <w:vAlign w:val="center"/>
          </w:tcPr>
          <w:p w:rsidR="0031683C" w:rsidRPr="007A365B" w:rsidRDefault="0031683C" w:rsidP="0031683C">
            <w:pPr>
              <w:spacing w:line="240" w:lineRule="auto"/>
            </w:pPr>
            <w:r w:rsidRPr="007A365B">
              <w:t>Discovery began</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August 15, 2014</w:t>
            </w:r>
          </w:p>
        </w:tc>
        <w:tc>
          <w:tcPr>
            <w:tcW w:w="7218" w:type="dxa"/>
            <w:vAlign w:val="center"/>
          </w:tcPr>
          <w:p w:rsidR="0031683C" w:rsidRPr="007A365B" w:rsidRDefault="0031683C" w:rsidP="0031683C">
            <w:pPr>
              <w:spacing w:line="240" w:lineRule="auto"/>
            </w:pPr>
            <w:r w:rsidRPr="007A365B">
              <w:t>Deadline for requests for disclosure</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September 1, 2014</w:t>
            </w:r>
          </w:p>
        </w:tc>
        <w:tc>
          <w:tcPr>
            <w:tcW w:w="7218" w:type="dxa"/>
            <w:vAlign w:val="center"/>
          </w:tcPr>
          <w:p w:rsidR="0031683C" w:rsidRPr="007A365B" w:rsidRDefault="0031683C" w:rsidP="0031683C">
            <w:pPr>
              <w:spacing w:line="240" w:lineRule="auto"/>
            </w:pPr>
            <w:r w:rsidRPr="007A365B">
              <w:t>Jurisdiction transferred from TCEQ to PUC</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September 11, 2014</w:t>
            </w:r>
          </w:p>
        </w:tc>
        <w:tc>
          <w:tcPr>
            <w:tcW w:w="7218" w:type="dxa"/>
            <w:vAlign w:val="center"/>
          </w:tcPr>
          <w:p w:rsidR="0031683C" w:rsidRPr="007A365B" w:rsidRDefault="0031683C" w:rsidP="0031683C">
            <w:pPr>
              <w:spacing w:line="240" w:lineRule="auto"/>
            </w:pPr>
            <w:r w:rsidRPr="007A365B">
              <w:t xml:space="preserve">Prehearing conference </w:t>
            </w:r>
            <w:r>
              <w:t>for PUC</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September 12, 2014</w:t>
            </w:r>
          </w:p>
        </w:tc>
        <w:tc>
          <w:tcPr>
            <w:tcW w:w="7218" w:type="dxa"/>
            <w:vAlign w:val="center"/>
          </w:tcPr>
          <w:p w:rsidR="0031683C" w:rsidRPr="007A365B" w:rsidRDefault="0031683C" w:rsidP="0031683C">
            <w:pPr>
              <w:spacing w:line="240" w:lineRule="auto"/>
            </w:pPr>
            <w:r w:rsidRPr="007A365B">
              <w:t>TCMUD 12 Motion Amending Jurisdictional Claim &amp; ED’s Motion to Withdraw</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September 18, 2014</w:t>
            </w:r>
          </w:p>
        </w:tc>
        <w:tc>
          <w:tcPr>
            <w:tcW w:w="7218" w:type="dxa"/>
            <w:vAlign w:val="center"/>
          </w:tcPr>
          <w:p w:rsidR="0031683C" w:rsidRPr="007A365B" w:rsidRDefault="0031683C" w:rsidP="0031683C">
            <w:pPr>
              <w:spacing w:line="240" w:lineRule="auto"/>
            </w:pPr>
            <w:r w:rsidRPr="007A365B">
              <w:t>SOAH Order 4 – Memorializing PHC, Granting Motion to Amend Jurisdictional Claim, and Granting Motion to Withdraw</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September 30, 2014</w:t>
            </w:r>
          </w:p>
        </w:tc>
        <w:tc>
          <w:tcPr>
            <w:tcW w:w="7218" w:type="dxa"/>
            <w:vAlign w:val="center"/>
          </w:tcPr>
          <w:p w:rsidR="0031683C" w:rsidRPr="007A365B" w:rsidRDefault="0031683C" w:rsidP="0031683C">
            <w:pPr>
              <w:spacing w:line="240" w:lineRule="auto"/>
            </w:pPr>
            <w:r w:rsidRPr="007A365B">
              <w:t>SOAH Order 6 – Granting In Part &amp; Denying in Part Motion to Compel</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October 10, 2014</w:t>
            </w:r>
          </w:p>
        </w:tc>
        <w:tc>
          <w:tcPr>
            <w:tcW w:w="7218" w:type="dxa"/>
            <w:vAlign w:val="center"/>
          </w:tcPr>
          <w:p w:rsidR="0031683C" w:rsidRPr="007A365B" w:rsidRDefault="0031683C" w:rsidP="0031683C">
            <w:pPr>
              <w:spacing w:line="240" w:lineRule="auto"/>
            </w:pPr>
            <w:r w:rsidRPr="007A365B">
              <w:t>TCMUD 12’s Interim Appeal of SOAH Order No. 6</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October 17, 2014</w:t>
            </w:r>
          </w:p>
        </w:tc>
        <w:tc>
          <w:tcPr>
            <w:tcW w:w="7218" w:type="dxa"/>
            <w:vAlign w:val="center"/>
          </w:tcPr>
          <w:p w:rsidR="0031683C" w:rsidRPr="007A365B" w:rsidRDefault="0031683C" w:rsidP="0031683C">
            <w:pPr>
              <w:spacing w:line="240" w:lineRule="auto"/>
            </w:pPr>
            <w:r w:rsidRPr="007A365B">
              <w:t>WTCPUA Response to TCMUD 12’s Interim Appeal of SOAH Order No. 6</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October 31, 2014</w:t>
            </w:r>
          </w:p>
        </w:tc>
        <w:tc>
          <w:tcPr>
            <w:tcW w:w="7218" w:type="dxa"/>
            <w:vAlign w:val="center"/>
          </w:tcPr>
          <w:p w:rsidR="0031683C" w:rsidRPr="007A365B" w:rsidRDefault="0031683C" w:rsidP="0031683C">
            <w:pPr>
              <w:spacing w:line="240" w:lineRule="auto"/>
            </w:pPr>
            <w:r w:rsidRPr="007A365B">
              <w:t>TCMUD 12’s direct case evidence filed</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November 5, 2014</w:t>
            </w:r>
          </w:p>
        </w:tc>
        <w:tc>
          <w:tcPr>
            <w:tcW w:w="7218" w:type="dxa"/>
            <w:vAlign w:val="center"/>
          </w:tcPr>
          <w:p w:rsidR="0031683C" w:rsidRPr="007A365B" w:rsidRDefault="0031683C" w:rsidP="0031683C">
            <w:pPr>
              <w:spacing w:line="240" w:lineRule="auto"/>
            </w:pPr>
            <w:r w:rsidRPr="007A365B">
              <w:t>SOAH Order 9 – Ruling on Motions to Determine Sufficiency and Motion to Compel</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November 24, 2014</w:t>
            </w:r>
          </w:p>
        </w:tc>
        <w:tc>
          <w:tcPr>
            <w:tcW w:w="7218" w:type="dxa"/>
            <w:vAlign w:val="center"/>
          </w:tcPr>
          <w:p w:rsidR="0031683C" w:rsidRPr="007A365B" w:rsidRDefault="0031683C" w:rsidP="0031683C">
            <w:pPr>
              <w:spacing w:line="240" w:lineRule="auto"/>
            </w:pPr>
            <w:r w:rsidRPr="007A365B">
              <w:t>PUC Order Granting TCMUD’s Appeal of SOAH Order No. 6</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December 19, 2014</w:t>
            </w:r>
          </w:p>
        </w:tc>
        <w:tc>
          <w:tcPr>
            <w:tcW w:w="7218" w:type="dxa"/>
            <w:vAlign w:val="center"/>
          </w:tcPr>
          <w:p w:rsidR="0031683C" w:rsidRPr="007A365B" w:rsidRDefault="0031683C" w:rsidP="0031683C">
            <w:pPr>
              <w:spacing w:line="240" w:lineRule="auto"/>
            </w:pPr>
            <w:r w:rsidRPr="007A365B">
              <w:t>WTCPUA Direct Testimony Filed</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February 6, 2015</w:t>
            </w:r>
          </w:p>
        </w:tc>
        <w:tc>
          <w:tcPr>
            <w:tcW w:w="7218" w:type="dxa"/>
            <w:vAlign w:val="center"/>
          </w:tcPr>
          <w:p w:rsidR="0031683C" w:rsidRPr="007A365B" w:rsidRDefault="0031683C" w:rsidP="0031683C">
            <w:pPr>
              <w:spacing w:line="240" w:lineRule="auto"/>
            </w:pPr>
            <w:r w:rsidRPr="007A365B">
              <w:t>PUC Staff Direct Testimony Filed</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March 6, 2015</w:t>
            </w:r>
          </w:p>
        </w:tc>
        <w:tc>
          <w:tcPr>
            <w:tcW w:w="7218" w:type="dxa"/>
            <w:vAlign w:val="center"/>
          </w:tcPr>
          <w:p w:rsidR="0031683C" w:rsidRPr="007A365B" w:rsidRDefault="0031683C" w:rsidP="0031683C">
            <w:pPr>
              <w:spacing w:line="240" w:lineRule="auto"/>
            </w:pPr>
            <w:r w:rsidRPr="007A365B">
              <w:t>Discovery on TCMUD 12 direct case ends</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March 6, 2015</w:t>
            </w:r>
          </w:p>
        </w:tc>
        <w:tc>
          <w:tcPr>
            <w:tcW w:w="7218" w:type="dxa"/>
            <w:vAlign w:val="center"/>
          </w:tcPr>
          <w:p w:rsidR="0031683C" w:rsidRPr="007A365B" w:rsidRDefault="0031683C" w:rsidP="0031683C">
            <w:pPr>
              <w:spacing w:line="240" w:lineRule="auto"/>
            </w:pPr>
            <w:r w:rsidRPr="007A365B">
              <w:t>WTCPUA Motion for Partial Summary Decision</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March 18, 2015</w:t>
            </w:r>
          </w:p>
        </w:tc>
        <w:tc>
          <w:tcPr>
            <w:tcW w:w="7218" w:type="dxa"/>
            <w:vAlign w:val="center"/>
          </w:tcPr>
          <w:p w:rsidR="0031683C" w:rsidRPr="007A365B" w:rsidRDefault="0031683C" w:rsidP="0031683C">
            <w:pPr>
              <w:spacing w:line="240" w:lineRule="auto"/>
            </w:pPr>
            <w:r w:rsidRPr="007A365B">
              <w:t>TCMUD 12 Response to WTCPUA Motion for Partial Summary Decision</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March 18, 2015</w:t>
            </w:r>
          </w:p>
        </w:tc>
        <w:tc>
          <w:tcPr>
            <w:tcW w:w="7218" w:type="dxa"/>
            <w:vAlign w:val="center"/>
          </w:tcPr>
          <w:p w:rsidR="0031683C" w:rsidRPr="007A365B" w:rsidRDefault="0031683C" w:rsidP="0031683C">
            <w:pPr>
              <w:spacing w:line="240" w:lineRule="auto"/>
            </w:pPr>
            <w:r w:rsidRPr="007A365B">
              <w:t>Staff Response to WTCPUA Motion for Partial Summary Decision</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March 24, 2015</w:t>
            </w:r>
          </w:p>
        </w:tc>
        <w:tc>
          <w:tcPr>
            <w:tcW w:w="7218" w:type="dxa"/>
            <w:vAlign w:val="center"/>
          </w:tcPr>
          <w:p w:rsidR="0031683C" w:rsidRPr="007A365B" w:rsidRDefault="00093EAC" w:rsidP="0031683C">
            <w:pPr>
              <w:spacing w:line="240" w:lineRule="auto"/>
            </w:pPr>
            <w:r>
              <w:t xml:space="preserve">TCMUD 12 </w:t>
            </w:r>
            <w:r w:rsidR="0031683C" w:rsidRPr="007A365B">
              <w:t>Rebuttal Testimony filed</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lastRenderedPageBreak/>
              <w:t>March 25, 2015</w:t>
            </w:r>
          </w:p>
        </w:tc>
        <w:tc>
          <w:tcPr>
            <w:tcW w:w="7218" w:type="dxa"/>
            <w:vAlign w:val="center"/>
          </w:tcPr>
          <w:p w:rsidR="0031683C" w:rsidRPr="007A365B" w:rsidRDefault="0031683C" w:rsidP="0031683C">
            <w:pPr>
              <w:spacing w:line="240" w:lineRule="auto"/>
            </w:pPr>
            <w:r w:rsidRPr="007A365B">
              <w:t>SOAH Order 13 – Granting Part &amp; Denying Part of Motion for Partial Summary Disposition</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April 13, 2015</w:t>
            </w:r>
          </w:p>
        </w:tc>
        <w:tc>
          <w:tcPr>
            <w:tcW w:w="7218" w:type="dxa"/>
            <w:vAlign w:val="center"/>
          </w:tcPr>
          <w:p w:rsidR="0031683C" w:rsidRPr="007A365B" w:rsidRDefault="0031683C" w:rsidP="0031683C">
            <w:pPr>
              <w:spacing w:line="240" w:lineRule="auto"/>
            </w:pPr>
            <w:r w:rsidRPr="007A365B">
              <w:t>Prehearing Conference</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April 15, 2015</w:t>
            </w:r>
          </w:p>
        </w:tc>
        <w:tc>
          <w:tcPr>
            <w:tcW w:w="7218" w:type="dxa"/>
            <w:vAlign w:val="center"/>
          </w:tcPr>
          <w:p w:rsidR="0031683C" w:rsidRPr="007A365B" w:rsidRDefault="0031683C" w:rsidP="0031683C">
            <w:pPr>
              <w:spacing w:line="240" w:lineRule="auto"/>
            </w:pPr>
            <w:r w:rsidRPr="007A365B">
              <w:t>SOAH Order 15 – Granting Revised Motion to Compel and Ruling on Objections to Prefiled Evidence</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April 17, 2015</w:t>
            </w:r>
          </w:p>
        </w:tc>
        <w:tc>
          <w:tcPr>
            <w:tcW w:w="7218" w:type="dxa"/>
            <w:vAlign w:val="center"/>
          </w:tcPr>
          <w:p w:rsidR="0031683C" w:rsidRPr="007A365B" w:rsidRDefault="0031683C" w:rsidP="0031683C">
            <w:pPr>
              <w:spacing w:line="240" w:lineRule="auto"/>
            </w:pPr>
            <w:r w:rsidRPr="007A365B">
              <w:t>SOAH Order 16 – Ruling on Objections to Prefiled Rebuttal Evidence</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April 21-23, 2015</w:t>
            </w:r>
          </w:p>
        </w:tc>
        <w:tc>
          <w:tcPr>
            <w:tcW w:w="7218" w:type="dxa"/>
            <w:vAlign w:val="center"/>
          </w:tcPr>
          <w:p w:rsidR="0031683C" w:rsidRPr="007A365B" w:rsidRDefault="0031683C" w:rsidP="0031683C">
            <w:pPr>
              <w:spacing w:line="240" w:lineRule="auto"/>
            </w:pPr>
            <w:r w:rsidRPr="007A365B">
              <w:t>Hearing on the Merits</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May 1, 2015</w:t>
            </w:r>
          </w:p>
        </w:tc>
        <w:tc>
          <w:tcPr>
            <w:tcW w:w="7218" w:type="dxa"/>
            <w:vAlign w:val="center"/>
          </w:tcPr>
          <w:p w:rsidR="0031683C" w:rsidRPr="007A365B" w:rsidRDefault="0031683C" w:rsidP="0031683C">
            <w:pPr>
              <w:spacing w:line="240" w:lineRule="auto"/>
            </w:pPr>
            <w:r w:rsidRPr="007A365B">
              <w:t>SOAH Order 17 – Setting out Post-Hearing Schedule and Briefing Outline</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June 26, 2015</w:t>
            </w:r>
          </w:p>
        </w:tc>
        <w:tc>
          <w:tcPr>
            <w:tcW w:w="7218" w:type="dxa"/>
            <w:vAlign w:val="center"/>
          </w:tcPr>
          <w:p w:rsidR="0031683C" w:rsidRPr="007A365B" w:rsidRDefault="0031683C" w:rsidP="0031683C">
            <w:pPr>
              <w:spacing w:line="240" w:lineRule="auto"/>
            </w:pPr>
            <w:r w:rsidRPr="007A365B">
              <w:t>Initial Closing Briefs due date</w:t>
            </w:r>
          </w:p>
        </w:tc>
      </w:tr>
      <w:tr w:rsidR="0031683C" w:rsidRPr="007A365B" w:rsidTr="0031683C">
        <w:trPr>
          <w:cantSplit/>
        </w:trPr>
        <w:tc>
          <w:tcPr>
            <w:tcW w:w="2358" w:type="dxa"/>
            <w:vAlign w:val="center"/>
          </w:tcPr>
          <w:p w:rsidR="0031683C" w:rsidRPr="007A365B" w:rsidRDefault="0031683C" w:rsidP="0031683C">
            <w:pPr>
              <w:spacing w:line="240" w:lineRule="auto"/>
            </w:pPr>
            <w:r w:rsidRPr="007A365B">
              <w:t>August 3, 2015</w:t>
            </w:r>
          </w:p>
        </w:tc>
        <w:tc>
          <w:tcPr>
            <w:tcW w:w="7218" w:type="dxa"/>
            <w:vAlign w:val="center"/>
          </w:tcPr>
          <w:p w:rsidR="0031683C" w:rsidRPr="007A365B" w:rsidRDefault="0031683C" w:rsidP="0031683C">
            <w:pPr>
              <w:spacing w:line="240" w:lineRule="auto"/>
            </w:pPr>
            <w:r w:rsidRPr="007A365B">
              <w:t>Reply Briefs due date</w:t>
            </w:r>
            <w:r w:rsidR="006B6634">
              <w:t>; evidentiary record closed</w:t>
            </w:r>
          </w:p>
        </w:tc>
      </w:tr>
    </w:tbl>
    <w:p w:rsidR="0031683C" w:rsidRPr="007A365B" w:rsidRDefault="0031683C" w:rsidP="0031683C">
      <w:pPr>
        <w:spacing w:line="240" w:lineRule="auto"/>
      </w:pPr>
    </w:p>
    <w:p w:rsidR="0031683C" w:rsidRPr="007A365B" w:rsidRDefault="0031683C" w:rsidP="0031683C">
      <w:pPr>
        <w:spacing w:line="240" w:lineRule="auto"/>
        <w:rPr>
          <w:b/>
        </w:rPr>
      </w:pPr>
      <w:r w:rsidRPr="007A365B">
        <w:rPr>
          <w:b/>
        </w:rPr>
        <w:t>Bargaining Power of the Parties</w:t>
      </w:r>
    </w:p>
    <w:p w:rsidR="0031683C" w:rsidRPr="007A365B" w:rsidRDefault="0031683C" w:rsidP="0031683C">
      <w:pPr>
        <w:spacing w:line="240" w:lineRule="auto"/>
        <w:rPr>
          <w:b/>
        </w:rPr>
      </w:pPr>
      <w:r w:rsidRPr="007A365B">
        <w:rPr>
          <w:b/>
        </w:rPr>
        <w:t>Alternative Means of Service and Problems in Obtaining</w:t>
      </w:r>
      <w:r w:rsidR="00BB0ED9">
        <w:rPr>
          <w:b/>
        </w:rPr>
        <w:t xml:space="preserve"> Alternative Water Service</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TCMUDs 11, 12, and 13 have statutory authority to construct and operate water treatment facilities.  Tex. Water Code § 54.201(b).</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Building its own facilities to transport, treat, and deliver the raw water it purchases from LCRA was and is a</w:t>
      </w:r>
      <w:r w:rsidR="001916A4">
        <w:t xml:space="preserve"> viable</w:t>
      </w:r>
      <w:r w:rsidRPr="007A365B">
        <w:t xml:space="preserve"> alternative available to TCMUD 12 to serve itself and TCMUDs 11 and 13.</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TCMUD 12 is free under the Water Services Agreement to </w:t>
      </w:r>
      <w:r>
        <w:t>reduce the quantity of treatment services it receive</w:t>
      </w:r>
      <w:r w:rsidR="001916A4">
        <w:t>s</w:t>
      </w:r>
      <w:r>
        <w:t xml:space="preserve"> from WTCPUA and serve itself</w:t>
      </w:r>
      <w:r w:rsidR="001916A4">
        <w:t>.</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The evidence does not show that TCMUD 12 has or had </w:t>
      </w:r>
      <w:r>
        <w:t xml:space="preserve">alternatives </w:t>
      </w:r>
      <w:r w:rsidRPr="007A365B">
        <w:t xml:space="preserve">available </w:t>
      </w:r>
      <w:r>
        <w:t xml:space="preserve">for obtaining </w:t>
      </w:r>
      <w:r w:rsidRPr="007A365B">
        <w:t>water treatment service for itself and TCMUDs 11 and 1</w:t>
      </w:r>
      <w:r w:rsidR="001916A4">
        <w:t>3</w:t>
      </w:r>
      <w:r w:rsidRPr="007A365B">
        <w:t xml:space="preserve"> other than self-service and service fro</w:t>
      </w:r>
      <w:r>
        <w:t>m LCRA and subsequently WTCPUA.</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Under the Water Services Agreement, TCMUD 12 is entitled to receive treatment from WCTPUA for a maximum flow of 3,980,000 gallons per day (gpd) of water, which is TCMUD 12’s maximum reserved capacity in WTCPUA’s system.</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In a December 17, 2013 notice of the Protested Rates, WTCPUA offered to allow TCMUD 12 to amend its contract to reduce its maximum reserved capacity in WTCPUA’s West Travis County Facilities.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If TCMUD 12 had accepted the offer and reduced its maximum reserved capacity, that would have reduced the monthly charge </w:t>
      </w:r>
      <w:r w:rsidR="00D87867">
        <w:t xml:space="preserve">TCMUD 12 </w:t>
      </w:r>
      <w:r w:rsidRPr="007A365B">
        <w:t>pays under the Protested Rates and adopted the rate calculation formula underlying the Protested Rates.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WTCPUA </w:t>
      </w:r>
      <w:r>
        <w:t xml:space="preserve">similarly offered to allow </w:t>
      </w:r>
      <w:r w:rsidRPr="007A365B">
        <w:t>its 13 other wholesale customers</w:t>
      </w:r>
      <w:r>
        <w:t xml:space="preserve"> to amend their contracts to change their maximum reserved treatment capacity</w:t>
      </w:r>
      <w:r w:rsidRPr="007A365B">
        <w:t xml:space="preserve">.  As of December 19, </w:t>
      </w:r>
      <w:r w:rsidRPr="007A365B">
        <w:lastRenderedPageBreak/>
        <w:t>2014, approximately one year after WTCPUA made the offer, six of them had chosen to amend their agreements and change</w:t>
      </w:r>
      <w:r w:rsidR="001916A4">
        <w:t xml:space="preserve"> their maximum reserved capacities</w:t>
      </w:r>
      <w:r w:rsidRPr="007A365B">
        <w:t>:</w:t>
      </w:r>
    </w:p>
    <w:p w:rsidR="0031683C" w:rsidRPr="007A365B" w:rsidRDefault="0031683C" w:rsidP="0031683C">
      <w:pPr>
        <w:spacing w:line="240" w:lineRule="auto"/>
      </w:pPr>
    </w:p>
    <w:tbl>
      <w:tblPr>
        <w:tblStyle w:val="TableGrid"/>
        <w:tblW w:w="9558" w:type="dxa"/>
        <w:tblLook w:val="04A0" w:firstRow="1" w:lastRow="0" w:firstColumn="1" w:lastColumn="0" w:noHBand="0" w:noVBand="1"/>
      </w:tblPr>
      <w:tblGrid>
        <w:gridCol w:w="3078"/>
        <w:gridCol w:w="1710"/>
        <w:gridCol w:w="2610"/>
        <w:gridCol w:w="2160"/>
      </w:tblGrid>
      <w:tr w:rsidR="0031683C" w:rsidRPr="007A365B" w:rsidTr="0031683C">
        <w:trPr>
          <w:cantSplit/>
        </w:trPr>
        <w:tc>
          <w:tcPr>
            <w:tcW w:w="3078" w:type="dxa"/>
            <w:vAlign w:val="center"/>
          </w:tcPr>
          <w:p w:rsidR="0031683C" w:rsidRPr="007A365B" w:rsidRDefault="0031683C" w:rsidP="0031683C">
            <w:pPr>
              <w:spacing w:line="240" w:lineRule="auto"/>
              <w:jc w:val="left"/>
              <w:rPr>
                <w:b/>
              </w:rPr>
            </w:pPr>
            <w:r w:rsidRPr="007A365B">
              <w:rPr>
                <w:b/>
              </w:rPr>
              <w:t>Entity</w:t>
            </w:r>
          </w:p>
        </w:tc>
        <w:tc>
          <w:tcPr>
            <w:tcW w:w="1710" w:type="dxa"/>
            <w:vAlign w:val="center"/>
          </w:tcPr>
          <w:p w:rsidR="0031683C" w:rsidRPr="007A365B" w:rsidRDefault="0031683C" w:rsidP="0031683C">
            <w:pPr>
              <w:spacing w:line="240" w:lineRule="auto"/>
              <w:jc w:val="left"/>
              <w:rPr>
                <w:b/>
              </w:rPr>
            </w:pPr>
            <w:r w:rsidRPr="007A365B">
              <w:rPr>
                <w:b/>
              </w:rPr>
              <w:t>Original</w:t>
            </w:r>
          </w:p>
          <w:p w:rsidR="0031683C" w:rsidRPr="007A365B" w:rsidRDefault="0031683C" w:rsidP="0031683C">
            <w:pPr>
              <w:spacing w:line="240" w:lineRule="auto"/>
              <w:jc w:val="left"/>
              <w:rPr>
                <w:b/>
              </w:rPr>
            </w:pPr>
            <w:r w:rsidRPr="007A365B">
              <w:rPr>
                <w:b/>
              </w:rPr>
              <w:t>Max. Day</w:t>
            </w:r>
          </w:p>
          <w:p w:rsidR="0031683C" w:rsidRPr="007A365B" w:rsidRDefault="0031683C" w:rsidP="0031683C">
            <w:pPr>
              <w:spacing w:line="240" w:lineRule="auto"/>
              <w:jc w:val="left"/>
              <w:rPr>
                <w:b/>
              </w:rPr>
            </w:pPr>
            <w:r w:rsidRPr="007A365B">
              <w:rPr>
                <w:b/>
              </w:rPr>
              <w:t>Reservation</w:t>
            </w:r>
          </w:p>
        </w:tc>
        <w:tc>
          <w:tcPr>
            <w:tcW w:w="2610" w:type="dxa"/>
            <w:vAlign w:val="center"/>
          </w:tcPr>
          <w:p w:rsidR="0031683C" w:rsidRPr="007A365B" w:rsidRDefault="0031683C" w:rsidP="0031683C">
            <w:pPr>
              <w:spacing w:line="240" w:lineRule="auto"/>
              <w:jc w:val="left"/>
              <w:rPr>
                <w:b/>
              </w:rPr>
            </w:pPr>
            <w:r w:rsidRPr="007A365B">
              <w:rPr>
                <w:b/>
              </w:rPr>
              <w:t>Amendment Date</w:t>
            </w:r>
          </w:p>
        </w:tc>
        <w:tc>
          <w:tcPr>
            <w:tcW w:w="2160" w:type="dxa"/>
            <w:vAlign w:val="center"/>
          </w:tcPr>
          <w:p w:rsidR="0031683C" w:rsidRPr="007A365B" w:rsidRDefault="0031683C" w:rsidP="0031683C">
            <w:pPr>
              <w:spacing w:line="240" w:lineRule="auto"/>
              <w:jc w:val="left"/>
              <w:rPr>
                <w:b/>
              </w:rPr>
            </w:pPr>
            <w:r w:rsidRPr="007A365B">
              <w:rPr>
                <w:b/>
              </w:rPr>
              <w:t>Amended</w:t>
            </w:r>
          </w:p>
          <w:p w:rsidR="0031683C" w:rsidRPr="007A365B" w:rsidRDefault="0031683C" w:rsidP="0031683C">
            <w:pPr>
              <w:spacing w:line="240" w:lineRule="auto"/>
              <w:jc w:val="left"/>
              <w:rPr>
                <w:b/>
              </w:rPr>
            </w:pPr>
            <w:r w:rsidRPr="007A365B">
              <w:rPr>
                <w:b/>
              </w:rPr>
              <w:t>Max. Day</w:t>
            </w:r>
          </w:p>
          <w:p w:rsidR="0031683C" w:rsidRPr="007A365B" w:rsidRDefault="0031683C" w:rsidP="0031683C">
            <w:pPr>
              <w:spacing w:line="240" w:lineRule="auto"/>
              <w:jc w:val="left"/>
              <w:rPr>
                <w:b/>
              </w:rPr>
            </w:pPr>
            <w:r w:rsidRPr="007A365B">
              <w:rPr>
                <w:b/>
              </w:rPr>
              <w:t>Reservation</w:t>
            </w:r>
          </w:p>
        </w:tc>
      </w:tr>
      <w:tr w:rsidR="0031683C" w:rsidRPr="007A365B" w:rsidTr="0031683C">
        <w:trPr>
          <w:cantSplit/>
        </w:trPr>
        <w:tc>
          <w:tcPr>
            <w:tcW w:w="3078" w:type="dxa"/>
            <w:vAlign w:val="center"/>
          </w:tcPr>
          <w:p w:rsidR="0031683C" w:rsidRPr="007A365B" w:rsidRDefault="0031683C" w:rsidP="0031683C">
            <w:pPr>
              <w:spacing w:line="240" w:lineRule="auto"/>
              <w:jc w:val="left"/>
            </w:pPr>
            <w:r w:rsidRPr="007A365B">
              <w:t>Hays County WCID No. 1</w:t>
            </w:r>
          </w:p>
        </w:tc>
        <w:tc>
          <w:tcPr>
            <w:tcW w:w="1710" w:type="dxa"/>
            <w:vAlign w:val="center"/>
          </w:tcPr>
          <w:p w:rsidR="0031683C" w:rsidRPr="007A365B" w:rsidRDefault="0031683C" w:rsidP="0031683C">
            <w:pPr>
              <w:spacing w:line="240" w:lineRule="auto"/>
              <w:jc w:val="left"/>
            </w:pPr>
            <w:r w:rsidRPr="007A365B">
              <w:t>345,600 gpd</w:t>
            </w:r>
          </w:p>
        </w:tc>
        <w:tc>
          <w:tcPr>
            <w:tcW w:w="2610" w:type="dxa"/>
            <w:vAlign w:val="center"/>
          </w:tcPr>
          <w:p w:rsidR="0031683C" w:rsidRPr="007A365B" w:rsidRDefault="0031683C" w:rsidP="0031683C">
            <w:pPr>
              <w:spacing w:line="240" w:lineRule="auto"/>
              <w:jc w:val="left"/>
            </w:pPr>
            <w:r w:rsidRPr="007A365B">
              <w:t>Sept. 26, 2013</w:t>
            </w:r>
          </w:p>
        </w:tc>
        <w:tc>
          <w:tcPr>
            <w:tcW w:w="2160" w:type="dxa"/>
            <w:vAlign w:val="center"/>
          </w:tcPr>
          <w:p w:rsidR="0031683C" w:rsidRPr="007A365B" w:rsidRDefault="0031683C" w:rsidP="0031683C">
            <w:pPr>
              <w:spacing w:line="240" w:lineRule="auto"/>
              <w:jc w:val="left"/>
            </w:pPr>
            <w:r w:rsidRPr="007A365B">
              <w:t>1,221,120 gpd</w:t>
            </w:r>
          </w:p>
        </w:tc>
      </w:tr>
      <w:tr w:rsidR="0031683C" w:rsidRPr="007A365B" w:rsidTr="0031683C">
        <w:trPr>
          <w:cantSplit/>
        </w:trPr>
        <w:tc>
          <w:tcPr>
            <w:tcW w:w="3078" w:type="dxa"/>
            <w:vAlign w:val="center"/>
          </w:tcPr>
          <w:p w:rsidR="0031683C" w:rsidRPr="007A365B" w:rsidRDefault="0031683C" w:rsidP="0031683C">
            <w:pPr>
              <w:spacing w:line="240" w:lineRule="auto"/>
              <w:jc w:val="left"/>
            </w:pPr>
            <w:r w:rsidRPr="007A365B">
              <w:t>Hays County WCID No. 2</w:t>
            </w:r>
          </w:p>
        </w:tc>
        <w:tc>
          <w:tcPr>
            <w:tcW w:w="1710" w:type="dxa"/>
            <w:vAlign w:val="center"/>
          </w:tcPr>
          <w:p w:rsidR="0031683C" w:rsidRPr="007A365B" w:rsidRDefault="0031683C" w:rsidP="0031683C">
            <w:pPr>
              <w:spacing w:line="240" w:lineRule="auto"/>
              <w:jc w:val="left"/>
            </w:pPr>
            <w:r w:rsidRPr="007A365B">
              <w:t>618,624 gpd</w:t>
            </w:r>
          </w:p>
        </w:tc>
        <w:tc>
          <w:tcPr>
            <w:tcW w:w="2610" w:type="dxa"/>
            <w:vAlign w:val="center"/>
          </w:tcPr>
          <w:p w:rsidR="0031683C" w:rsidRPr="007A365B" w:rsidRDefault="0031683C" w:rsidP="0031683C">
            <w:pPr>
              <w:spacing w:line="240" w:lineRule="auto"/>
              <w:jc w:val="left"/>
            </w:pPr>
            <w:r w:rsidRPr="007A365B">
              <w:t>Aug. 14, 2014</w:t>
            </w:r>
          </w:p>
        </w:tc>
        <w:tc>
          <w:tcPr>
            <w:tcW w:w="2160" w:type="dxa"/>
            <w:vAlign w:val="center"/>
          </w:tcPr>
          <w:p w:rsidR="0031683C" w:rsidRPr="007A365B" w:rsidRDefault="0031683C" w:rsidP="0031683C">
            <w:pPr>
              <w:spacing w:line="240" w:lineRule="auto"/>
              <w:jc w:val="left"/>
            </w:pPr>
            <w:r w:rsidRPr="007A365B">
              <w:t>1,166,170 gpd</w:t>
            </w:r>
          </w:p>
        </w:tc>
      </w:tr>
      <w:tr w:rsidR="0031683C" w:rsidRPr="007A365B" w:rsidTr="0031683C">
        <w:trPr>
          <w:cantSplit/>
        </w:trPr>
        <w:tc>
          <w:tcPr>
            <w:tcW w:w="3078" w:type="dxa"/>
            <w:vAlign w:val="center"/>
          </w:tcPr>
          <w:p w:rsidR="0031683C" w:rsidRPr="007A365B" w:rsidRDefault="0031683C" w:rsidP="0031683C">
            <w:pPr>
              <w:spacing w:line="240" w:lineRule="auto"/>
              <w:jc w:val="left"/>
            </w:pPr>
            <w:r w:rsidRPr="007A365B">
              <w:t>Reunion Ranch WCID</w:t>
            </w:r>
          </w:p>
        </w:tc>
        <w:tc>
          <w:tcPr>
            <w:tcW w:w="1710" w:type="dxa"/>
            <w:vAlign w:val="center"/>
          </w:tcPr>
          <w:p w:rsidR="0031683C" w:rsidRPr="007A365B" w:rsidRDefault="0031683C" w:rsidP="0031683C">
            <w:pPr>
              <w:spacing w:line="240" w:lineRule="auto"/>
              <w:jc w:val="left"/>
            </w:pPr>
            <w:r w:rsidRPr="007A365B">
              <w:t>553,000 gpd</w:t>
            </w:r>
          </w:p>
        </w:tc>
        <w:tc>
          <w:tcPr>
            <w:tcW w:w="2610" w:type="dxa"/>
            <w:vAlign w:val="center"/>
          </w:tcPr>
          <w:p w:rsidR="0031683C" w:rsidRPr="007A365B" w:rsidRDefault="0031683C" w:rsidP="0031683C">
            <w:pPr>
              <w:spacing w:line="240" w:lineRule="auto"/>
              <w:jc w:val="left"/>
            </w:pPr>
            <w:r w:rsidRPr="007A365B">
              <w:t>Mar. 28, 2014</w:t>
            </w:r>
          </w:p>
        </w:tc>
        <w:tc>
          <w:tcPr>
            <w:tcW w:w="2160" w:type="dxa"/>
            <w:vAlign w:val="center"/>
          </w:tcPr>
          <w:p w:rsidR="0031683C" w:rsidRPr="007A365B" w:rsidRDefault="0031683C" w:rsidP="0031683C">
            <w:pPr>
              <w:spacing w:line="240" w:lineRule="auto"/>
              <w:jc w:val="left"/>
            </w:pPr>
            <w:r w:rsidRPr="007A365B">
              <w:t>603,692 gpd</w:t>
            </w:r>
          </w:p>
        </w:tc>
      </w:tr>
      <w:tr w:rsidR="0031683C" w:rsidRPr="007A365B" w:rsidTr="0031683C">
        <w:trPr>
          <w:cantSplit/>
        </w:trPr>
        <w:tc>
          <w:tcPr>
            <w:tcW w:w="3078" w:type="dxa"/>
            <w:vAlign w:val="center"/>
          </w:tcPr>
          <w:p w:rsidR="0031683C" w:rsidRPr="007A365B" w:rsidRDefault="0031683C" w:rsidP="0031683C">
            <w:pPr>
              <w:spacing w:line="240" w:lineRule="auto"/>
              <w:jc w:val="left"/>
            </w:pPr>
            <w:r w:rsidRPr="007A365B">
              <w:t>Senna Hills MUD</w:t>
            </w:r>
          </w:p>
        </w:tc>
        <w:tc>
          <w:tcPr>
            <w:tcW w:w="1710" w:type="dxa"/>
            <w:vAlign w:val="center"/>
          </w:tcPr>
          <w:p w:rsidR="0031683C" w:rsidRPr="007A365B" w:rsidRDefault="0031683C" w:rsidP="0031683C">
            <w:pPr>
              <w:spacing w:line="240" w:lineRule="auto"/>
              <w:jc w:val="left"/>
            </w:pPr>
            <w:r w:rsidRPr="007A365B">
              <w:t>907,000 gpd</w:t>
            </w:r>
          </w:p>
        </w:tc>
        <w:tc>
          <w:tcPr>
            <w:tcW w:w="2610" w:type="dxa"/>
            <w:vAlign w:val="center"/>
          </w:tcPr>
          <w:p w:rsidR="0031683C" w:rsidRPr="007A365B" w:rsidRDefault="0031683C" w:rsidP="0031683C">
            <w:pPr>
              <w:spacing w:line="240" w:lineRule="auto"/>
              <w:jc w:val="left"/>
            </w:pPr>
            <w:r w:rsidRPr="007A365B">
              <w:t>After Nov. 21, 2013</w:t>
            </w:r>
          </w:p>
        </w:tc>
        <w:tc>
          <w:tcPr>
            <w:tcW w:w="2160" w:type="dxa"/>
            <w:vAlign w:val="center"/>
          </w:tcPr>
          <w:p w:rsidR="0031683C" w:rsidRPr="007A365B" w:rsidRDefault="0031683C" w:rsidP="0031683C">
            <w:pPr>
              <w:spacing w:line="240" w:lineRule="auto"/>
              <w:jc w:val="left"/>
            </w:pPr>
            <w:r w:rsidRPr="007A365B">
              <w:t>575,000 gpd</w:t>
            </w:r>
          </w:p>
        </w:tc>
      </w:tr>
      <w:tr w:rsidR="0031683C" w:rsidRPr="007A365B" w:rsidTr="0031683C">
        <w:trPr>
          <w:cantSplit/>
        </w:trPr>
        <w:tc>
          <w:tcPr>
            <w:tcW w:w="3078" w:type="dxa"/>
            <w:vAlign w:val="center"/>
          </w:tcPr>
          <w:p w:rsidR="0031683C" w:rsidRPr="007A365B" w:rsidRDefault="0031683C" w:rsidP="0031683C">
            <w:pPr>
              <w:spacing w:line="240" w:lineRule="auto"/>
              <w:jc w:val="left"/>
            </w:pPr>
            <w:r w:rsidRPr="007A365B">
              <w:t>Lazy 9 MUD</w:t>
            </w:r>
          </w:p>
        </w:tc>
        <w:tc>
          <w:tcPr>
            <w:tcW w:w="1710" w:type="dxa"/>
            <w:vAlign w:val="center"/>
          </w:tcPr>
          <w:p w:rsidR="0031683C" w:rsidRPr="007A365B" w:rsidRDefault="0031683C" w:rsidP="0031683C">
            <w:pPr>
              <w:spacing w:line="240" w:lineRule="auto"/>
              <w:jc w:val="left"/>
            </w:pPr>
            <w:r w:rsidRPr="007A365B">
              <w:t>5,068,000 gpd</w:t>
            </w:r>
          </w:p>
        </w:tc>
        <w:tc>
          <w:tcPr>
            <w:tcW w:w="2610" w:type="dxa"/>
            <w:vAlign w:val="center"/>
          </w:tcPr>
          <w:p w:rsidR="0031683C" w:rsidRPr="007A365B" w:rsidRDefault="0031683C" w:rsidP="0031683C">
            <w:pPr>
              <w:spacing w:line="240" w:lineRule="auto"/>
              <w:jc w:val="left"/>
            </w:pPr>
            <w:r w:rsidRPr="007A365B">
              <w:t>Jan. 16, 2014</w:t>
            </w:r>
          </w:p>
        </w:tc>
        <w:tc>
          <w:tcPr>
            <w:tcW w:w="2160" w:type="dxa"/>
            <w:vAlign w:val="center"/>
          </w:tcPr>
          <w:p w:rsidR="0031683C" w:rsidRPr="007A365B" w:rsidRDefault="0031683C" w:rsidP="0031683C">
            <w:pPr>
              <w:spacing w:line="240" w:lineRule="auto"/>
              <w:jc w:val="left"/>
            </w:pPr>
            <w:r w:rsidRPr="007A365B">
              <w:t>2,080,000 gpd</w:t>
            </w:r>
          </w:p>
        </w:tc>
      </w:tr>
      <w:tr w:rsidR="0031683C" w:rsidRPr="007A365B" w:rsidTr="0031683C">
        <w:trPr>
          <w:cantSplit/>
        </w:trPr>
        <w:tc>
          <w:tcPr>
            <w:tcW w:w="3078" w:type="dxa"/>
            <w:vAlign w:val="center"/>
          </w:tcPr>
          <w:p w:rsidR="0031683C" w:rsidRPr="007A365B" w:rsidRDefault="0031683C" w:rsidP="0031683C">
            <w:pPr>
              <w:spacing w:line="240" w:lineRule="auto"/>
              <w:jc w:val="left"/>
            </w:pPr>
            <w:r w:rsidRPr="007A365B">
              <w:t>Barton Creek West WSC</w:t>
            </w:r>
          </w:p>
        </w:tc>
        <w:tc>
          <w:tcPr>
            <w:tcW w:w="1710" w:type="dxa"/>
            <w:vAlign w:val="center"/>
          </w:tcPr>
          <w:p w:rsidR="0031683C" w:rsidRPr="007A365B" w:rsidRDefault="0031683C" w:rsidP="0031683C">
            <w:pPr>
              <w:spacing w:line="240" w:lineRule="auto"/>
              <w:jc w:val="left"/>
            </w:pPr>
            <w:r w:rsidRPr="007A365B">
              <w:t>965,952 gpd</w:t>
            </w:r>
          </w:p>
        </w:tc>
        <w:tc>
          <w:tcPr>
            <w:tcW w:w="2610" w:type="dxa"/>
            <w:vAlign w:val="center"/>
          </w:tcPr>
          <w:p w:rsidR="0031683C" w:rsidRPr="007A365B" w:rsidRDefault="0031683C" w:rsidP="0031683C">
            <w:pPr>
              <w:spacing w:line="240" w:lineRule="auto"/>
              <w:jc w:val="left"/>
            </w:pPr>
            <w:r w:rsidRPr="007A365B">
              <w:t>Mar. 18, 2014</w:t>
            </w:r>
          </w:p>
        </w:tc>
        <w:tc>
          <w:tcPr>
            <w:tcW w:w="2160" w:type="dxa"/>
            <w:vAlign w:val="center"/>
          </w:tcPr>
          <w:p w:rsidR="0031683C" w:rsidRPr="007A365B" w:rsidRDefault="0031683C" w:rsidP="0031683C">
            <w:pPr>
              <w:spacing w:line="240" w:lineRule="auto"/>
              <w:jc w:val="left"/>
            </w:pPr>
            <w:r w:rsidRPr="007A365B">
              <w:t>679,000 gpd</w:t>
            </w:r>
          </w:p>
        </w:tc>
      </w:tr>
    </w:tbl>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WTCPUA</w:t>
      </w:r>
      <w:r>
        <w:t>’s</w:t>
      </w:r>
      <w:r w:rsidRPr="007A365B">
        <w:t xml:space="preserve"> offer to amend the Water Services Agreement to allow TCMUD 12 to reduce its reserved capacity in the WTCPUA system was sincer</w:t>
      </w:r>
      <w:r>
        <w:t xml:space="preserve">e and WTCPUA has left the offer </w:t>
      </w:r>
      <w:r w:rsidRPr="007A365B">
        <w:t>open.</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WTCPUA could not compel TCMUD 1</w:t>
      </w:r>
      <w:r>
        <w:t xml:space="preserve">2 to take the offer, and </w:t>
      </w:r>
      <w:r w:rsidRPr="007A365B">
        <w:t>TCMUD 12 chose not to take WTCPUA’s offer to reduce its reserved capacity in the WTCPUA system.</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Under the Water Services Agreement, WTCPUA is obligated to provide TCMUD 12 with treatment services for approximately 1,640 retail</w:t>
      </w:r>
      <w:r w:rsidR="009D51B7">
        <w:t xml:space="preserve"> water connections, or close to </w:t>
      </w:r>
      <w:r w:rsidRPr="007A365B">
        <w:t>2,125 LUEs.  That is same number of LUEs that could be served with the maximum flow of 3,980,000 gpd that TCMUD 12 is entitled to have treated under the Water Services Agreement.</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TCMUD 12 has never served close to 2,125 LUEs, and the increase in its number of customers</w:t>
      </w:r>
      <w:r>
        <w:t xml:space="preserve">, </w:t>
      </w:r>
      <w:r w:rsidRPr="007A365B">
        <w:t>or connection</w:t>
      </w:r>
      <w:r>
        <w:t>s</w:t>
      </w:r>
      <w:r w:rsidRPr="007A365B">
        <w:t xml:space="preserve">, </w:t>
      </w:r>
      <w:r>
        <w:t xml:space="preserve">over the last six years </w:t>
      </w:r>
      <w:r w:rsidRPr="007A365B">
        <w:t>has been very modest:</w:t>
      </w:r>
    </w:p>
    <w:p w:rsidR="0031683C" w:rsidRPr="007A365B" w:rsidRDefault="0031683C" w:rsidP="0031683C">
      <w:pPr>
        <w:keepNext/>
        <w:spacing w:line="240" w:lineRule="auto"/>
      </w:pPr>
    </w:p>
    <w:tbl>
      <w:tblPr>
        <w:tblStyle w:val="TableGrid"/>
        <w:tblW w:w="0" w:type="auto"/>
        <w:jc w:val="center"/>
        <w:tblLook w:val="04A0" w:firstRow="1" w:lastRow="0" w:firstColumn="1" w:lastColumn="0" w:noHBand="0" w:noVBand="1"/>
      </w:tblPr>
      <w:tblGrid>
        <w:gridCol w:w="1743"/>
        <w:gridCol w:w="2496"/>
      </w:tblGrid>
      <w:tr w:rsidR="0031683C" w:rsidRPr="007A365B" w:rsidTr="0031683C">
        <w:trPr>
          <w:jc w:val="center"/>
        </w:trPr>
        <w:tc>
          <w:tcPr>
            <w:tcW w:w="0" w:type="auto"/>
          </w:tcPr>
          <w:p w:rsidR="0031683C" w:rsidRPr="007A365B" w:rsidRDefault="0031683C" w:rsidP="0031683C">
            <w:pPr>
              <w:keepNext/>
              <w:spacing w:line="240" w:lineRule="auto"/>
              <w:rPr>
                <w:b/>
              </w:rPr>
            </w:pPr>
            <w:r w:rsidRPr="007A365B">
              <w:rPr>
                <w:b/>
              </w:rPr>
              <w:t>Date</w:t>
            </w:r>
          </w:p>
        </w:tc>
        <w:tc>
          <w:tcPr>
            <w:tcW w:w="0" w:type="auto"/>
          </w:tcPr>
          <w:p w:rsidR="0031683C" w:rsidRPr="007A365B" w:rsidRDefault="0031683C" w:rsidP="0031683C">
            <w:pPr>
              <w:keepNext/>
              <w:spacing w:line="240" w:lineRule="auto"/>
              <w:rPr>
                <w:b/>
              </w:rPr>
            </w:pPr>
            <w:r w:rsidRPr="007A365B">
              <w:rPr>
                <w:b/>
              </w:rPr>
              <w:t>Number of Customers</w:t>
            </w:r>
          </w:p>
        </w:tc>
      </w:tr>
      <w:tr w:rsidR="0031683C" w:rsidRPr="007A365B" w:rsidTr="0031683C">
        <w:trPr>
          <w:jc w:val="center"/>
        </w:trPr>
        <w:tc>
          <w:tcPr>
            <w:tcW w:w="0" w:type="auto"/>
          </w:tcPr>
          <w:p w:rsidR="0031683C" w:rsidRPr="007A365B" w:rsidRDefault="0031683C" w:rsidP="0031683C">
            <w:pPr>
              <w:keepNext/>
              <w:spacing w:line="240" w:lineRule="auto"/>
            </w:pPr>
            <w:r w:rsidRPr="007A365B">
              <w:t>January 1, 2008</w:t>
            </w:r>
          </w:p>
        </w:tc>
        <w:tc>
          <w:tcPr>
            <w:tcW w:w="0" w:type="auto"/>
          </w:tcPr>
          <w:p w:rsidR="0031683C" w:rsidRPr="007A365B" w:rsidRDefault="0031683C" w:rsidP="0031683C">
            <w:pPr>
              <w:keepNext/>
              <w:spacing w:line="240" w:lineRule="auto"/>
            </w:pPr>
            <w:r w:rsidRPr="007A365B">
              <w:t>0</w:t>
            </w:r>
          </w:p>
        </w:tc>
      </w:tr>
      <w:tr w:rsidR="0031683C" w:rsidRPr="007A365B" w:rsidTr="0031683C">
        <w:trPr>
          <w:jc w:val="center"/>
        </w:trPr>
        <w:tc>
          <w:tcPr>
            <w:tcW w:w="0" w:type="auto"/>
          </w:tcPr>
          <w:p w:rsidR="0031683C" w:rsidRPr="007A365B" w:rsidRDefault="0031683C" w:rsidP="0031683C">
            <w:pPr>
              <w:keepNext/>
              <w:spacing w:line="240" w:lineRule="auto"/>
            </w:pPr>
            <w:r w:rsidRPr="007A365B">
              <w:t>January 1, 2009</w:t>
            </w:r>
          </w:p>
        </w:tc>
        <w:tc>
          <w:tcPr>
            <w:tcW w:w="0" w:type="auto"/>
          </w:tcPr>
          <w:p w:rsidR="0031683C" w:rsidRPr="007A365B" w:rsidRDefault="0031683C" w:rsidP="0031683C">
            <w:pPr>
              <w:keepNext/>
              <w:spacing w:line="240" w:lineRule="auto"/>
            </w:pPr>
            <w:r w:rsidRPr="007A365B">
              <w:t>0</w:t>
            </w:r>
          </w:p>
        </w:tc>
      </w:tr>
      <w:tr w:rsidR="0031683C" w:rsidRPr="007A365B" w:rsidTr="0031683C">
        <w:trPr>
          <w:jc w:val="center"/>
        </w:trPr>
        <w:tc>
          <w:tcPr>
            <w:tcW w:w="0" w:type="auto"/>
          </w:tcPr>
          <w:p w:rsidR="0031683C" w:rsidRPr="007A365B" w:rsidRDefault="0031683C" w:rsidP="0031683C">
            <w:pPr>
              <w:keepNext/>
              <w:spacing w:line="240" w:lineRule="auto"/>
            </w:pPr>
            <w:r w:rsidRPr="007A365B">
              <w:t>January 1, 2010</w:t>
            </w:r>
          </w:p>
        </w:tc>
        <w:tc>
          <w:tcPr>
            <w:tcW w:w="0" w:type="auto"/>
          </w:tcPr>
          <w:p w:rsidR="0031683C" w:rsidRPr="007A365B" w:rsidRDefault="0031683C" w:rsidP="0031683C">
            <w:pPr>
              <w:keepNext/>
              <w:spacing w:line="240" w:lineRule="auto"/>
            </w:pPr>
            <w:r w:rsidRPr="007A365B">
              <w:t>less than 10</w:t>
            </w:r>
          </w:p>
        </w:tc>
      </w:tr>
      <w:tr w:rsidR="0031683C" w:rsidRPr="007A365B" w:rsidTr="0031683C">
        <w:trPr>
          <w:jc w:val="center"/>
        </w:trPr>
        <w:tc>
          <w:tcPr>
            <w:tcW w:w="0" w:type="auto"/>
          </w:tcPr>
          <w:p w:rsidR="0031683C" w:rsidRPr="007A365B" w:rsidRDefault="0031683C" w:rsidP="0031683C">
            <w:pPr>
              <w:keepNext/>
              <w:spacing w:line="240" w:lineRule="auto"/>
            </w:pPr>
            <w:r w:rsidRPr="007A365B">
              <w:t>January 1, 2011</w:t>
            </w:r>
          </w:p>
        </w:tc>
        <w:tc>
          <w:tcPr>
            <w:tcW w:w="0" w:type="auto"/>
          </w:tcPr>
          <w:p w:rsidR="0031683C" w:rsidRPr="007A365B" w:rsidRDefault="0031683C" w:rsidP="0031683C">
            <w:pPr>
              <w:keepNext/>
              <w:spacing w:line="240" w:lineRule="auto"/>
            </w:pPr>
            <w:r w:rsidRPr="007A365B">
              <w:t>10</w:t>
            </w:r>
          </w:p>
        </w:tc>
      </w:tr>
      <w:tr w:rsidR="0031683C" w:rsidRPr="007A365B" w:rsidTr="0031683C">
        <w:trPr>
          <w:jc w:val="center"/>
        </w:trPr>
        <w:tc>
          <w:tcPr>
            <w:tcW w:w="0" w:type="auto"/>
          </w:tcPr>
          <w:p w:rsidR="0031683C" w:rsidRPr="007A365B" w:rsidRDefault="0031683C" w:rsidP="0031683C">
            <w:pPr>
              <w:keepNext/>
              <w:spacing w:line="240" w:lineRule="auto"/>
            </w:pPr>
            <w:r w:rsidRPr="007A365B">
              <w:t>January 1, 2012</w:t>
            </w:r>
          </w:p>
        </w:tc>
        <w:tc>
          <w:tcPr>
            <w:tcW w:w="0" w:type="auto"/>
          </w:tcPr>
          <w:p w:rsidR="0031683C" w:rsidRPr="007A365B" w:rsidRDefault="0031683C" w:rsidP="0031683C">
            <w:pPr>
              <w:keepNext/>
              <w:spacing w:line="240" w:lineRule="auto"/>
            </w:pPr>
            <w:r w:rsidRPr="007A365B">
              <w:t>23</w:t>
            </w:r>
          </w:p>
        </w:tc>
      </w:tr>
      <w:tr w:rsidR="0031683C" w:rsidRPr="007A365B" w:rsidTr="0031683C">
        <w:trPr>
          <w:jc w:val="center"/>
        </w:trPr>
        <w:tc>
          <w:tcPr>
            <w:tcW w:w="0" w:type="auto"/>
          </w:tcPr>
          <w:p w:rsidR="0031683C" w:rsidRPr="007A365B" w:rsidRDefault="0031683C" w:rsidP="0031683C">
            <w:pPr>
              <w:keepNext/>
              <w:spacing w:line="240" w:lineRule="auto"/>
            </w:pPr>
            <w:r w:rsidRPr="007A365B">
              <w:t>January 1, 2013</w:t>
            </w:r>
          </w:p>
        </w:tc>
        <w:tc>
          <w:tcPr>
            <w:tcW w:w="0" w:type="auto"/>
          </w:tcPr>
          <w:p w:rsidR="0031683C" w:rsidRPr="007A365B" w:rsidRDefault="0031683C" w:rsidP="0031683C">
            <w:pPr>
              <w:keepNext/>
              <w:spacing w:line="240" w:lineRule="auto"/>
            </w:pPr>
            <w:r w:rsidRPr="007A365B">
              <w:t>48</w:t>
            </w:r>
          </w:p>
        </w:tc>
      </w:tr>
      <w:tr w:rsidR="0031683C" w:rsidRPr="007A365B" w:rsidTr="0031683C">
        <w:trPr>
          <w:jc w:val="center"/>
        </w:trPr>
        <w:tc>
          <w:tcPr>
            <w:tcW w:w="0" w:type="auto"/>
          </w:tcPr>
          <w:p w:rsidR="0031683C" w:rsidRPr="007A365B" w:rsidRDefault="0031683C" w:rsidP="0031683C">
            <w:pPr>
              <w:keepNext/>
              <w:spacing w:line="240" w:lineRule="auto"/>
            </w:pPr>
            <w:r w:rsidRPr="007A365B">
              <w:t>January 1, 2014</w:t>
            </w:r>
          </w:p>
        </w:tc>
        <w:tc>
          <w:tcPr>
            <w:tcW w:w="0" w:type="auto"/>
          </w:tcPr>
          <w:p w:rsidR="0031683C" w:rsidRPr="007A365B" w:rsidRDefault="0031683C" w:rsidP="0031683C">
            <w:pPr>
              <w:keepNext/>
              <w:spacing w:line="240" w:lineRule="auto"/>
            </w:pPr>
            <w:r w:rsidRPr="007A365B">
              <w:t>132</w:t>
            </w:r>
          </w:p>
        </w:tc>
      </w:tr>
    </w:tbl>
    <w:p w:rsidR="0031683C" w:rsidRPr="007A365B" w:rsidRDefault="0031683C" w:rsidP="0031683C">
      <w:pPr>
        <w:keepNext/>
        <w:spacing w:line="240" w:lineRule="auto"/>
      </w:pPr>
    </w:p>
    <w:p w:rsidR="0031683C" w:rsidRPr="007A365B" w:rsidRDefault="0031683C" w:rsidP="00085C5D">
      <w:pPr>
        <w:pStyle w:val="ListParagraph"/>
        <w:numPr>
          <w:ilvl w:val="0"/>
          <w:numId w:val="11"/>
        </w:numPr>
        <w:spacing w:line="240" w:lineRule="auto"/>
        <w:ind w:hanging="720"/>
      </w:pPr>
      <w:r w:rsidRPr="007A365B">
        <w:t xml:space="preserve">TCMUD 12 is a very young district, the population in its service area is growing, and it hopes to need all of its reserved capacity between </w:t>
      </w:r>
      <w:r w:rsidR="001916A4">
        <w:t xml:space="preserve">the years </w:t>
      </w:r>
      <w:r w:rsidRPr="007A365B">
        <w:t>2022 and 2025; however, it is not sure how quickly its service area will build out.</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TCMUD 12 does not </w:t>
      </w:r>
      <w:r>
        <w:t xml:space="preserve">now </w:t>
      </w:r>
      <w:r w:rsidRPr="007A365B">
        <w:t>and may never need capacity to treat 3,980,000 gpd of raw water</w:t>
      </w:r>
      <w:r>
        <w:t>.</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lastRenderedPageBreak/>
        <w:t>Re</w:t>
      </w:r>
      <w:r>
        <w:t xml:space="preserve">ducing </w:t>
      </w:r>
      <w:r w:rsidRPr="007A365B">
        <w:t xml:space="preserve">all or part of its reserved water treatment capacity in the WTCPUA system was </w:t>
      </w:r>
      <w:r>
        <w:t xml:space="preserve">and is </w:t>
      </w:r>
      <w:r w:rsidRPr="007A365B">
        <w:t>an alternative available to TCMUD 12.</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TCMUD 12 </w:t>
      </w:r>
      <w:r>
        <w:t xml:space="preserve">has </w:t>
      </w:r>
      <w:r w:rsidRPr="007A365B">
        <w:t xml:space="preserve">paid $1.5 million in connection fees to LCRA.  Under the Transfer Agreement, LCRA transferred the </w:t>
      </w:r>
      <w:r w:rsidR="001916A4">
        <w:t xml:space="preserve">collected </w:t>
      </w:r>
      <w:r w:rsidRPr="007A365B">
        <w:t>fees to WTCPUA, and TCMUD 12 is entitled to full credit for them.</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There is no evidence that a market exists for </w:t>
      </w:r>
      <w:r>
        <w:t xml:space="preserve">the connection-fee rights that </w:t>
      </w:r>
      <w:r w:rsidRPr="007A365B">
        <w:t>TCMUD 12</w:t>
      </w:r>
      <w:r>
        <w:t xml:space="preserve"> has in </w:t>
      </w:r>
      <w:r w:rsidRPr="007A365B">
        <w:t>the WTCPUA system.</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The $1.5 million that TCMUD 12 paid to connect to the West Travis County System is a sunk cost that could be </w:t>
      </w:r>
      <w:r w:rsidR="002165FE">
        <w:t xml:space="preserve">partially or wholly </w:t>
      </w:r>
      <w:r w:rsidRPr="007A365B">
        <w:t>stranded if TCMUD 12 chose to reduce its reserved capacity and build</w:t>
      </w:r>
      <w:r w:rsidR="00A47937">
        <w:t xml:space="preserve"> its own treatment facilities.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The evidence does not show that the self-service option available to TCMUD 12 is prohibitively more expensive than service from WTCPUA under the Protested Rates.</w:t>
      </w:r>
    </w:p>
    <w:p w:rsidR="0031683C" w:rsidRPr="007A365B" w:rsidRDefault="0031683C" w:rsidP="0031683C">
      <w:pPr>
        <w:spacing w:line="240" w:lineRule="auto"/>
      </w:pPr>
    </w:p>
    <w:p w:rsidR="0031683C" w:rsidRPr="007A365B" w:rsidRDefault="0031683C" w:rsidP="0031683C">
      <w:pPr>
        <w:spacing w:line="240" w:lineRule="auto"/>
        <w:rPr>
          <w:b/>
        </w:rPr>
      </w:pPr>
      <w:r w:rsidRPr="007A365B">
        <w:rPr>
          <w:b/>
        </w:rPr>
        <w:t>Other Bargaining Power Factors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Before May 2013, WTCPUA hosted six me</w:t>
      </w:r>
      <w:r w:rsidR="00435895">
        <w:t>et</w:t>
      </w:r>
      <w:r w:rsidRPr="007A365B">
        <w:t>ings with its wholesale customers to obtain their input on WTCPUA’s allocation of it costs.  A TCMUD 12 representative attended four of the six meetings.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Also, before the rates were adopted, WTCPUA’s representative</w:t>
      </w:r>
      <w:r>
        <w:t>s</w:t>
      </w:r>
      <w:r w:rsidRPr="007A365B">
        <w:t xml:space="preserve"> met with TCMUD 12</w:t>
      </w:r>
      <w:r>
        <w:t>’s</w:t>
      </w:r>
      <w:r w:rsidRPr="007A365B">
        <w:t xml:space="preserve"> representatives on three other occasions to discuss the Protested Rates and receive written input from them.</w:t>
      </w:r>
    </w:p>
    <w:p w:rsidR="0031683C" w:rsidRPr="007A365B" w:rsidRDefault="0031683C" w:rsidP="0031683C">
      <w:pPr>
        <w:spacing w:line="240" w:lineRule="auto"/>
      </w:pPr>
    </w:p>
    <w:p w:rsidR="0031683C" w:rsidRPr="0031683C" w:rsidRDefault="0031683C" w:rsidP="00085C5D">
      <w:pPr>
        <w:pStyle w:val="ListParagraph"/>
        <w:numPr>
          <w:ilvl w:val="0"/>
          <w:numId w:val="11"/>
        </w:numPr>
        <w:spacing w:line="240" w:lineRule="auto"/>
        <w:ind w:hanging="720"/>
      </w:pPr>
      <w:r w:rsidRPr="007A365B">
        <w:t xml:space="preserve">Ultimately, on April 9, 2013, a committee of the wholesale customers proposed an allocation of WTCPUA’s debt, operations, and maintenance costs in the monthly charge, which formed the basis for the monthly charge in the Protested Rates that was presented </w:t>
      </w:r>
      <w:r w:rsidRPr="0031683C">
        <w:t>to and adopted by the WTCPUA board on November 21, 2013.</w:t>
      </w:r>
    </w:p>
    <w:p w:rsidR="0031683C" w:rsidRPr="0031683C" w:rsidRDefault="0031683C" w:rsidP="0031683C">
      <w:pPr>
        <w:spacing w:line="240" w:lineRule="auto"/>
      </w:pPr>
    </w:p>
    <w:p w:rsidR="0031683C" w:rsidRPr="0031683C" w:rsidRDefault="0031683C" w:rsidP="00085C5D">
      <w:pPr>
        <w:pStyle w:val="ListParagraph"/>
        <w:numPr>
          <w:ilvl w:val="0"/>
          <w:numId w:val="11"/>
        </w:numPr>
        <w:spacing w:line="240" w:lineRule="auto"/>
        <w:ind w:hanging="720"/>
      </w:pPr>
      <w:r w:rsidRPr="0031683C">
        <w:t>No one for TCMUD 12 attended the board meeting to protest the adoption of the Protested Rates.</w:t>
      </w:r>
    </w:p>
    <w:p w:rsidR="0031683C" w:rsidRPr="0031683C" w:rsidRDefault="0031683C" w:rsidP="0031683C">
      <w:pPr>
        <w:spacing w:line="240" w:lineRule="auto"/>
      </w:pPr>
    </w:p>
    <w:p w:rsidR="0031683C" w:rsidRPr="0031683C" w:rsidRDefault="0031683C" w:rsidP="00085C5D">
      <w:pPr>
        <w:pStyle w:val="ListParagraph"/>
        <w:numPr>
          <w:ilvl w:val="0"/>
          <w:numId w:val="11"/>
        </w:numPr>
        <w:spacing w:line="240" w:lineRule="auto"/>
        <w:ind w:hanging="720"/>
        <w:rPr>
          <w:bCs/>
          <w:szCs w:val="28"/>
        </w:rPr>
      </w:pPr>
      <w:r w:rsidRPr="0031683C">
        <w:t>WTCPUA gave TCMUD 12, and its other wholesale customers, a meaningful opportunity to provide input before implementing the Protested Rates.</w:t>
      </w:r>
    </w:p>
    <w:p w:rsidR="0031683C" w:rsidRPr="0031683C" w:rsidRDefault="0031683C" w:rsidP="0031683C">
      <w:pPr>
        <w:pStyle w:val="ListParagraph"/>
        <w:spacing w:line="240" w:lineRule="auto"/>
        <w:rPr>
          <w:bCs/>
          <w:szCs w:val="28"/>
        </w:rPr>
      </w:pPr>
    </w:p>
    <w:p w:rsidR="0031683C" w:rsidRPr="0031683C" w:rsidRDefault="0031683C" w:rsidP="00085C5D">
      <w:pPr>
        <w:pStyle w:val="ListParagraph"/>
        <w:numPr>
          <w:ilvl w:val="0"/>
          <w:numId w:val="11"/>
        </w:numPr>
        <w:spacing w:line="240" w:lineRule="auto"/>
        <w:ind w:hanging="720"/>
        <w:rPr>
          <w:bCs/>
          <w:szCs w:val="28"/>
        </w:rPr>
      </w:pPr>
      <w:r w:rsidRPr="0031683C">
        <w:t xml:space="preserve">LCRA had excess treatment capacity in 2009, thus LCRA needed a </w:t>
      </w:r>
      <w:r w:rsidR="00435895">
        <w:t xml:space="preserve">wholesale </w:t>
      </w:r>
      <w:r w:rsidRPr="0031683C">
        <w:t>customer at the same time that TCMUD 12 was searching for a wholesale water treatment service provider, which gave TCMUD 12 significant bargaining power when negotiating with LCRA.</w:t>
      </w:r>
    </w:p>
    <w:p w:rsidR="0031683C" w:rsidRPr="0031683C" w:rsidRDefault="0031683C" w:rsidP="0031683C">
      <w:pPr>
        <w:pStyle w:val="ListParagraph"/>
        <w:spacing w:line="240" w:lineRule="auto"/>
        <w:rPr>
          <w:bCs/>
          <w:szCs w:val="28"/>
        </w:rPr>
      </w:pPr>
    </w:p>
    <w:p w:rsidR="0031683C" w:rsidRPr="0031683C" w:rsidRDefault="0031683C" w:rsidP="00085C5D">
      <w:pPr>
        <w:pStyle w:val="ListParagraph"/>
        <w:numPr>
          <w:ilvl w:val="0"/>
          <w:numId w:val="11"/>
        </w:numPr>
        <w:spacing w:line="240" w:lineRule="auto"/>
        <w:ind w:hanging="720"/>
        <w:rPr>
          <w:bCs/>
          <w:szCs w:val="28"/>
        </w:rPr>
      </w:pPr>
      <w:r w:rsidRPr="0031683C">
        <w:t>For some period after 2009, LCRA, and later WTCPUA, would have had unused treatment capacity if TCMUD 12 had stopped purchasing water treatment service from them.</w:t>
      </w:r>
      <w:r w:rsidR="00435895">
        <w:t xml:space="preserve">  Again, this gave TCMUD 12 significant bargaining power.</w:t>
      </w:r>
    </w:p>
    <w:p w:rsidR="0031683C" w:rsidRPr="0031683C" w:rsidRDefault="0031683C" w:rsidP="0031683C">
      <w:pPr>
        <w:spacing w:line="240" w:lineRule="auto"/>
        <w:rPr>
          <w:bCs/>
          <w:szCs w:val="28"/>
        </w:rPr>
      </w:pPr>
    </w:p>
    <w:p w:rsidR="0031683C" w:rsidRPr="0031683C" w:rsidRDefault="0031683C" w:rsidP="00085C5D">
      <w:pPr>
        <w:pStyle w:val="ListParagraph"/>
        <w:numPr>
          <w:ilvl w:val="0"/>
          <w:numId w:val="11"/>
        </w:numPr>
        <w:spacing w:line="240" w:lineRule="auto"/>
        <w:ind w:hanging="720"/>
      </w:pPr>
      <w:r w:rsidRPr="0031683C">
        <w:t>LCRA never raised the rates to which TCMUD 12 had agreed in October 2009.</w:t>
      </w:r>
    </w:p>
    <w:p w:rsidR="0031683C" w:rsidRPr="0031683C" w:rsidRDefault="0031683C" w:rsidP="0031683C">
      <w:pPr>
        <w:spacing w:line="240" w:lineRule="auto"/>
      </w:pPr>
    </w:p>
    <w:p w:rsidR="0031683C" w:rsidRPr="0031683C" w:rsidRDefault="0031683C" w:rsidP="00085C5D">
      <w:pPr>
        <w:pStyle w:val="ListParagraph"/>
        <w:numPr>
          <w:ilvl w:val="0"/>
          <w:numId w:val="11"/>
        </w:numPr>
        <w:spacing w:line="240" w:lineRule="auto"/>
        <w:ind w:hanging="720"/>
      </w:pPr>
      <w:r w:rsidRPr="0031683C">
        <w:t>After TCMUD 12 agreed in June 2012 to the transfer of LCRA’s rights and obligations under the Water Services Agreement to WTCPUA, WTCPUA initially kept the same rates LCRA had charged.</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WTCPUA raised the rates by 15.5% in November 2012, but TCMUD 12 did not appeal that increase.</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The evidence does not show that TCMUD 12 had significantly less bargaining power </w:t>
      </w:r>
      <w:r w:rsidR="00435895">
        <w:t xml:space="preserve">than: </w:t>
      </w:r>
      <w:r w:rsidRPr="007A365B">
        <w:t>(1) LCRA in October 2009 when LCRA and TCMUD 12 entered into the Water Services Agreement; (2) WTCPUA in June 2012 when TCMUD 12, WTCPUA, and LCRA entered into the Transfer Agreement; or (3) WTCPUA in November 2013 when WTCPUA adopted the Protested Rates.</w:t>
      </w:r>
    </w:p>
    <w:p w:rsidR="0031683C" w:rsidRPr="007A365B" w:rsidRDefault="0031683C" w:rsidP="0031683C">
      <w:pPr>
        <w:spacing w:line="240" w:lineRule="auto"/>
      </w:pPr>
    </w:p>
    <w:p w:rsidR="0031683C" w:rsidRPr="007A365B" w:rsidRDefault="0031683C" w:rsidP="0031683C">
      <w:pPr>
        <w:spacing w:line="240" w:lineRule="auto"/>
        <w:rPr>
          <w:b/>
        </w:rPr>
      </w:pPr>
      <w:r w:rsidRPr="007A365B">
        <w:rPr>
          <w:b/>
        </w:rPr>
        <w:t>Methodologies for Computation of Revenue Requirement and Rates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The American Water Works Association publishes a manual on water utility rates (M1 Manual), also known as </w:t>
      </w:r>
      <w:r w:rsidRPr="007A365B">
        <w:rPr>
          <w:i/>
        </w:rPr>
        <w:t xml:space="preserve">Principles of Water Rates, Fees, and Charges. </w:t>
      </w:r>
      <w:r w:rsidRPr="007A365B">
        <w:t xml:space="preserve"> Experts on rate making in the water industry often rely on the M1 Manual for guidance.</w:t>
      </w:r>
      <w:r>
        <w:t xml:space="preserve">  </w:t>
      </w:r>
      <w:r w:rsidRPr="007A365B">
        <w:t>According to the M1 Manual</w:t>
      </w:r>
      <w:r>
        <w:t>, t</w:t>
      </w:r>
      <w:r w:rsidRPr="007A365B">
        <w:t>he generally accepted rate-setting methodology includes three categories of analysis:</w:t>
      </w:r>
    </w:p>
    <w:p w:rsidR="0031683C" w:rsidRPr="007A365B" w:rsidRDefault="0031683C" w:rsidP="0031683C">
      <w:pPr>
        <w:spacing w:line="240" w:lineRule="auto"/>
      </w:pPr>
    </w:p>
    <w:p w:rsidR="0031683C" w:rsidRPr="007A365B" w:rsidRDefault="0031683C" w:rsidP="00085C5D">
      <w:pPr>
        <w:pStyle w:val="Quote"/>
        <w:numPr>
          <w:ilvl w:val="1"/>
          <w:numId w:val="13"/>
        </w:numPr>
        <w:spacing w:line="240" w:lineRule="auto"/>
      </w:pPr>
      <w:r w:rsidRPr="007A365B">
        <w:t>Revenue Requirement analysis</w:t>
      </w:r>
      <w:r>
        <w:t>, which c</w:t>
      </w:r>
      <w:r w:rsidRPr="007A365B">
        <w:t>ompares revenues of the utility to its operating and capital costs to determine the adequacy of existing rates t</w:t>
      </w:r>
      <w:r>
        <w:t>o recover the utility’s costs;</w:t>
      </w:r>
    </w:p>
    <w:p w:rsidR="0031683C" w:rsidRPr="007A365B" w:rsidRDefault="0031683C" w:rsidP="00435895">
      <w:pPr>
        <w:spacing w:line="240" w:lineRule="auto"/>
      </w:pPr>
    </w:p>
    <w:p w:rsidR="0031683C" w:rsidRPr="007A365B" w:rsidRDefault="0031683C" w:rsidP="00085C5D">
      <w:pPr>
        <w:pStyle w:val="Quote"/>
        <w:numPr>
          <w:ilvl w:val="1"/>
          <w:numId w:val="13"/>
        </w:numPr>
        <w:spacing w:line="240" w:lineRule="auto"/>
      </w:pPr>
      <w:r w:rsidRPr="007A365B">
        <w:t>Cost-of-service analysis</w:t>
      </w:r>
      <w:r>
        <w:t>, which a</w:t>
      </w:r>
      <w:r w:rsidRPr="007A365B">
        <w:t>llocates the revenue requirements to the various customer classes of service in a fair and equitable manner</w:t>
      </w:r>
      <w:r>
        <w:t>; and</w:t>
      </w:r>
    </w:p>
    <w:p w:rsidR="0031683C" w:rsidRPr="007A365B" w:rsidRDefault="0031683C" w:rsidP="00435895">
      <w:pPr>
        <w:spacing w:line="240" w:lineRule="auto"/>
      </w:pPr>
    </w:p>
    <w:p w:rsidR="0031683C" w:rsidRPr="007A365B" w:rsidRDefault="0031683C" w:rsidP="00085C5D">
      <w:pPr>
        <w:pStyle w:val="Quote"/>
        <w:numPr>
          <w:ilvl w:val="1"/>
          <w:numId w:val="13"/>
        </w:numPr>
        <w:spacing w:line="240" w:lineRule="auto"/>
      </w:pPr>
      <w:r w:rsidRPr="007A365B">
        <w:t>Rate design analysis</w:t>
      </w:r>
      <w:r>
        <w:t>, which c</w:t>
      </w:r>
      <w:r w:rsidRPr="007A365B">
        <w:t>onsiders both the level and structure of the rate design to collect the distributed revenue requirements from each class of service.</w:t>
      </w:r>
    </w:p>
    <w:p w:rsidR="0031683C" w:rsidRPr="007A365B" w:rsidRDefault="0031683C" w:rsidP="00435895">
      <w:pPr>
        <w:spacing w:line="240" w:lineRule="auto"/>
      </w:pPr>
    </w:p>
    <w:p w:rsidR="0031683C" w:rsidRPr="007A365B" w:rsidRDefault="0031683C" w:rsidP="00085C5D">
      <w:pPr>
        <w:pStyle w:val="ListParagraph"/>
        <w:numPr>
          <w:ilvl w:val="0"/>
          <w:numId w:val="11"/>
        </w:numPr>
        <w:spacing w:line="240" w:lineRule="auto"/>
        <w:ind w:hanging="720"/>
      </w:pPr>
      <w:r w:rsidRPr="007A365B">
        <w:t>The M1 Manual also states that there are two generally accepted approaches for establishing a utility’s revenue requirement: the cash-needs approach and the utility-basis approach.</w:t>
      </w:r>
    </w:p>
    <w:p w:rsidR="0031683C" w:rsidRDefault="0031683C" w:rsidP="0031683C">
      <w:pPr>
        <w:spacing w:line="240" w:lineRule="auto"/>
      </w:pPr>
    </w:p>
    <w:p w:rsidR="00435895" w:rsidRDefault="0031683C" w:rsidP="00085C5D">
      <w:pPr>
        <w:pStyle w:val="ListParagraph"/>
        <w:numPr>
          <w:ilvl w:val="0"/>
          <w:numId w:val="11"/>
        </w:numPr>
        <w:spacing w:line="240" w:lineRule="auto"/>
        <w:ind w:hanging="720"/>
      </w:pPr>
      <w:r w:rsidRPr="007A365B">
        <w:t xml:space="preserve">WTCPUA used the cash-needs method to determine its revenue requirement for </w:t>
      </w:r>
      <w:r w:rsidR="00435895">
        <w:t xml:space="preserve">both </w:t>
      </w:r>
      <w:r w:rsidRPr="007A365B">
        <w:t xml:space="preserve">the Prior </w:t>
      </w:r>
      <w:r w:rsidR="00435895">
        <w:t xml:space="preserve">Rates </w:t>
      </w:r>
      <w:r w:rsidRPr="007A365B">
        <w:t xml:space="preserve">and </w:t>
      </w:r>
      <w:r w:rsidR="00435895">
        <w:t>the Protested Rates.</w:t>
      </w:r>
    </w:p>
    <w:p w:rsidR="00435895" w:rsidRDefault="00435895" w:rsidP="00435895">
      <w:pPr>
        <w:pStyle w:val="ListParagraph"/>
        <w:spacing w:line="240" w:lineRule="auto"/>
      </w:pPr>
    </w:p>
    <w:p w:rsidR="0031683C" w:rsidRPr="007A365B" w:rsidRDefault="00435895" w:rsidP="00085C5D">
      <w:pPr>
        <w:pStyle w:val="ListParagraph"/>
        <w:numPr>
          <w:ilvl w:val="0"/>
          <w:numId w:val="11"/>
        </w:numPr>
        <w:spacing w:line="240" w:lineRule="auto"/>
        <w:ind w:hanging="720"/>
      </w:pPr>
      <w:r>
        <w:t>When it computed the revenue requirement for the Protested Rates, WTCPUA used the same methodology it had used for the Prior Rates.</w:t>
      </w:r>
    </w:p>
    <w:p w:rsidR="0031683C" w:rsidRPr="007A365B" w:rsidRDefault="0031683C" w:rsidP="0031683C">
      <w:pPr>
        <w:spacing w:line="240" w:lineRule="auto"/>
        <w:rPr>
          <w:rFonts w:cs="Arial"/>
          <w:b/>
          <w:bCs/>
          <w:szCs w:val="26"/>
        </w:rPr>
      </w:pPr>
    </w:p>
    <w:p w:rsidR="0031683C" w:rsidRPr="007A365B" w:rsidRDefault="0031683C" w:rsidP="00085C5D">
      <w:pPr>
        <w:pStyle w:val="ListParagraph"/>
        <w:numPr>
          <w:ilvl w:val="0"/>
          <w:numId w:val="11"/>
        </w:numPr>
        <w:spacing w:line="240" w:lineRule="auto"/>
        <w:ind w:hanging="720"/>
      </w:pPr>
      <w:r w:rsidRPr="007A365B">
        <w:lastRenderedPageBreak/>
        <w:t>The Prior Rates included a uniform volume charge of $2.77 per 1,000 gallons for wholesale water services customers that had their own raw water supply, including TCMUD 12.  However, the volumetric rate per 1,000 gallons that WTCPUA charges TCMUD 12 under the Protested Rates differs from the volumetric rate adopted at the same time for other wholesale customers with their own raw water.</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According to the M1 Manual, a “rate structure” is developed during the rate design analysis and classifies customers, establishes the frequency of billing, and identifies the charges or schedule of charges that each classification of customers will be assessed.</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The Commission’s rules refer to several possible rate structures, including declining-block and inclining-block, and phased or multi-step volumetric rates.  16 Tex. Admin. Code §§ 24.32(b), 24.34(c).</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A change in the rate structure would reflect a change in rate computation methodology.  </w:t>
      </w:r>
      <w:r w:rsidRPr="007A365B">
        <w:rPr>
          <w:i/>
        </w:rPr>
        <w:t xml:space="preserve">An Order Denying the </w:t>
      </w:r>
      <w:r w:rsidRPr="0031683C">
        <w:rPr>
          <w:i/>
        </w:rPr>
        <w:t>Petitions</w:t>
      </w:r>
      <w:r w:rsidRPr="007A365B">
        <w:rPr>
          <w:i/>
        </w:rPr>
        <w:t xml:space="preserve"> of Navarro County Wholesale Ratepayers, et al. to Review the Wholesale Rate Increase Imposed by the City of Corsicana</w:t>
      </w:r>
      <w:r w:rsidRPr="007A365B">
        <w:t xml:space="preserve">, TCEQ Docket No. 2009-1925-UCR, SOAH Docket No. 582-10-1944, Finding of Fact 69 at 12 (Nov. 9, 2011).  </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 xml:space="preserve">WTCPUA used the same rate structure for both the Prior </w:t>
      </w:r>
      <w:r w:rsidR="00435895">
        <w:t xml:space="preserve">Rates </w:t>
      </w:r>
      <w:r w:rsidRPr="007A365B">
        <w:t xml:space="preserve">and the Protested Rates it has charged TCMUD 12.  Both include a flat monthly charge, sometimes referred to as a “Minimum Bill,” and a flat volumetric rate per 1,000 gallons of water used.  The monthly charge was $10,891.65 and now is $8,140.89.  The </w:t>
      </w:r>
      <w:r w:rsidR="00435895" w:rsidRPr="007A365B">
        <w:t xml:space="preserve">volumetric </w:t>
      </w:r>
      <w:r w:rsidRPr="007A365B">
        <w:t>rate was $2.77 and now is $2.11 per 1,000 gallons.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The evidence does not show that WTCPUA changed its rate computation methodology when it adopted the Protested Rates.</w:t>
      </w:r>
    </w:p>
    <w:p w:rsidR="0031683C" w:rsidRPr="007A365B" w:rsidRDefault="0031683C" w:rsidP="0031683C">
      <w:pPr>
        <w:spacing w:line="240" w:lineRule="auto"/>
      </w:pPr>
    </w:p>
    <w:p w:rsidR="0031683C" w:rsidRPr="007A365B" w:rsidRDefault="0031683C" w:rsidP="0031683C">
      <w:pPr>
        <w:spacing w:line="240" w:lineRule="auto"/>
        <w:rPr>
          <w:b/>
        </w:rPr>
      </w:pPr>
      <w:r w:rsidRPr="007A365B">
        <w:rPr>
          <w:b/>
        </w:rPr>
        <w:t>Evidence Does Not Show That WTCPUA Has Abused Monopoly Power</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The evidence does not show that there is a barrier to TCMUD 12’s entry into the field to provide itself with water treatment service.  Accordingly, WTCPUA does not exercise sole control over the market for water treatment services.</w:t>
      </w:r>
    </w:p>
    <w:p w:rsidR="0031683C" w:rsidRPr="007A365B" w:rsidRDefault="0031683C" w:rsidP="0031683C">
      <w:pPr>
        <w:spacing w:line="240" w:lineRule="auto"/>
      </w:pPr>
    </w:p>
    <w:p w:rsidR="0031683C" w:rsidRPr="007A365B" w:rsidRDefault="0031683C" w:rsidP="00085C5D">
      <w:pPr>
        <w:pStyle w:val="ListParagraph"/>
        <w:numPr>
          <w:ilvl w:val="0"/>
          <w:numId w:val="11"/>
        </w:numPr>
        <w:spacing w:line="240" w:lineRule="auto"/>
        <w:ind w:hanging="720"/>
      </w:pPr>
      <w:r w:rsidRPr="007A365B">
        <w:t>TCMUD 12 failed to prove that building its own facilities to serve itself was or is prohibitively expensive.</w:t>
      </w:r>
    </w:p>
    <w:p w:rsidR="0031683C" w:rsidRPr="007A365B" w:rsidRDefault="0031683C" w:rsidP="0031683C">
      <w:pPr>
        <w:spacing w:line="240" w:lineRule="auto"/>
      </w:pPr>
    </w:p>
    <w:p w:rsidR="0031683C" w:rsidRDefault="0031683C" w:rsidP="00085C5D">
      <w:pPr>
        <w:pStyle w:val="ListParagraph"/>
        <w:numPr>
          <w:ilvl w:val="0"/>
          <w:numId w:val="11"/>
        </w:numPr>
        <w:spacing w:line="240" w:lineRule="auto"/>
        <w:ind w:hanging="720"/>
      </w:pPr>
      <w:r w:rsidRPr="007A365B">
        <w:t>The Protested Rates about which TCMUD 12 complains are actually lower than the Prior Rates it paid WTCPUA.  TCMUD 12’s monthly charge decreased from $10,891.65 to $8,140.89, and its volumetric rate decreased from $2.77 to $2.11 per 1,000 gallons.</w:t>
      </w:r>
    </w:p>
    <w:p w:rsidR="00435895" w:rsidRDefault="00435895" w:rsidP="00435895">
      <w:pPr>
        <w:pStyle w:val="ListParagraph"/>
        <w:spacing w:line="240" w:lineRule="auto"/>
      </w:pPr>
    </w:p>
    <w:p w:rsidR="00435895" w:rsidRDefault="00435895" w:rsidP="00085C5D">
      <w:pPr>
        <w:pStyle w:val="ListParagraph"/>
        <w:numPr>
          <w:ilvl w:val="0"/>
          <w:numId w:val="11"/>
        </w:numPr>
        <w:spacing w:line="240" w:lineRule="auto"/>
        <w:ind w:hanging="720"/>
      </w:pPr>
      <w:r>
        <w:t>The Protested Rates are actually lower than the Initial Rates that TCMUD 12 agreed to pay in the Water Services Agreement</w:t>
      </w:r>
      <w:r w:rsidR="00284D28">
        <w:t xml:space="preserve">: a </w:t>
      </w:r>
      <w:r w:rsidR="00284D28" w:rsidRPr="007A365B">
        <w:t xml:space="preserve">monthly charge </w:t>
      </w:r>
      <w:r w:rsidR="00284D28">
        <w:t xml:space="preserve">of </w:t>
      </w:r>
      <w:r w:rsidR="00284D28" w:rsidRPr="007A365B">
        <w:t xml:space="preserve">$9,430 and </w:t>
      </w:r>
      <w:r w:rsidR="00C80089">
        <w:t>a</w:t>
      </w:r>
      <w:r w:rsidR="00284D28">
        <w:t xml:space="preserve"> </w:t>
      </w:r>
      <w:r w:rsidR="00284D28" w:rsidRPr="007A365B">
        <w:t xml:space="preserve">volumetric rate </w:t>
      </w:r>
      <w:r w:rsidR="00C80089">
        <w:t xml:space="preserve">of </w:t>
      </w:r>
      <w:r w:rsidR="00284D28" w:rsidRPr="007A365B">
        <w:t>$2.40 per 1,000 gallons.</w:t>
      </w:r>
    </w:p>
    <w:p w:rsidR="0031683C" w:rsidRPr="007A365B" w:rsidRDefault="0031683C" w:rsidP="0031683C">
      <w:pPr>
        <w:spacing w:line="240" w:lineRule="auto"/>
      </w:pPr>
    </w:p>
    <w:p w:rsidR="0031683C" w:rsidRDefault="0031683C" w:rsidP="00085C5D">
      <w:pPr>
        <w:pStyle w:val="ListParagraph"/>
        <w:numPr>
          <w:ilvl w:val="0"/>
          <w:numId w:val="11"/>
        </w:numPr>
        <w:spacing w:line="240" w:lineRule="auto"/>
        <w:ind w:hanging="720"/>
      </w:pPr>
      <w:r w:rsidRPr="007A365B">
        <w:lastRenderedPageBreak/>
        <w:t xml:space="preserve">WTCPUA’s lowering </w:t>
      </w:r>
      <w:r>
        <w:t>of the Protested R</w:t>
      </w:r>
      <w:r w:rsidRPr="007A365B">
        <w:t xml:space="preserve">ates indicates </w:t>
      </w:r>
      <w:r>
        <w:t xml:space="preserve">it has not </w:t>
      </w:r>
      <w:r w:rsidRPr="007A365B">
        <w:t>abuse</w:t>
      </w:r>
      <w:r>
        <w:t>d</w:t>
      </w:r>
      <w:r w:rsidRPr="007A365B">
        <w:t xml:space="preserve"> </w:t>
      </w:r>
      <w:r>
        <w:t xml:space="preserve">any </w:t>
      </w:r>
      <w:r w:rsidRPr="007A365B">
        <w:t xml:space="preserve">power </w:t>
      </w:r>
      <w:r>
        <w:t xml:space="preserve">it might have </w:t>
      </w:r>
      <w:r w:rsidRPr="007A365B">
        <w:t>over TCMUD 12.</w:t>
      </w:r>
    </w:p>
    <w:p w:rsidR="00C80089" w:rsidRDefault="00C80089" w:rsidP="00C80089">
      <w:pPr>
        <w:spacing w:line="240" w:lineRule="auto"/>
      </w:pPr>
    </w:p>
    <w:p w:rsidR="00C80089" w:rsidRPr="00C80089" w:rsidRDefault="00C80089" w:rsidP="00C80089">
      <w:pPr>
        <w:spacing w:line="240" w:lineRule="auto"/>
        <w:rPr>
          <w:b/>
        </w:rPr>
      </w:pPr>
      <w:r w:rsidRPr="00C80089">
        <w:rPr>
          <w:b/>
        </w:rPr>
        <w:t>Transcript</w:t>
      </w:r>
    </w:p>
    <w:p w:rsidR="0031683C" w:rsidRPr="007A365B" w:rsidRDefault="0031683C" w:rsidP="00C80089">
      <w:pPr>
        <w:spacing w:line="240" w:lineRule="auto"/>
      </w:pPr>
    </w:p>
    <w:p w:rsidR="0031683C" w:rsidRPr="007A365B" w:rsidRDefault="0031683C" w:rsidP="00085C5D">
      <w:pPr>
        <w:pStyle w:val="ListParagraph"/>
        <w:numPr>
          <w:ilvl w:val="0"/>
          <w:numId w:val="11"/>
        </w:numPr>
        <w:spacing w:line="240" w:lineRule="auto"/>
        <w:ind w:hanging="720"/>
      </w:pPr>
      <w:r w:rsidRPr="007A365B">
        <w:t>The cost of the original transcript and copies for the ALJ and PUC was $3,545.36, which TCMUD 12 paid.  TCMUD 12 requests that each party to this case, with the exception of the PUC Staff, be allocated an equal share of th</w:t>
      </w:r>
      <w:r>
        <w:t>at</w:t>
      </w:r>
      <w:r w:rsidRPr="007A365B">
        <w:t xml:space="preserve"> transcription costs, $709.07 each.</w:t>
      </w:r>
    </w:p>
    <w:p w:rsidR="0031683C" w:rsidRPr="007A365B" w:rsidRDefault="0031683C" w:rsidP="0031683C">
      <w:pPr>
        <w:spacing w:line="240" w:lineRule="auto"/>
      </w:pPr>
    </w:p>
    <w:p w:rsidR="0031683C" w:rsidRPr="0031683C" w:rsidRDefault="0031683C" w:rsidP="0031683C">
      <w:pPr>
        <w:pStyle w:val="Heading1"/>
        <w:keepNext w:val="0"/>
        <w:spacing w:line="240" w:lineRule="auto"/>
      </w:pPr>
      <w:bookmarkStart w:id="34" w:name="_Toc431366953"/>
      <w:r w:rsidRPr="0031683C">
        <w:rPr>
          <w:caps w:val="0"/>
        </w:rPr>
        <w:t>CONCLUSIONS</w:t>
      </w:r>
      <w:r w:rsidRPr="0031683C">
        <w:t xml:space="preserve"> OF LAW</w:t>
      </w:r>
      <w:bookmarkEnd w:id="34"/>
    </w:p>
    <w:p w:rsidR="0031683C" w:rsidRPr="007A365B" w:rsidRDefault="0031683C" w:rsidP="0031683C">
      <w:pPr>
        <w:spacing w:line="240" w:lineRule="auto"/>
      </w:pPr>
    </w:p>
    <w:p w:rsidR="0031683C" w:rsidRPr="007A365B" w:rsidRDefault="0031683C" w:rsidP="0031683C">
      <w:pPr>
        <w:spacing w:line="240" w:lineRule="auto"/>
        <w:rPr>
          <w:b/>
        </w:rPr>
      </w:pPr>
      <w:r w:rsidRPr="007A365B">
        <w:rPr>
          <w:b/>
        </w:rPr>
        <w:t>Jurisdiction</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The Commission has jurisdiction over TCMUD 12’</w:t>
      </w:r>
      <w:r w:rsidR="009D51B7">
        <w:t>s petition.  Tex. Water Code §§ </w:t>
      </w:r>
      <w:r w:rsidRPr="007A365B">
        <w:t>13.002 (21), (25), .043(f).</w:t>
      </w:r>
    </w:p>
    <w:p w:rsidR="0031683C" w:rsidRPr="007A365B" w:rsidRDefault="0031683C" w:rsidP="0031683C">
      <w:pPr>
        <w:spacing w:line="240" w:lineRule="auto"/>
      </w:pPr>
    </w:p>
    <w:p w:rsidR="0031683C" w:rsidRPr="007A365B" w:rsidRDefault="0031683C" w:rsidP="0031683C">
      <w:pPr>
        <w:spacing w:line="240" w:lineRule="auto"/>
        <w:rPr>
          <w:b/>
        </w:rPr>
      </w:pPr>
      <w:r w:rsidRPr="007A365B">
        <w:rPr>
          <w:b/>
        </w:rPr>
        <w:t>Burden Of Proof</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TCMUD 12 has the burden of proving that the Protested Rates are adverse to the public interest.  16 Tex. Admin. Code § 24.136.</w:t>
      </w:r>
    </w:p>
    <w:p w:rsidR="0031683C" w:rsidRPr="007A365B" w:rsidRDefault="0031683C" w:rsidP="0031683C">
      <w:pPr>
        <w:spacing w:line="240" w:lineRule="auto"/>
      </w:pPr>
    </w:p>
    <w:p w:rsidR="0031683C" w:rsidRPr="007A365B" w:rsidRDefault="0031683C" w:rsidP="0031683C">
      <w:pPr>
        <w:spacing w:line="240" w:lineRule="auto"/>
        <w:rPr>
          <w:b/>
        </w:rPr>
      </w:pPr>
      <w:r w:rsidRPr="007A365B">
        <w:rPr>
          <w:b/>
        </w:rPr>
        <w:t>Requirement for an Initial Public Interest Determination</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The Commission has adopted rules to govern petitions and appeals concerning wholesale water and sewer service.  16 Tex. Admin. Code ch. 24, subch. I.  The rules set forth substantive guidelines and procedural requirements concerning an appeal pursuant to Texas Water Code §13.043(f).  16 Tex. Admin. Code § 24.128(2).</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If the Commission determines the protested rate does not adversely affect the public interest, the Commission will deny the petition or appeal by final order.  16 Tex. Admin. Code § 24.134(a).</w:t>
      </w:r>
    </w:p>
    <w:p w:rsidR="0031683C" w:rsidRPr="007A365B" w:rsidRDefault="0031683C" w:rsidP="0031683C">
      <w:pPr>
        <w:spacing w:line="240" w:lineRule="auto"/>
        <w:rPr>
          <w:rFonts w:cs="Arial"/>
          <w:b/>
          <w:bCs/>
          <w:iCs/>
          <w:szCs w:val="28"/>
        </w:rPr>
      </w:pPr>
    </w:p>
    <w:p w:rsidR="0031683C" w:rsidRPr="007A365B" w:rsidRDefault="0031683C" w:rsidP="00085C5D">
      <w:pPr>
        <w:pStyle w:val="ListParagraph"/>
        <w:numPr>
          <w:ilvl w:val="0"/>
          <w:numId w:val="12"/>
        </w:numPr>
        <w:spacing w:line="240" w:lineRule="auto"/>
        <w:ind w:hanging="720"/>
      </w:pPr>
      <w:r w:rsidRPr="007A365B">
        <w:t>The Commission has adopted a rule (Public Interest Rule) specifying how it will determine if a protested rate adversely affects the public i</w:t>
      </w:r>
      <w:r w:rsidR="00C80089">
        <w:t>nterest.  16 Tex. Admin. Code § </w:t>
      </w:r>
      <w:r w:rsidRPr="007A365B">
        <w:t>24.133.</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The cash-needs method</w:t>
      </w:r>
      <w:r>
        <w:t xml:space="preserve"> is one of the </w:t>
      </w:r>
      <w:r w:rsidRPr="007A365B">
        <w:t xml:space="preserve">methods used to calculate revenue requirement.  16 </w:t>
      </w:r>
      <w:r w:rsidR="00C80089">
        <w:t>Tex. Admin. Code §</w:t>
      </w:r>
      <w:r w:rsidRPr="007A365B">
        <w:t>§ 24.34</w:t>
      </w:r>
      <w:r>
        <w:t>(c)</w:t>
      </w:r>
      <w:r w:rsidRPr="007A365B">
        <w:t>, .129</w:t>
      </w:r>
      <w:r>
        <w:t>(3)</w:t>
      </w:r>
      <w:r w:rsidRPr="007A365B">
        <w:t>, .135</w:t>
      </w:r>
      <w:r>
        <w:t>(b)</w:t>
      </w:r>
      <w:r w:rsidRPr="007A365B">
        <w:t>.</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 xml:space="preserve">WTCPUA used the cash-needs method for both the Prior </w:t>
      </w:r>
      <w:r w:rsidR="00C80089">
        <w:t xml:space="preserve">Rates </w:t>
      </w:r>
      <w:r w:rsidRPr="007A365B">
        <w:t>and Protested Rates.</w:t>
      </w:r>
    </w:p>
    <w:p w:rsidR="0031683C" w:rsidRDefault="0031683C" w:rsidP="0031683C">
      <w:pPr>
        <w:spacing w:line="240" w:lineRule="auto"/>
      </w:pPr>
    </w:p>
    <w:p w:rsidR="0031683C" w:rsidRDefault="0031683C" w:rsidP="00085C5D">
      <w:pPr>
        <w:pStyle w:val="ListParagraph"/>
        <w:numPr>
          <w:ilvl w:val="0"/>
          <w:numId w:val="12"/>
        </w:numPr>
        <w:spacing w:line="240" w:lineRule="auto"/>
        <w:ind w:hanging="720"/>
      </w:pPr>
      <w:r w:rsidRPr="007A365B">
        <w:t xml:space="preserve">WTCPUA used the same methodology to </w:t>
      </w:r>
      <w:r>
        <w:t xml:space="preserve">compute </w:t>
      </w:r>
      <w:r w:rsidRPr="007A365B">
        <w:t xml:space="preserve">the Prior </w:t>
      </w:r>
      <w:r w:rsidR="00C80089">
        <w:t xml:space="preserve">Rates </w:t>
      </w:r>
      <w:r w:rsidRPr="007A365B">
        <w:t>and Protested Rates: a monthly fee and a flat volumetric rate.</w:t>
      </w:r>
    </w:p>
    <w:p w:rsidR="0031683C" w:rsidRPr="007A365B" w:rsidRDefault="0031683C" w:rsidP="0031683C">
      <w:pPr>
        <w:spacing w:line="240" w:lineRule="auto"/>
      </w:pPr>
    </w:p>
    <w:p w:rsidR="0031683C" w:rsidRDefault="0031683C" w:rsidP="00085C5D">
      <w:pPr>
        <w:pStyle w:val="ListParagraph"/>
        <w:numPr>
          <w:ilvl w:val="0"/>
          <w:numId w:val="12"/>
        </w:numPr>
        <w:spacing w:line="240" w:lineRule="auto"/>
        <w:ind w:hanging="720"/>
      </w:pPr>
      <w:r w:rsidRPr="007A365B">
        <w:lastRenderedPageBreak/>
        <w:t>TCMUD 12 failed to prove that WTCPUA has, or LCRA previously had, disparately greater bargaining power than TCMUD 12</w:t>
      </w:r>
      <w:r>
        <w:t>.</w:t>
      </w:r>
    </w:p>
    <w:p w:rsidR="0031683C" w:rsidRDefault="0031683C" w:rsidP="0031683C">
      <w:pPr>
        <w:spacing w:line="240" w:lineRule="auto"/>
      </w:pPr>
    </w:p>
    <w:p w:rsidR="0031683C" w:rsidRDefault="0031683C" w:rsidP="00085C5D">
      <w:pPr>
        <w:pStyle w:val="ListParagraph"/>
        <w:numPr>
          <w:ilvl w:val="0"/>
          <w:numId w:val="12"/>
        </w:numPr>
        <w:spacing w:line="240" w:lineRule="auto"/>
        <w:ind w:hanging="720"/>
      </w:pPr>
      <w:r>
        <w:t xml:space="preserve">TCMUD 12 failed to prove </w:t>
      </w:r>
      <w:r w:rsidRPr="007A365B">
        <w:t>that WTCPUA changed its methodolog</w:t>
      </w:r>
      <w:r>
        <w:t>y</w:t>
      </w:r>
      <w:r w:rsidRPr="007A365B">
        <w:t xml:space="preserve"> for computing its revenue requirement or rates</w:t>
      </w:r>
      <w:r>
        <w:t xml:space="preserve"> when it adopted the Protested Rates.</w:t>
      </w:r>
    </w:p>
    <w:p w:rsidR="0031683C"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t xml:space="preserve">TCMUD 12 failed to prove </w:t>
      </w:r>
      <w:r w:rsidRPr="007A365B">
        <w:t>that WTCPUA ha</w:t>
      </w:r>
      <w:r>
        <w:t>d</w:t>
      </w:r>
      <w:r w:rsidRPr="007A365B">
        <w:t>, much less abused, monopoly power when it adopted the Protested Rates.</w:t>
      </w:r>
    </w:p>
    <w:p w:rsidR="0031683C"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TCMUD 12 failed to prove that the Protested Rates adversely affect the public interest.</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 xml:space="preserve">TCMUD 12’s petition </w:t>
      </w:r>
      <w:r>
        <w:t xml:space="preserve">appealing the Protested Rates WTCPUA charges </w:t>
      </w:r>
      <w:r w:rsidRPr="007A365B">
        <w:t>should be denied and dismissed with prejudice to refiling.</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 xml:space="preserve">Nothing in chapter 13 of the Texas Water Code; </w:t>
      </w:r>
      <w:r>
        <w:t xml:space="preserve">the </w:t>
      </w:r>
      <w:r w:rsidRPr="007A365B">
        <w:t>Public Utility Regulatory Act; or the Commission’s rules authoriz</w:t>
      </w:r>
      <w:r>
        <w:t>es</w:t>
      </w:r>
      <w:r w:rsidRPr="007A365B">
        <w:t xml:space="preserve"> the Commission to allocate transcript costs among the parties.</w:t>
      </w:r>
    </w:p>
    <w:p w:rsidR="0031683C" w:rsidRPr="007A365B" w:rsidRDefault="0031683C" w:rsidP="0031683C">
      <w:pPr>
        <w:spacing w:line="240" w:lineRule="auto"/>
      </w:pPr>
    </w:p>
    <w:p w:rsidR="0031683C" w:rsidRPr="007A365B" w:rsidRDefault="0031683C" w:rsidP="00085C5D">
      <w:pPr>
        <w:pStyle w:val="ListParagraph"/>
        <w:numPr>
          <w:ilvl w:val="0"/>
          <w:numId w:val="12"/>
        </w:numPr>
        <w:spacing w:line="240" w:lineRule="auto"/>
        <w:ind w:hanging="720"/>
      </w:pPr>
      <w:r w:rsidRPr="007A365B">
        <w:t>TCMUD 12’s request that each party to this case, with the exception of the PUC Staff, be allocated an equal share of the transcription costs</w:t>
      </w:r>
      <w:r w:rsidR="00C80089">
        <w:t xml:space="preserve"> </w:t>
      </w:r>
      <w:r w:rsidRPr="007A365B">
        <w:t>should be denied.</w:t>
      </w:r>
    </w:p>
    <w:p w:rsidR="0031683C" w:rsidRDefault="0031683C" w:rsidP="0031683C">
      <w:pPr>
        <w:spacing w:line="240" w:lineRule="auto"/>
      </w:pPr>
    </w:p>
    <w:p w:rsidR="00B76921" w:rsidRDefault="00B76921" w:rsidP="0031683C">
      <w:pPr>
        <w:spacing w:line="240" w:lineRule="auto"/>
        <w:rPr>
          <w:b/>
        </w:rPr>
      </w:pPr>
      <w:r w:rsidRPr="00D66531">
        <w:rPr>
          <w:b/>
        </w:rPr>
        <w:tab/>
        <w:t xml:space="preserve">SIGNED </w:t>
      </w:r>
      <w:r w:rsidR="00DE11A6">
        <w:rPr>
          <w:b/>
        </w:rPr>
        <w:t>September 30, 2015.</w:t>
      </w:r>
    </w:p>
    <w:p w:rsidR="001630BE" w:rsidRPr="00D66531" w:rsidRDefault="001630BE" w:rsidP="0031683C">
      <w:pPr>
        <w:spacing w:line="240" w:lineRule="auto"/>
        <w:rPr>
          <w:b/>
        </w:rPr>
      </w:pPr>
    </w:p>
    <w:p w:rsidR="00B76921" w:rsidRPr="00D66531" w:rsidRDefault="001630BE" w:rsidP="0031683C">
      <w:pPr>
        <w:spacing w:line="240" w:lineRule="auto"/>
        <w:rPr>
          <w:b/>
        </w:rPr>
      </w:pPr>
      <w:r w:rsidRPr="00D66531">
        <w:rPr>
          <w:noProof/>
        </w:rPr>
        <w:drawing>
          <wp:anchor distT="0" distB="0" distL="114300" distR="114300" simplePos="0" relativeHeight="251659264" behindDoc="0" locked="0" layoutInCell="1" allowOverlap="1" wp14:anchorId="6C8284BE" wp14:editId="662B4EF4">
            <wp:simplePos x="0" y="0"/>
            <wp:positionH relativeFrom="column">
              <wp:posOffset>2265680</wp:posOffset>
            </wp:positionH>
            <wp:positionV relativeFrom="paragraph">
              <wp:posOffset>81280</wp:posOffset>
            </wp:positionV>
            <wp:extent cx="2286000" cy="4381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0" cy="438150"/>
                    </a:xfrm>
                    <a:prstGeom prst="rect">
                      <a:avLst/>
                    </a:prstGeom>
                    <a:noFill/>
                  </pic:spPr>
                </pic:pic>
              </a:graphicData>
            </a:graphic>
            <wp14:sizeRelH relativeFrom="page">
              <wp14:pctWidth>0</wp14:pctWidth>
            </wp14:sizeRelH>
            <wp14:sizeRelV relativeFrom="page">
              <wp14:pctHeight>0</wp14:pctHeight>
            </wp14:sizeRelV>
          </wp:anchor>
        </w:drawing>
      </w:r>
    </w:p>
    <w:p w:rsidR="00B76921" w:rsidRPr="00D66531" w:rsidRDefault="00B76921" w:rsidP="0031683C">
      <w:pPr>
        <w:spacing w:line="240" w:lineRule="auto"/>
        <w:rPr>
          <w:b/>
        </w:rPr>
      </w:pPr>
    </w:p>
    <w:p w:rsidR="00B76921" w:rsidRPr="00D66531" w:rsidRDefault="00B76921" w:rsidP="0031683C">
      <w:pPr>
        <w:spacing w:line="240" w:lineRule="auto"/>
        <w:rPr>
          <w:b/>
        </w:rPr>
      </w:pPr>
      <w:r w:rsidRPr="00D66531">
        <w:rPr>
          <w:b/>
        </w:rPr>
        <w:tab/>
      </w:r>
      <w:r w:rsidRPr="00D66531">
        <w:rPr>
          <w:b/>
        </w:rPr>
        <w:tab/>
      </w:r>
      <w:r w:rsidRPr="00D66531">
        <w:rPr>
          <w:b/>
        </w:rPr>
        <w:tab/>
      </w:r>
      <w:r w:rsidRPr="00D66531">
        <w:rPr>
          <w:b/>
        </w:rPr>
        <w:tab/>
      </w:r>
      <w:r w:rsidRPr="00D66531">
        <w:rPr>
          <w:b/>
        </w:rPr>
        <w:tab/>
        <w:t>__________________________________</w:t>
      </w:r>
    </w:p>
    <w:p w:rsidR="00B76921" w:rsidRPr="00D66531" w:rsidRDefault="00B76921" w:rsidP="0031683C">
      <w:pPr>
        <w:spacing w:line="240" w:lineRule="auto"/>
        <w:rPr>
          <w:b/>
        </w:rPr>
      </w:pPr>
      <w:r w:rsidRPr="00D66531">
        <w:rPr>
          <w:b/>
        </w:rPr>
        <w:tab/>
      </w:r>
      <w:r w:rsidRPr="00D66531">
        <w:rPr>
          <w:b/>
        </w:rPr>
        <w:tab/>
      </w:r>
      <w:r w:rsidRPr="00D66531">
        <w:rPr>
          <w:b/>
        </w:rPr>
        <w:tab/>
      </w:r>
      <w:r w:rsidRPr="00D66531">
        <w:rPr>
          <w:b/>
        </w:rPr>
        <w:tab/>
      </w:r>
      <w:r w:rsidRPr="00D66531">
        <w:rPr>
          <w:b/>
        </w:rPr>
        <w:tab/>
        <w:t>WILLIAM G. NEWCHURCH</w:t>
      </w:r>
    </w:p>
    <w:p w:rsidR="00B76921" w:rsidRPr="00D66531" w:rsidRDefault="00B76921" w:rsidP="0031683C">
      <w:pPr>
        <w:spacing w:line="240" w:lineRule="auto"/>
        <w:rPr>
          <w:b/>
        </w:rPr>
      </w:pPr>
      <w:r w:rsidRPr="00D66531">
        <w:rPr>
          <w:b/>
        </w:rPr>
        <w:tab/>
      </w:r>
      <w:r w:rsidRPr="00D66531">
        <w:rPr>
          <w:b/>
        </w:rPr>
        <w:tab/>
      </w:r>
      <w:r w:rsidRPr="00D66531">
        <w:rPr>
          <w:b/>
        </w:rPr>
        <w:tab/>
      </w:r>
      <w:r w:rsidRPr="00D66531">
        <w:rPr>
          <w:b/>
        </w:rPr>
        <w:tab/>
      </w:r>
      <w:r w:rsidRPr="00D66531">
        <w:rPr>
          <w:b/>
        </w:rPr>
        <w:tab/>
        <w:t>ADMINISTRATIVE LAW JUDGE</w:t>
      </w:r>
    </w:p>
    <w:p w:rsidR="00B76921" w:rsidRPr="00D66531" w:rsidRDefault="00B76921" w:rsidP="0031683C">
      <w:pPr>
        <w:spacing w:line="240" w:lineRule="auto"/>
        <w:rPr>
          <w:b/>
        </w:rPr>
      </w:pPr>
      <w:r w:rsidRPr="00D66531">
        <w:rPr>
          <w:b/>
        </w:rPr>
        <w:tab/>
      </w:r>
      <w:r w:rsidRPr="00D66531">
        <w:rPr>
          <w:b/>
        </w:rPr>
        <w:tab/>
      </w:r>
      <w:r w:rsidRPr="00D66531">
        <w:rPr>
          <w:b/>
        </w:rPr>
        <w:tab/>
      </w:r>
      <w:r w:rsidRPr="00D66531">
        <w:rPr>
          <w:b/>
        </w:rPr>
        <w:tab/>
      </w:r>
      <w:r w:rsidRPr="00D66531">
        <w:rPr>
          <w:b/>
        </w:rPr>
        <w:tab/>
        <w:t>STATE OFFICE OF ADMINISTRATIVE HEARINGS</w:t>
      </w:r>
    </w:p>
    <w:p w:rsidR="00176897" w:rsidRDefault="00176897" w:rsidP="0031683C">
      <w:pPr>
        <w:spacing w:line="240" w:lineRule="auto"/>
      </w:pPr>
    </w:p>
    <w:sectPr w:rsidR="00176897" w:rsidSect="00C12710">
      <w:headerReference w:type="default" r:id="rId10"/>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CD5" w:rsidRDefault="008F1CD5" w:rsidP="00250FD0">
      <w:pPr>
        <w:spacing w:line="240" w:lineRule="auto"/>
      </w:pPr>
      <w:r>
        <w:separator/>
      </w:r>
    </w:p>
  </w:endnote>
  <w:endnote w:type="continuationSeparator" w:id="0">
    <w:p w:rsidR="008F1CD5" w:rsidRDefault="008F1CD5" w:rsidP="00250F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CD5" w:rsidRDefault="008F1CD5" w:rsidP="00250FD0">
      <w:pPr>
        <w:spacing w:line="240" w:lineRule="auto"/>
      </w:pPr>
      <w:r>
        <w:separator/>
      </w:r>
    </w:p>
  </w:footnote>
  <w:footnote w:type="continuationSeparator" w:id="0">
    <w:p w:rsidR="008F1CD5" w:rsidRDefault="008F1CD5" w:rsidP="00250FD0">
      <w:pPr>
        <w:spacing w:line="240" w:lineRule="auto"/>
      </w:pPr>
      <w:r>
        <w:continuationSeparator/>
      </w:r>
    </w:p>
  </w:footnote>
  <w:footnote w:id="1">
    <w:p w:rsidR="00C1697A" w:rsidRDefault="00C1697A" w:rsidP="00B6294E">
      <w:pPr>
        <w:pStyle w:val="FootnoteText"/>
        <w:spacing w:after="120" w:line="240" w:lineRule="auto"/>
      </w:pPr>
      <w:r>
        <w:rPr>
          <w:rStyle w:val="FootnoteReference"/>
        </w:rPr>
        <w:footnoteRef/>
      </w:r>
      <w:r>
        <w:t xml:space="preserve"> This case was originally filed with the Texas Commission on Environmental Quality (TCEQ). OPIC was admitted as a party when the TCEQ had jurisdiction and has not moved to withdraw as a party.</w:t>
      </w:r>
    </w:p>
  </w:footnote>
  <w:footnote w:id="2">
    <w:p w:rsidR="00C1697A" w:rsidRDefault="00C1697A" w:rsidP="00B6294E">
      <w:pPr>
        <w:pStyle w:val="FootnoteText"/>
        <w:spacing w:after="120" w:line="240" w:lineRule="auto"/>
      </w:pPr>
      <w:r>
        <w:rPr>
          <w:rStyle w:val="FootnoteReference"/>
        </w:rPr>
        <w:footnoteRef/>
      </w:r>
      <w:r>
        <w:t xml:space="preserve"> Executive Director (ED) Ex. B.</w:t>
      </w:r>
    </w:p>
  </w:footnote>
  <w:footnote w:id="3">
    <w:p w:rsidR="00C1697A" w:rsidRDefault="00C1697A" w:rsidP="00B6294E">
      <w:pPr>
        <w:pStyle w:val="FootnoteText"/>
        <w:spacing w:after="120" w:line="240" w:lineRule="auto"/>
      </w:pPr>
      <w:r>
        <w:rPr>
          <w:rStyle w:val="FootnoteReference"/>
        </w:rPr>
        <w:footnoteRef/>
      </w:r>
      <w:r>
        <w:t xml:space="preserve"> TCMUD 12 Ex. 1 at 4.</w:t>
      </w:r>
    </w:p>
  </w:footnote>
  <w:footnote w:id="4">
    <w:p w:rsidR="00C1697A" w:rsidRDefault="00C1697A" w:rsidP="00B6294E">
      <w:pPr>
        <w:pStyle w:val="FootnoteText"/>
        <w:spacing w:after="120" w:line="240" w:lineRule="auto"/>
      </w:pPr>
      <w:r>
        <w:rPr>
          <w:rStyle w:val="FootnoteReference"/>
        </w:rPr>
        <w:footnoteRef/>
      </w:r>
      <w:r>
        <w:t xml:space="preserve"> </w:t>
      </w:r>
      <w:r w:rsidRPr="009C23D5">
        <w:t>Tex. Water Code</w:t>
      </w:r>
      <w:r w:rsidRPr="00302EAB">
        <w:t xml:space="preserve"> </w:t>
      </w:r>
      <w:r>
        <w:t>§ 13.002(19).</w:t>
      </w:r>
    </w:p>
  </w:footnote>
  <w:footnote w:id="5">
    <w:p w:rsidR="00C1697A" w:rsidRDefault="00C1697A" w:rsidP="00B6294E">
      <w:pPr>
        <w:pStyle w:val="FootnoteText"/>
        <w:spacing w:after="120" w:line="240" w:lineRule="auto"/>
      </w:pPr>
      <w:r>
        <w:rPr>
          <w:rStyle w:val="FootnoteReference"/>
        </w:rPr>
        <w:footnoteRef/>
      </w:r>
      <w:r>
        <w:t xml:space="preserve"> TCMUD 12 Ex. 1 at 4, Ex. 6.</w:t>
      </w:r>
    </w:p>
  </w:footnote>
  <w:footnote w:id="6">
    <w:p w:rsidR="00C1697A" w:rsidRDefault="00C1697A" w:rsidP="00B6294E">
      <w:pPr>
        <w:pStyle w:val="FootnoteText"/>
        <w:spacing w:after="120" w:line="240" w:lineRule="auto"/>
      </w:pPr>
      <w:r>
        <w:rPr>
          <w:rStyle w:val="FootnoteReference"/>
        </w:rPr>
        <w:footnoteRef/>
      </w:r>
      <w:r>
        <w:t xml:space="preserve"> TCMUD 12 Ex. 1 at 4.</w:t>
      </w:r>
    </w:p>
  </w:footnote>
  <w:footnote w:id="7">
    <w:p w:rsidR="00C1697A" w:rsidRDefault="00C1697A" w:rsidP="00B6294E">
      <w:pPr>
        <w:pStyle w:val="FootnoteText"/>
        <w:spacing w:after="120" w:line="240" w:lineRule="auto"/>
      </w:pPr>
      <w:r>
        <w:rPr>
          <w:rStyle w:val="FootnoteReference"/>
        </w:rPr>
        <w:footnoteRef/>
      </w:r>
      <w:r>
        <w:t xml:space="preserve"> Tex. Water Code § 572.052(c)(2).</w:t>
      </w:r>
    </w:p>
  </w:footnote>
  <w:footnote w:id="8">
    <w:p w:rsidR="00C1697A" w:rsidRDefault="00C1697A" w:rsidP="00B6294E">
      <w:pPr>
        <w:pStyle w:val="FootnoteText"/>
        <w:spacing w:after="120" w:line="240" w:lineRule="auto"/>
      </w:pPr>
      <w:r>
        <w:rPr>
          <w:rStyle w:val="FootnoteReference"/>
        </w:rPr>
        <w:footnoteRef/>
      </w:r>
      <w:r>
        <w:t xml:space="preserve"> WCTPUA Ex 1, attach. D at 51, 54–55, 59–60, 63–64.</w:t>
      </w:r>
    </w:p>
  </w:footnote>
  <w:footnote w:id="9">
    <w:p w:rsidR="00C1697A" w:rsidRDefault="00C1697A" w:rsidP="00B6294E">
      <w:pPr>
        <w:pStyle w:val="FootnoteText"/>
        <w:spacing w:after="120" w:line="240" w:lineRule="auto"/>
      </w:pPr>
      <w:r>
        <w:rPr>
          <w:rStyle w:val="FootnoteReference"/>
        </w:rPr>
        <w:footnoteRef/>
      </w:r>
      <w:r>
        <w:t xml:space="preserve"> WCTPUA Ex 1, attach. D.</w:t>
      </w:r>
    </w:p>
  </w:footnote>
  <w:footnote w:id="10">
    <w:p w:rsidR="00C1697A" w:rsidRDefault="00C1697A" w:rsidP="00B6294E">
      <w:pPr>
        <w:pStyle w:val="FootnoteText"/>
        <w:spacing w:after="120" w:line="240" w:lineRule="auto"/>
      </w:pPr>
      <w:r>
        <w:rPr>
          <w:rStyle w:val="FootnoteReference"/>
        </w:rPr>
        <w:footnoteRef/>
      </w:r>
      <w:r>
        <w:t xml:space="preserve"> WCTPUA Ex 1, attach. D at 57.</w:t>
      </w:r>
    </w:p>
  </w:footnote>
  <w:footnote w:id="11">
    <w:p w:rsidR="00C1697A" w:rsidRDefault="00C1697A" w:rsidP="00B6294E">
      <w:pPr>
        <w:pStyle w:val="FootnoteText"/>
        <w:spacing w:after="120" w:line="240" w:lineRule="auto"/>
      </w:pPr>
      <w:r>
        <w:rPr>
          <w:rStyle w:val="FootnoteReference"/>
        </w:rPr>
        <w:footnoteRef/>
      </w:r>
      <w:r>
        <w:t xml:space="preserve"> There is no evidence or contention that any law, other than contract law, requires WTCPUA to provide water service to TCMUD 12.</w:t>
      </w:r>
    </w:p>
  </w:footnote>
  <w:footnote w:id="12">
    <w:p w:rsidR="00C1697A" w:rsidRDefault="00C1697A" w:rsidP="00B6294E">
      <w:pPr>
        <w:pStyle w:val="FootnoteText"/>
        <w:spacing w:after="120" w:line="240" w:lineRule="auto"/>
      </w:pPr>
      <w:r>
        <w:rPr>
          <w:rStyle w:val="FootnoteReference"/>
        </w:rPr>
        <w:footnoteRef/>
      </w:r>
      <w:r>
        <w:t xml:space="preserve"> TCMUD 12 Ex. 1 at 4–5 &amp; JAD Ex. 2 at 67, 135.</w:t>
      </w:r>
    </w:p>
  </w:footnote>
  <w:footnote w:id="13">
    <w:p w:rsidR="00C1697A" w:rsidRDefault="00C1697A" w:rsidP="00B6294E">
      <w:pPr>
        <w:pStyle w:val="FootnoteText"/>
        <w:spacing w:after="120" w:line="240" w:lineRule="auto"/>
      </w:pPr>
      <w:r>
        <w:rPr>
          <w:rStyle w:val="FootnoteReference"/>
        </w:rPr>
        <w:footnoteRef/>
      </w:r>
      <w:r>
        <w:t xml:space="preserve"> TCMUD 12 Ex. 1 at JAD Ex. 4.</w:t>
      </w:r>
    </w:p>
  </w:footnote>
  <w:footnote w:id="14">
    <w:p w:rsidR="00C1697A" w:rsidRDefault="00C1697A" w:rsidP="00B6294E">
      <w:pPr>
        <w:pStyle w:val="FootnoteText"/>
        <w:spacing w:after="120" w:line="240" w:lineRule="auto"/>
      </w:pPr>
      <w:r>
        <w:rPr>
          <w:rStyle w:val="FootnoteReference"/>
        </w:rPr>
        <w:footnoteRef/>
      </w:r>
      <w:r>
        <w:t xml:space="preserve"> TCMUD 12 Ex. 1 at JAD Ex. 4 at 146.</w:t>
      </w:r>
    </w:p>
  </w:footnote>
  <w:footnote w:id="15">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at 14</w:t>
      </w:r>
      <w:r>
        <w:t>9.</w:t>
      </w:r>
    </w:p>
  </w:footnote>
  <w:footnote w:id="16">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150.</w:t>
      </w:r>
    </w:p>
  </w:footnote>
  <w:footnote w:id="17">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151.</w:t>
      </w:r>
    </w:p>
  </w:footnote>
  <w:footnote w:id="18">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150.</w:t>
      </w:r>
    </w:p>
  </w:footnote>
  <w:footnote w:id="19">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150.</w:t>
      </w:r>
    </w:p>
  </w:footnote>
  <w:footnote w:id="20">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151.</w:t>
      </w:r>
    </w:p>
  </w:footnote>
  <w:footnote w:id="21">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149–51.</w:t>
      </w:r>
    </w:p>
  </w:footnote>
  <w:footnote w:id="22">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151.</w:t>
      </w:r>
    </w:p>
  </w:footnote>
  <w:footnote w:id="23">
    <w:p w:rsidR="00C1697A" w:rsidRDefault="00C1697A" w:rsidP="00B6294E">
      <w:pPr>
        <w:pStyle w:val="FootnoteText"/>
        <w:spacing w:after="120" w:line="240" w:lineRule="auto"/>
      </w:pPr>
      <w:r>
        <w:rPr>
          <w:rStyle w:val="FootnoteReference"/>
        </w:rPr>
        <w:footnoteRef/>
      </w:r>
      <w:r>
        <w:t xml:space="preserve"> TCMUD 12 Ex. 1 at JAD Ex. 8.</w:t>
      </w:r>
    </w:p>
  </w:footnote>
  <w:footnote w:id="24">
    <w:p w:rsidR="00C1697A" w:rsidRDefault="00C1697A" w:rsidP="00B6294E">
      <w:pPr>
        <w:pStyle w:val="FootnoteText"/>
        <w:spacing w:after="120" w:line="240" w:lineRule="auto"/>
      </w:pPr>
      <w:r>
        <w:rPr>
          <w:rStyle w:val="FootnoteReference"/>
        </w:rPr>
        <w:footnoteRef/>
      </w:r>
      <w:r>
        <w:t xml:space="preserve"> </w:t>
      </w:r>
      <w:r w:rsidRPr="000E0811">
        <w:t>WTCPUA Ex. 1 at 15–16.</w:t>
      </w:r>
    </w:p>
  </w:footnote>
  <w:footnote w:id="25">
    <w:p w:rsidR="00C1697A" w:rsidRDefault="00C1697A" w:rsidP="00B6294E">
      <w:pPr>
        <w:pStyle w:val="FootnoteText"/>
        <w:spacing w:after="120" w:line="240" w:lineRule="auto"/>
      </w:pPr>
      <w:r>
        <w:rPr>
          <w:rStyle w:val="FootnoteReference"/>
        </w:rPr>
        <w:footnoteRef/>
      </w:r>
      <w:r>
        <w:t xml:space="preserve"> </w:t>
      </w:r>
      <w:r w:rsidRPr="00470431">
        <w:t xml:space="preserve">WTCPUA Ex. 1 </w:t>
      </w:r>
      <w:r>
        <w:t>at 32.</w:t>
      </w:r>
    </w:p>
  </w:footnote>
  <w:footnote w:id="26">
    <w:p w:rsidR="00C1697A" w:rsidRDefault="00C1697A" w:rsidP="00B6294E">
      <w:pPr>
        <w:pStyle w:val="FootnoteText"/>
        <w:spacing w:after="120" w:line="240" w:lineRule="auto"/>
      </w:pPr>
      <w:r>
        <w:rPr>
          <w:rStyle w:val="FootnoteReference"/>
        </w:rPr>
        <w:footnoteRef/>
      </w:r>
      <w:r>
        <w:t xml:space="preserve"> TCMUD 12 Ex. 1 at JAD Ex. 5.</w:t>
      </w:r>
    </w:p>
  </w:footnote>
  <w:footnote w:id="27">
    <w:p w:rsidR="00C1697A" w:rsidRDefault="00C1697A" w:rsidP="00B6294E">
      <w:pPr>
        <w:pStyle w:val="FootnoteText"/>
        <w:spacing w:after="120" w:line="240" w:lineRule="auto"/>
      </w:pPr>
      <w:r>
        <w:rPr>
          <w:rStyle w:val="FootnoteReference"/>
        </w:rPr>
        <w:footnoteRef/>
      </w:r>
      <w:r>
        <w:t xml:space="preserve"> TCMUD 12 Ex. 1 at JAD Ex. 5 at 168–70.</w:t>
      </w:r>
    </w:p>
  </w:footnote>
  <w:footnote w:id="28">
    <w:p w:rsidR="00C1697A" w:rsidRDefault="00C1697A" w:rsidP="00B6294E">
      <w:pPr>
        <w:pStyle w:val="FootnoteText"/>
        <w:spacing w:after="120" w:line="240" w:lineRule="auto"/>
      </w:pPr>
      <w:r>
        <w:rPr>
          <w:rStyle w:val="FootnoteReference"/>
        </w:rPr>
        <w:footnoteRef/>
      </w:r>
      <w:r>
        <w:t xml:space="preserve"> WTCPUA Ex. 3 at attach. F at 202.</w:t>
      </w:r>
    </w:p>
  </w:footnote>
  <w:footnote w:id="29">
    <w:p w:rsidR="00C1697A" w:rsidRDefault="00C1697A" w:rsidP="00B6294E">
      <w:pPr>
        <w:pStyle w:val="FootnoteText"/>
        <w:spacing w:after="120" w:line="240" w:lineRule="auto"/>
      </w:pPr>
      <w:r>
        <w:rPr>
          <w:rStyle w:val="FootnoteReference"/>
        </w:rPr>
        <w:footnoteRef/>
      </w:r>
      <w:r>
        <w:t xml:space="preserve"> WTCPUA Ex. 3 at attach. F at 202.</w:t>
      </w:r>
    </w:p>
  </w:footnote>
  <w:footnote w:id="30">
    <w:p w:rsidR="00C1697A" w:rsidRDefault="00C1697A" w:rsidP="00B6294E">
      <w:pPr>
        <w:pStyle w:val="FootnoteText"/>
        <w:spacing w:after="120" w:line="240" w:lineRule="auto"/>
      </w:pPr>
      <w:r>
        <w:rPr>
          <w:rStyle w:val="FootnoteReference"/>
        </w:rPr>
        <w:footnoteRef/>
      </w:r>
      <w:r>
        <w:t xml:space="preserve"> WTCPUA Ex. 3 at attach. G; </w:t>
      </w:r>
      <w:r w:rsidRPr="002802A6">
        <w:t>TCMUD 12 Ex. 1</w:t>
      </w:r>
      <w:r>
        <w:t xml:space="preserve"> at </w:t>
      </w:r>
      <w:r w:rsidRPr="002802A6">
        <w:t>JAD 13 at 399</w:t>
      </w:r>
      <w:r>
        <w:t>.</w:t>
      </w:r>
    </w:p>
  </w:footnote>
  <w:footnote w:id="31">
    <w:p w:rsidR="00C1697A" w:rsidRDefault="00C1697A" w:rsidP="00B6294E">
      <w:pPr>
        <w:pStyle w:val="FootnoteText"/>
        <w:spacing w:after="120" w:line="240" w:lineRule="auto"/>
      </w:pPr>
      <w:r>
        <w:rPr>
          <w:rStyle w:val="FootnoteReference"/>
        </w:rPr>
        <w:footnoteRef/>
      </w:r>
      <w:r>
        <w:t xml:space="preserve"> </w:t>
      </w:r>
      <w:r w:rsidRPr="005554F1">
        <w:rPr>
          <w:i/>
        </w:rPr>
        <w:t>Compare</w:t>
      </w:r>
      <w:r w:rsidRPr="005554F1">
        <w:t xml:space="preserve"> </w:t>
      </w:r>
      <w:r w:rsidRPr="000E0811">
        <w:t>WTCPUA</w:t>
      </w:r>
      <w:r w:rsidRPr="005554F1">
        <w:t xml:space="preserve"> Ex. 3 at attach. F at 202 </w:t>
      </w:r>
      <w:r w:rsidRPr="005554F1">
        <w:rPr>
          <w:i/>
        </w:rPr>
        <w:t>to</w:t>
      </w:r>
      <w:r w:rsidRPr="005554F1">
        <w:t xml:space="preserve"> WTCPUA Ex. 3 at at</w:t>
      </w:r>
      <w:r>
        <w:t xml:space="preserve">tach. G at 205–06 &amp; </w:t>
      </w:r>
      <w:r w:rsidRPr="005554F1">
        <w:t>TCMUD</w:t>
      </w:r>
      <w:r>
        <w:t> </w:t>
      </w:r>
      <w:r w:rsidRPr="005554F1">
        <w:t>12 Ex. 1 at JAD 13 at 399.</w:t>
      </w:r>
    </w:p>
  </w:footnote>
  <w:footnote w:id="32">
    <w:p w:rsidR="00C1697A" w:rsidRDefault="00C1697A" w:rsidP="00B6294E">
      <w:pPr>
        <w:pStyle w:val="FootnoteText"/>
        <w:spacing w:after="120" w:line="240" w:lineRule="auto"/>
      </w:pPr>
      <w:r>
        <w:rPr>
          <w:rStyle w:val="FootnoteReference"/>
        </w:rPr>
        <w:footnoteRef/>
      </w:r>
      <w:r>
        <w:t xml:space="preserve"> ED Ex. A.</w:t>
      </w:r>
    </w:p>
  </w:footnote>
  <w:footnote w:id="33">
    <w:p w:rsidR="00C1697A" w:rsidRDefault="00C1697A" w:rsidP="00B6294E">
      <w:pPr>
        <w:pStyle w:val="FootnoteText"/>
        <w:spacing w:after="120" w:line="240" w:lineRule="auto"/>
      </w:pPr>
      <w:r>
        <w:rPr>
          <w:rStyle w:val="FootnoteReference"/>
        </w:rPr>
        <w:footnoteRef/>
      </w:r>
      <w:r>
        <w:t xml:space="preserve"> ED </w:t>
      </w:r>
      <w:r w:rsidRPr="000E0811">
        <w:t>Ex</w:t>
      </w:r>
      <w:r>
        <w:t>. B.</w:t>
      </w:r>
    </w:p>
  </w:footnote>
  <w:footnote w:id="34">
    <w:p w:rsidR="00C1697A" w:rsidRPr="005E0491" w:rsidRDefault="00C1697A" w:rsidP="00B6294E">
      <w:pPr>
        <w:pStyle w:val="FootnoteText"/>
        <w:spacing w:after="120" w:line="240" w:lineRule="auto"/>
      </w:pPr>
      <w:r w:rsidRPr="005E0491">
        <w:rPr>
          <w:rStyle w:val="FootnoteReference"/>
        </w:rPr>
        <w:footnoteRef/>
      </w:r>
      <w:r w:rsidRPr="005E0491">
        <w:t xml:space="preserve"> SOAH Order No. 1 (Jun. 12, 2014).</w:t>
      </w:r>
    </w:p>
  </w:footnote>
  <w:footnote w:id="35">
    <w:p w:rsidR="00C1697A" w:rsidRPr="005E0491" w:rsidRDefault="00C1697A" w:rsidP="00B6294E">
      <w:pPr>
        <w:pStyle w:val="FootnoteText"/>
        <w:spacing w:after="120" w:line="240" w:lineRule="auto"/>
      </w:pPr>
      <w:r w:rsidRPr="005E0491">
        <w:rPr>
          <w:rStyle w:val="FootnoteReference"/>
        </w:rPr>
        <w:footnoteRef/>
      </w:r>
      <w:r w:rsidRPr="005E0491">
        <w:t xml:space="preserve"> Acts 2013, 83</w:t>
      </w:r>
      <w:r w:rsidR="00456F59">
        <w:t xml:space="preserve">rd </w:t>
      </w:r>
      <w:r w:rsidRPr="005E0491">
        <w:t>Leg., R.S., Ch. 170 (H.B.</w:t>
      </w:r>
      <w:r>
        <w:t xml:space="preserve"> </w:t>
      </w:r>
      <w:r w:rsidRPr="005E0491">
        <w:t>1600), eff. Sept. 1, 2013</w:t>
      </w:r>
      <w:r>
        <w:t>;</w:t>
      </w:r>
      <w:r w:rsidRPr="005E0491">
        <w:t xml:space="preserve"> Acts 2013, 83</w:t>
      </w:r>
      <w:r w:rsidR="00456F59">
        <w:t xml:space="preserve">rd </w:t>
      </w:r>
      <w:r w:rsidRPr="005E0491">
        <w:t>Leg., R.S., Ch. 171 (S.B.</w:t>
      </w:r>
      <w:r>
        <w:t> </w:t>
      </w:r>
      <w:r w:rsidRPr="005E0491">
        <w:t xml:space="preserve">567), eff. Sept. 1, 2013. </w:t>
      </w:r>
    </w:p>
  </w:footnote>
  <w:footnote w:id="36">
    <w:p w:rsidR="00C1697A" w:rsidRDefault="00C1697A" w:rsidP="00B6294E">
      <w:pPr>
        <w:pStyle w:val="FootnoteText"/>
        <w:spacing w:after="120" w:line="240" w:lineRule="auto"/>
      </w:pPr>
      <w:r>
        <w:rPr>
          <w:rStyle w:val="FootnoteReference"/>
        </w:rPr>
        <w:footnoteRef/>
      </w:r>
      <w:r w:rsidR="00C47495">
        <w:t xml:space="preserve"> H.B. 1600, §§ 2.07, 2.15; </w:t>
      </w:r>
      <w:r>
        <w:t>S.B. 567, §§ 7, 15.</w:t>
      </w:r>
    </w:p>
  </w:footnote>
  <w:footnote w:id="37">
    <w:p w:rsidR="00C1697A" w:rsidRDefault="00C1697A" w:rsidP="00B6294E">
      <w:pPr>
        <w:pStyle w:val="FootnoteText"/>
        <w:spacing w:after="120" w:line="240" w:lineRule="auto"/>
      </w:pPr>
      <w:r>
        <w:rPr>
          <w:rStyle w:val="FootnoteReference"/>
        </w:rPr>
        <w:footnoteRef/>
      </w:r>
      <w:r>
        <w:t xml:space="preserve"> </w:t>
      </w:r>
      <w:r w:rsidRPr="00F45D2D">
        <w:t>SOAH Order No. 4</w:t>
      </w:r>
      <w:r>
        <w:t xml:space="preserve"> (</w:t>
      </w:r>
      <w:r w:rsidRPr="00F45D2D">
        <w:t>Sep</w:t>
      </w:r>
      <w:r>
        <w:t>.</w:t>
      </w:r>
      <w:r w:rsidRPr="00F45D2D">
        <w:t xml:space="preserve"> 17, 2014</w:t>
      </w:r>
      <w:r>
        <w:t>).</w:t>
      </w:r>
    </w:p>
  </w:footnote>
  <w:footnote w:id="38">
    <w:p w:rsidR="00C1697A" w:rsidRDefault="00C1697A" w:rsidP="00B6294E">
      <w:pPr>
        <w:pStyle w:val="FootnoteText"/>
        <w:spacing w:after="120" w:line="240" w:lineRule="auto"/>
      </w:pPr>
      <w:r>
        <w:rPr>
          <w:rStyle w:val="FootnoteReference"/>
        </w:rPr>
        <w:footnoteRef/>
      </w:r>
      <w:r>
        <w:t xml:space="preserve"> Tex. Water Code § 13.002 (25).</w:t>
      </w:r>
    </w:p>
  </w:footnote>
  <w:footnote w:id="39">
    <w:p w:rsidR="00C1697A" w:rsidRDefault="00C1697A" w:rsidP="00B6294E">
      <w:pPr>
        <w:pStyle w:val="FootnoteText"/>
        <w:spacing w:after="120" w:line="240" w:lineRule="auto"/>
      </w:pPr>
      <w:r>
        <w:rPr>
          <w:rStyle w:val="FootnoteReference"/>
        </w:rPr>
        <w:footnoteRef/>
      </w:r>
      <w:r>
        <w:t xml:space="preserve"> Tex. Water Code § 13.002 (21).</w:t>
      </w:r>
    </w:p>
  </w:footnote>
  <w:footnote w:id="40">
    <w:p w:rsidR="00C1697A" w:rsidRDefault="00C1697A" w:rsidP="00B6294E">
      <w:pPr>
        <w:pStyle w:val="FootnoteText"/>
        <w:spacing w:after="120" w:line="240" w:lineRule="auto"/>
      </w:pPr>
      <w:r>
        <w:rPr>
          <w:rStyle w:val="FootnoteReference"/>
        </w:rPr>
        <w:footnoteRef/>
      </w:r>
      <w:r>
        <w:t xml:space="preserve"> 16 Tex. Admin. Code </w:t>
      </w:r>
      <w:r w:rsidRPr="00687E68">
        <w:t>§</w:t>
      </w:r>
      <w:r>
        <w:t xml:space="preserve"> </w:t>
      </w:r>
      <w:r w:rsidRPr="00687E68">
        <w:t>24.136</w:t>
      </w:r>
      <w:r>
        <w:t>.</w:t>
      </w:r>
    </w:p>
  </w:footnote>
  <w:footnote w:id="41">
    <w:p w:rsidR="00C1697A" w:rsidRDefault="00C1697A" w:rsidP="00B6294E">
      <w:pPr>
        <w:pStyle w:val="FootnoteText"/>
        <w:spacing w:after="120" w:line="240" w:lineRule="auto"/>
      </w:pPr>
      <w:r>
        <w:rPr>
          <w:rStyle w:val="FootnoteReference"/>
        </w:rPr>
        <w:footnoteRef/>
      </w:r>
      <w:r>
        <w:t xml:space="preserve"> 16 Tex. Admin. Code ch. 24, subch. I.</w:t>
      </w:r>
    </w:p>
  </w:footnote>
  <w:footnote w:id="42">
    <w:p w:rsidR="00C1697A" w:rsidRDefault="00C1697A" w:rsidP="00B6294E">
      <w:pPr>
        <w:pStyle w:val="FootnoteText"/>
        <w:spacing w:after="120" w:line="240" w:lineRule="auto"/>
      </w:pPr>
      <w:r>
        <w:rPr>
          <w:rStyle w:val="FootnoteReference"/>
        </w:rPr>
        <w:footnoteRef/>
      </w:r>
      <w:r>
        <w:t xml:space="preserve"> 16 Tex. Admin. Code § 24.128(2).</w:t>
      </w:r>
    </w:p>
  </w:footnote>
  <w:footnote w:id="43">
    <w:p w:rsidR="00C1697A" w:rsidRDefault="00C1697A" w:rsidP="00B6294E">
      <w:pPr>
        <w:pStyle w:val="FootnoteText"/>
        <w:spacing w:after="120" w:line="240" w:lineRule="auto"/>
      </w:pPr>
      <w:r>
        <w:rPr>
          <w:rStyle w:val="FootnoteReference"/>
        </w:rPr>
        <w:footnoteRef/>
      </w:r>
      <w:r>
        <w:t xml:space="preserve"> 16 Tex. Admin. Code §§ 24.131(c), .132(a).</w:t>
      </w:r>
    </w:p>
  </w:footnote>
  <w:footnote w:id="44">
    <w:p w:rsidR="00C1697A" w:rsidRDefault="00C1697A" w:rsidP="00B6294E">
      <w:pPr>
        <w:pStyle w:val="FootnoteText"/>
        <w:spacing w:after="120" w:line="240" w:lineRule="auto"/>
      </w:pPr>
      <w:r>
        <w:rPr>
          <w:rStyle w:val="FootnoteReference"/>
        </w:rPr>
        <w:footnoteRef/>
      </w:r>
      <w:r>
        <w:t xml:space="preserve"> 16 Tex. Admin. Code § 24.132(c).</w:t>
      </w:r>
    </w:p>
  </w:footnote>
  <w:footnote w:id="45">
    <w:p w:rsidR="00C1697A" w:rsidRDefault="00C1697A" w:rsidP="00B6294E">
      <w:pPr>
        <w:pStyle w:val="FootnoteText"/>
        <w:spacing w:after="120" w:line="240" w:lineRule="auto"/>
      </w:pPr>
      <w:r>
        <w:rPr>
          <w:rStyle w:val="FootnoteReference"/>
        </w:rPr>
        <w:footnoteRef/>
      </w:r>
      <w:r>
        <w:t xml:space="preserve"> 16 Tex. Admin. Code § 24.134(a).</w:t>
      </w:r>
    </w:p>
  </w:footnote>
  <w:footnote w:id="46">
    <w:p w:rsidR="00C1697A" w:rsidRDefault="00C1697A" w:rsidP="00B6294E">
      <w:pPr>
        <w:pStyle w:val="FootnoteText"/>
        <w:spacing w:after="120" w:line="240" w:lineRule="auto"/>
      </w:pPr>
      <w:r>
        <w:rPr>
          <w:rStyle w:val="FootnoteReference"/>
        </w:rPr>
        <w:footnoteRef/>
      </w:r>
      <w:r>
        <w:t xml:space="preserve"> 16 Tex. Admin. Code § 24.134(b).</w:t>
      </w:r>
    </w:p>
  </w:footnote>
  <w:footnote w:id="47">
    <w:p w:rsidR="00C1697A" w:rsidRDefault="00C1697A" w:rsidP="00B6294E">
      <w:pPr>
        <w:pStyle w:val="FootnoteText"/>
        <w:spacing w:after="120" w:line="240" w:lineRule="auto"/>
      </w:pPr>
      <w:r>
        <w:rPr>
          <w:rStyle w:val="FootnoteReference"/>
        </w:rPr>
        <w:footnoteRef/>
      </w:r>
      <w:r>
        <w:t xml:space="preserve"> 16 Tex. Admin. Code § 24.134(c).</w:t>
      </w:r>
    </w:p>
  </w:footnote>
  <w:footnote w:id="48">
    <w:p w:rsidR="00C1697A" w:rsidRDefault="00C1697A" w:rsidP="00B6294E">
      <w:pPr>
        <w:pStyle w:val="FootnoteText"/>
        <w:spacing w:after="120" w:line="240" w:lineRule="auto"/>
      </w:pPr>
      <w:r>
        <w:rPr>
          <w:rStyle w:val="FootnoteReference"/>
        </w:rPr>
        <w:footnoteRef/>
      </w:r>
      <w:r>
        <w:t xml:space="preserve"> 16 Tex. Admin. Code § 24.134(e).</w:t>
      </w:r>
    </w:p>
  </w:footnote>
  <w:footnote w:id="49">
    <w:p w:rsidR="00C1697A" w:rsidRDefault="00C1697A" w:rsidP="00B6294E">
      <w:pPr>
        <w:pStyle w:val="FootnoteText"/>
        <w:spacing w:after="120" w:line="240" w:lineRule="auto"/>
      </w:pPr>
      <w:r>
        <w:rPr>
          <w:rStyle w:val="FootnoteReference"/>
        </w:rPr>
        <w:footnoteRef/>
      </w:r>
      <w:r>
        <w:t xml:space="preserve"> 16 Tex. Admin. Code </w:t>
      </w:r>
      <w:r w:rsidRPr="00294747">
        <w:t>§</w:t>
      </w:r>
      <w:r>
        <w:t xml:space="preserve"> 24.133.</w:t>
      </w:r>
    </w:p>
  </w:footnote>
  <w:footnote w:id="50">
    <w:p w:rsidR="00C1697A" w:rsidRDefault="00C1697A" w:rsidP="00B6294E">
      <w:pPr>
        <w:pStyle w:val="FootnoteText"/>
        <w:spacing w:after="120" w:line="240" w:lineRule="auto"/>
      </w:pPr>
      <w:r>
        <w:rPr>
          <w:rStyle w:val="FootnoteReference"/>
        </w:rPr>
        <w:footnoteRef/>
      </w:r>
      <w:r>
        <w:t xml:space="preserve"> SOAH Order No. 13 (Mar. 24, 2015).</w:t>
      </w:r>
    </w:p>
  </w:footnote>
  <w:footnote w:id="51">
    <w:p w:rsidR="00C1697A" w:rsidRDefault="00C1697A" w:rsidP="00B6294E">
      <w:pPr>
        <w:pStyle w:val="FootnoteText"/>
        <w:spacing w:after="120" w:line="240" w:lineRule="auto"/>
      </w:pPr>
      <w:r>
        <w:rPr>
          <w:rStyle w:val="FootnoteReference"/>
        </w:rPr>
        <w:footnoteRef/>
      </w:r>
      <w:r>
        <w:t xml:space="preserve"> 16 Tex. Admin. Code § 24.133(a)(3)(A).</w:t>
      </w:r>
    </w:p>
  </w:footnote>
  <w:footnote w:id="52">
    <w:p w:rsidR="00C1697A" w:rsidRDefault="00C1697A" w:rsidP="00B6294E">
      <w:pPr>
        <w:pStyle w:val="FootnoteText"/>
        <w:spacing w:after="120" w:line="240" w:lineRule="auto"/>
      </w:pPr>
      <w:r>
        <w:rPr>
          <w:rStyle w:val="FootnoteReference"/>
        </w:rPr>
        <w:footnoteRef/>
      </w:r>
      <w:r>
        <w:t xml:space="preserve"> TCMUD 12 Initial Brief at 24 (citing TCMUD 12 Ex. 1 at JAD Ex. 4, § 3.03</w:t>
      </w:r>
      <w:r w:rsidRPr="000E361F">
        <w:t>.</w:t>
      </w:r>
      <w:r w:rsidRPr="00934F46">
        <w:t>c</w:t>
      </w:r>
      <w:r>
        <w:t>)</w:t>
      </w:r>
      <w:r w:rsidRPr="00934F46">
        <w:t>.</w:t>
      </w:r>
      <w:r>
        <w:t xml:space="preserve"> </w:t>
      </w:r>
    </w:p>
  </w:footnote>
  <w:footnote w:id="53">
    <w:p w:rsidR="00C1697A" w:rsidRDefault="00C1697A" w:rsidP="00B6294E">
      <w:pPr>
        <w:pStyle w:val="FootnoteText"/>
        <w:spacing w:after="120" w:line="240" w:lineRule="auto"/>
      </w:pPr>
      <w:r>
        <w:rPr>
          <w:rStyle w:val="FootnoteReference"/>
        </w:rPr>
        <w:footnoteRef/>
      </w:r>
      <w:r>
        <w:t xml:space="preserve"> WTCPUA Initial Brief at 15.</w:t>
      </w:r>
    </w:p>
  </w:footnote>
  <w:footnote w:id="54">
    <w:p w:rsidR="00C1697A" w:rsidRDefault="00C1697A" w:rsidP="00B6294E">
      <w:pPr>
        <w:pStyle w:val="FootnoteText"/>
        <w:spacing w:after="120" w:line="240" w:lineRule="auto"/>
      </w:pPr>
      <w:r>
        <w:rPr>
          <w:rStyle w:val="FootnoteReference"/>
        </w:rPr>
        <w:footnoteRef/>
      </w:r>
      <w:r>
        <w:t xml:space="preserve"> TCMUD 12 Ex. 1 at JAD Ex. 4 at 147.</w:t>
      </w:r>
    </w:p>
  </w:footnote>
  <w:footnote w:id="55">
    <w:p w:rsidR="00C1697A" w:rsidRDefault="00C1697A" w:rsidP="00B6294E">
      <w:pPr>
        <w:pStyle w:val="FootnoteText"/>
        <w:spacing w:after="120" w:line="240" w:lineRule="auto"/>
      </w:pPr>
      <w:r>
        <w:rPr>
          <w:rStyle w:val="FootnoteReference"/>
        </w:rPr>
        <w:footnoteRef/>
      </w:r>
      <w:r>
        <w:t xml:space="preserve"> TCMUD 12 Ex. 1 at 11 &amp; JAD Ex. 13.</w:t>
      </w:r>
    </w:p>
  </w:footnote>
  <w:footnote w:id="56">
    <w:p w:rsidR="00C1697A" w:rsidRPr="00BA3B8D" w:rsidRDefault="00C1697A" w:rsidP="00B6294E">
      <w:pPr>
        <w:pStyle w:val="FootnoteText"/>
        <w:spacing w:after="120" w:line="240" w:lineRule="auto"/>
        <w:rPr>
          <w:b/>
          <w:i/>
        </w:rPr>
      </w:pPr>
      <w:r>
        <w:rPr>
          <w:rStyle w:val="FootnoteReference"/>
        </w:rPr>
        <w:footnoteRef/>
      </w:r>
      <w:r>
        <w:t xml:space="preserve"> TCMUD 12 Initial Brief at 38 (citing TCMUD 12 Ex. 1 at 12 &amp; JAD Ex. 13).</w:t>
      </w:r>
    </w:p>
  </w:footnote>
  <w:footnote w:id="57">
    <w:p w:rsidR="00C1697A" w:rsidRDefault="00C1697A" w:rsidP="00B6294E">
      <w:pPr>
        <w:pStyle w:val="FootnoteText"/>
        <w:spacing w:after="120" w:line="240" w:lineRule="auto"/>
      </w:pPr>
      <w:r>
        <w:rPr>
          <w:rStyle w:val="FootnoteReference"/>
        </w:rPr>
        <w:footnoteRef/>
      </w:r>
      <w:r>
        <w:t xml:space="preserve"> Million gallons per day.</w:t>
      </w:r>
    </w:p>
  </w:footnote>
  <w:footnote w:id="58">
    <w:p w:rsidR="00C1697A" w:rsidRDefault="00C1697A" w:rsidP="00B6294E">
      <w:pPr>
        <w:pStyle w:val="FootnoteText"/>
        <w:spacing w:after="120" w:line="240" w:lineRule="auto"/>
      </w:pPr>
      <w:r>
        <w:rPr>
          <w:rStyle w:val="FootnoteReference"/>
        </w:rPr>
        <w:footnoteRef/>
      </w:r>
      <w:r>
        <w:t xml:space="preserve"> TCMUD 12 Exs. 10, 11, 12.</w:t>
      </w:r>
    </w:p>
  </w:footnote>
  <w:footnote w:id="59">
    <w:p w:rsidR="00C1697A" w:rsidRDefault="00C1697A" w:rsidP="00B6294E">
      <w:pPr>
        <w:pStyle w:val="FootnoteText"/>
        <w:spacing w:after="120" w:line="240" w:lineRule="auto"/>
      </w:pPr>
      <w:r>
        <w:rPr>
          <w:rStyle w:val="FootnoteReference"/>
        </w:rPr>
        <w:footnoteRef/>
      </w:r>
      <w:r>
        <w:t xml:space="preserve"> TCMUD 12 Exs. 14, 15. </w:t>
      </w:r>
    </w:p>
  </w:footnote>
  <w:footnote w:id="60">
    <w:p w:rsidR="00C1697A" w:rsidRDefault="00C1697A" w:rsidP="00B6294E">
      <w:pPr>
        <w:pStyle w:val="FootnoteText"/>
        <w:spacing w:after="120" w:line="240" w:lineRule="auto"/>
      </w:pPr>
      <w:r>
        <w:rPr>
          <w:rStyle w:val="FootnoteReference"/>
        </w:rPr>
        <w:footnoteRef/>
      </w:r>
      <w:r>
        <w:t xml:space="preserve"> TCMUD 12 Exs. 16, 17.</w:t>
      </w:r>
    </w:p>
  </w:footnote>
  <w:footnote w:id="61">
    <w:p w:rsidR="00C1697A" w:rsidRDefault="00C1697A" w:rsidP="00B6294E">
      <w:pPr>
        <w:pStyle w:val="FootnoteText"/>
        <w:spacing w:after="120" w:line="240" w:lineRule="auto"/>
      </w:pPr>
      <w:r>
        <w:rPr>
          <w:rStyle w:val="FootnoteReference"/>
        </w:rPr>
        <w:footnoteRef/>
      </w:r>
      <w:r>
        <w:t xml:space="preserve"> The contract is not dated, but it was entered into after November 21, 2013.  Tr. at 485–86.</w:t>
      </w:r>
    </w:p>
  </w:footnote>
  <w:footnote w:id="62">
    <w:p w:rsidR="00C1697A" w:rsidRDefault="00C1697A" w:rsidP="00B6294E">
      <w:pPr>
        <w:pStyle w:val="FootnoteText"/>
        <w:spacing w:after="120" w:line="240" w:lineRule="auto"/>
      </w:pPr>
      <w:r>
        <w:rPr>
          <w:rStyle w:val="FootnoteReference"/>
        </w:rPr>
        <w:footnoteRef/>
      </w:r>
      <w:r>
        <w:t xml:space="preserve"> TCMUD 12 Exs. 18, 19.</w:t>
      </w:r>
    </w:p>
  </w:footnote>
  <w:footnote w:id="63">
    <w:p w:rsidR="00C1697A" w:rsidRDefault="00C1697A" w:rsidP="00B6294E">
      <w:pPr>
        <w:pStyle w:val="FootnoteText"/>
        <w:spacing w:after="120" w:line="240" w:lineRule="auto"/>
      </w:pPr>
      <w:r>
        <w:rPr>
          <w:rStyle w:val="FootnoteReference"/>
        </w:rPr>
        <w:footnoteRef/>
      </w:r>
      <w:r>
        <w:t xml:space="preserve"> TCMUD 12 Exs. 20, 21.</w:t>
      </w:r>
    </w:p>
  </w:footnote>
  <w:footnote w:id="64">
    <w:p w:rsidR="00C1697A" w:rsidRDefault="00C1697A" w:rsidP="00B6294E">
      <w:pPr>
        <w:pStyle w:val="FootnoteText"/>
        <w:spacing w:after="120" w:line="240" w:lineRule="auto"/>
      </w:pPr>
      <w:r>
        <w:rPr>
          <w:rStyle w:val="FootnoteReference"/>
        </w:rPr>
        <w:footnoteRef/>
      </w:r>
      <w:r>
        <w:t xml:space="preserve"> WTCPUA Ex. 53.</w:t>
      </w:r>
    </w:p>
  </w:footnote>
  <w:footnote w:id="65">
    <w:p w:rsidR="00C1697A" w:rsidRDefault="00C1697A" w:rsidP="00B6294E">
      <w:pPr>
        <w:pStyle w:val="FootnoteText"/>
        <w:spacing w:after="120" w:line="240" w:lineRule="auto"/>
      </w:pPr>
      <w:r>
        <w:rPr>
          <w:rStyle w:val="FootnoteReference"/>
        </w:rPr>
        <w:footnoteRef/>
      </w:r>
      <w:r>
        <w:t xml:space="preserve"> TCMUD 12 Ex. 1 at JAD Ex. 4 at 145; WTCPUA Exs. 51, 52.</w:t>
      </w:r>
    </w:p>
  </w:footnote>
  <w:footnote w:id="66">
    <w:p w:rsidR="00C1697A" w:rsidRDefault="00C1697A" w:rsidP="00B6294E">
      <w:pPr>
        <w:pStyle w:val="FootnoteText"/>
        <w:spacing w:after="120" w:line="240" w:lineRule="auto"/>
      </w:pPr>
      <w:r>
        <w:rPr>
          <w:rStyle w:val="FootnoteReference"/>
        </w:rPr>
        <w:footnoteRef/>
      </w:r>
      <w:r>
        <w:t xml:space="preserve"> Tr. at 90–91, 587–89; TCMUD 12 Ex. 1 at JAD Ex. 4 at 147.</w:t>
      </w:r>
    </w:p>
  </w:footnote>
  <w:footnote w:id="67">
    <w:p w:rsidR="00C1697A" w:rsidRDefault="00C1697A" w:rsidP="00B6294E">
      <w:pPr>
        <w:pStyle w:val="FootnoteText"/>
        <w:spacing w:after="120" w:line="240" w:lineRule="auto"/>
      </w:pPr>
      <w:r>
        <w:rPr>
          <w:rStyle w:val="FootnoteReference"/>
        </w:rPr>
        <w:footnoteRef/>
      </w:r>
      <w:r>
        <w:t xml:space="preserve"> TCMUD Ex. 1 at 3.</w:t>
      </w:r>
    </w:p>
  </w:footnote>
  <w:footnote w:id="68">
    <w:p w:rsidR="00C1697A" w:rsidRDefault="00C1697A" w:rsidP="00B6294E">
      <w:pPr>
        <w:pStyle w:val="FootnoteText"/>
        <w:spacing w:after="120" w:line="240" w:lineRule="auto"/>
      </w:pPr>
      <w:r>
        <w:rPr>
          <w:rStyle w:val="FootnoteReference"/>
        </w:rPr>
        <w:footnoteRef/>
      </w:r>
      <w:r>
        <w:t xml:space="preserve"> TCMUD Ex. 4 at 10.</w:t>
      </w:r>
    </w:p>
  </w:footnote>
  <w:footnote w:id="69">
    <w:p w:rsidR="00C1697A" w:rsidRPr="006C1456" w:rsidRDefault="00C1697A" w:rsidP="00B6294E">
      <w:pPr>
        <w:pStyle w:val="FootnoteText"/>
        <w:spacing w:after="120" w:line="240" w:lineRule="auto"/>
        <w:rPr>
          <w:lang w:val="es-MX"/>
        </w:rPr>
      </w:pPr>
      <w:r>
        <w:rPr>
          <w:rStyle w:val="FootnoteReference"/>
        </w:rPr>
        <w:footnoteRef/>
      </w:r>
      <w:r>
        <w:rPr>
          <w:lang w:val="es-MX"/>
        </w:rPr>
        <w:t xml:space="preserve"> </w:t>
      </w:r>
      <w:r w:rsidRPr="006C1456">
        <w:rPr>
          <w:lang w:val="es-MX"/>
        </w:rPr>
        <w:t>WTCPUA Ex. 52; WTCPUA Ex. 53</w:t>
      </w:r>
      <w:r>
        <w:rPr>
          <w:lang w:val="es-MX"/>
        </w:rPr>
        <w:t>.</w:t>
      </w:r>
    </w:p>
  </w:footnote>
  <w:footnote w:id="70">
    <w:p w:rsidR="00C1697A" w:rsidRPr="00C87479" w:rsidRDefault="00C1697A" w:rsidP="00B6294E">
      <w:pPr>
        <w:pStyle w:val="FootnoteText"/>
        <w:spacing w:after="120" w:line="240" w:lineRule="auto"/>
      </w:pPr>
      <w:r>
        <w:rPr>
          <w:rStyle w:val="FootnoteReference"/>
        </w:rPr>
        <w:footnoteRef/>
      </w:r>
      <w:r w:rsidRPr="00C87479">
        <w:t xml:space="preserve"> Tr. at 107</w:t>
      </w:r>
      <w:r>
        <w:t>.</w:t>
      </w:r>
    </w:p>
  </w:footnote>
  <w:footnote w:id="71">
    <w:p w:rsidR="00C1697A" w:rsidRPr="006C1456" w:rsidRDefault="00C1697A" w:rsidP="00B6294E">
      <w:pPr>
        <w:pStyle w:val="FootnoteText"/>
        <w:spacing w:after="120" w:line="240" w:lineRule="auto"/>
        <w:rPr>
          <w:lang w:val="es-MX"/>
        </w:rPr>
      </w:pPr>
      <w:r>
        <w:rPr>
          <w:rStyle w:val="FootnoteReference"/>
        </w:rPr>
        <w:footnoteRef/>
      </w:r>
      <w:r>
        <w:rPr>
          <w:lang w:val="es-MX"/>
        </w:rPr>
        <w:t xml:space="preserve"> </w:t>
      </w:r>
      <w:r w:rsidRPr="006C1456">
        <w:rPr>
          <w:lang w:val="es-MX"/>
        </w:rPr>
        <w:t>WTCPUA Ex</w:t>
      </w:r>
      <w:r>
        <w:rPr>
          <w:lang w:val="es-MX"/>
        </w:rPr>
        <w:t>s</w:t>
      </w:r>
      <w:r w:rsidRPr="006C1456">
        <w:rPr>
          <w:lang w:val="es-MX"/>
        </w:rPr>
        <w:t>. 43</w:t>
      </w:r>
      <w:r>
        <w:rPr>
          <w:lang w:val="es-MX"/>
        </w:rPr>
        <w:t xml:space="preserve">, </w:t>
      </w:r>
      <w:r w:rsidRPr="006C1456">
        <w:rPr>
          <w:lang w:val="es-MX"/>
        </w:rPr>
        <w:t>44.</w:t>
      </w:r>
    </w:p>
  </w:footnote>
  <w:footnote w:id="72">
    <w:p w:rsidR="00C1697A" w:rsidRDefault="00C1697A" w:rsidP="00B6294E">
      <w:pPr>
        <w:pStyle w:val="FootnoteText"/>
        <w:spacing w:after="120" w:line="240" w:lineRule="auto"/>
      </w:pPr>
      <w:r>
        <w:rPr>
          <w:rStyle w:val="FootnoteReference"/>
        </w:rPr>
        <w:footnoteRef/>
      </w:r>
      <w:r>
        <w:t xml:space="preserve"> </w:t>
      </w:r>
      <w:r w:rsidRPr="00891BEC">
        <w:t xml:space="preserve">Tex. Water Code </w:t>
      </w:r>
      <w:r>
        <w:t>§ 54.201(b).</w:t>
      </w:r>
    </w:p>
  </w:footnote>
  <w:footnote w:id="73">
    <w:p w:rsidR="00C1697A" w:rsidRPr="00A92B6B" w:rsidRDefault="00C1697A" w:rsidP="00B6294E">
      <w:pPr>
        <w:pStyle w:val="FootnoteText"/>
        <w:spacing w:after="120" w:line="240" w:lineRule="auto"/>
      </w:pPr>
      <w:r>
        <w:rPr>
          <w:rStyle w:val="FootnoteReference"/>
        </w:rPr>
        <w:footnoteRef/>
      </w:r>
      <w:r>
        <w:t xml:space="preserve"> TCMUD 12 Ex. 1 at 5–6, 13–15.</w:t>
      </w:r>
    </w:p>
  </w:footnote>
  <w:footnote w:id="74">
    <w:p w:rsidR="00C1697A" w:rsidRDefault="00C1697A" w:rsidP="00B6294E">
      <w:pPr>
        <w:pStyle w:val="FootnoteText"/>
        <w:spacing w:after="120" w:line="240" w:lineRule="auto"/>
      </w:pPr>
      <w:r>
        <w:rPr>
          <w:rStyle w:val="FootnoteReference"/>
        </w:rPr>
        <w:footnoteRef/>
      </w:r>
      <w:r>
        <w:t xml:space="preserve"> Tr. at 61-63.</w:t>
      </w:r>
    </w:p>
  </w:footnote>
  <w:footnote w:id="75">
    <w:p w:rsidR="00C1697A" w:rsidRDefault="00C1697A" w:rsidP="00B6294E">
      <w:pPr>
        <w:pStyle w:val="FootnoteText"/>
        <w:spacing w:after="120" w:line="240" w:lineRule="auto"/>
      </w:pPr>
      <w:r>
        <w:rPr>
          <w:rStyle w:val="FootnoteReference"/>
        </w:rPr>
        <w:footnoteRef/>
      </w:r>
      <w:r>
        <w:t xml:space="preserve"> TCMUD Ex. 1 at JAD Ex. 2.</w:t>
      </w:r>
    </w:p>
  </w:footnote>
  <w:footnote w:id="76">
    <w:p w:rsidR="00C1697A" w:rsidRPr="001F2E9D" w:rsidRDefault="00C1697A" w:rsidP="00B6294E">
      <w:pPr>
        <w:pStyle w:val="FootnoteText"/>
        <w:spacing w:after="120" w:line="240" w:lineRule="auto"/>
      </w:pPr>
      <w:r w:rsidRPr="001F2E9D">
        <w:rPr>
          <w:rStyle w:val="FootnoteReference"/>
        </w:rPr>
        <w:footnoteRef/>
      </w:r>
      <w:r>
        <w:t xml:space="preserve"> TCMUD 12 Ex. 4 </w:t>
      </w:r>
      <w:r w:rsidRPr="001F2E9D">
        <w:t>at JAD Ex</w:t>
      </w:r>
      <w:r>
        <w:t>.</w:t>
      </w:r>
      <w:r w:rsidRPr="001F2E9D">
        <w:t xml:space="preserve"> R2 at 2.</w:t>
      </w:r>
    </w:p>
  </w:footnote>
  <w:footnote w:id="77">
    <w:p w:rsidR="00C1697A" w:rsidRDefault="00C1697A" w:rsidP="00B6294E">
      <w:pPr>
        <w:pStyle w:val="FootnoteText"/>
        <w:spacing w:after="120" w:line="240" w:lineRule="auto"/>
      </w:pPr>
      <w:r>
        <w:rPr>
          <w:rStyle w:val="FootnoteReference"/>
        </w:rPr>
        <w:footnoteRef/>
      </w:r>
      <w:r>
        <w:t xml:space="preserve"> TCMUD 12 Ex. 4 at 4–5.</w:t>
      </w:r>
    </w:p>
  </w:footnote>
  <w:footnote w:id="78">
    <w:p w:rsidR="00C1697A" w:rsidRDefault="00C1697A" w:rsidP="00B6294E">
      <w:pPr>
        <w:pStyle w:val="FootnoteText"/>
        <w:spacing w:after="120" w:line="240" w:lineRule="auto"/>
      </w:pPr>
      <w:r>
        <w:rPr>
          <w:rStyle w:val="FootnoteReference"/>
        </w:rPr>
        <w:footnoteRef/>
      </w:r>
      <w:r>
        <w:t xml:space="preserve"> Tr. at 108.  The exact distance is not in evidence.</w:t>
      </w:r>
    </w:p>
  </w:footnote>
  <w:footnote w:id="79">
    <w:p w:rsidR="00C1697A" w:rsidRDefault="00C1697A" w:rsidP="00B6294E">
      <w:pPr>
        <w:pStyle w:val="FootnoteText"/>
        <w:spacing w:after="120" w:line="240" w:lineRule="auto"/>
      </w:pPr>
      <w:r>
        <w:rPr>
          <w:rStyle w:val="FootnoteReference"/>
        </w:rPr>
        <w:footnoteRef/>
      </w:r>
      <w:r>
        <w:t xml:space="preserve"> TCMUD Ex. 1 at JAD Ex. 7.</w:t>
      </w:r>
    </w:p>
  </w:footnote>
  <w:footnote w:id="80">
    <w:p w:rsidR="00C1697A" w:rsidRDefault="00C1697A" w:rsidP="00B6294E">
      <w:pPr>
        <w:pStyle w:val="FootnoteText"/>
        <w:spacing w:after="120" w:line="240" w:lineRule="auto"/>
      </w:pPr>
      <w:r>
        <w:rPr>
          <w:rStyle w:val="FootnoteReference"/>
        </w:rPr>
        <w:footnoteRef/>
      </w:r>
      <w:r>
        <w:t xml:space="preserve"> TCMUD Ex. 1 at JAD Ex. 7 at 4.</w:t>
      </w:r>
    </w:p>
  </w:footnote>
  <w:footnote w:id="81">
    <w:p w:rsidR="00C1697A" w:rsidRDefault="00C1697A" w:rsidP="00B6294E">
      <w:pPr>
        <w:pStyle w:val="FootnoteText"/>
        <w:spacing w:after="120" w:line="240" w:lineRule="auto"/>
      </w:pPr>
      <w:r>
        <w:rPr>
          <w:rStyle w:val="FootnoteReference"/>
        </w:rPr>
        <w:footnoteRef/>
      </w:r>
      <w:r>
        <w:t xml:space="preserve"> WTCPUA Exs. 80 at 20, 81 at 16.</w:t>
      </w:r>
    </w:p>
  </w:footnote>
  <w:footnote w:id="82">
    <w:p w:rsidR="00C1697A" w:rsidRDefault="00C1697A" w:rsidP="00B6294E">
      <w:pPr>
        <w:pStyle w:val="FootnoteText"/>
        <w:spacing w:after="120" w:line="240" w:lineRule="auto"/>
      </w:pPr>
      <w:r>
        <w:rPr>
          <w:rStyle w:val="FootnoteReference"/>
        </w:rPr>
        <w:footnoteRef/>
      </w:r>
      <w:r>
        <w:t xml:space="preserve"> TCMUD 12 Ex. 1 at 5.</w:t>
      </w:r>
    </w:p>
  </w:footnote>
  <w:footnote w:id="83">
    <w:p w:rsidR="00C1697A" w:rsidRDefault="00C1697A" w:rsidP="00B6294E">
      <w:pPr>
        <w:pStyle w:val="FootnoteText"/>
        <w:spacing w:after="120" w:line="240" w:lineRule="auto"/>
      </w:pPr>
      <w:r>
        <w:rPr>
          <w:rStyle w:val="FootnoteReference"/>
        </w:rPr>
        <w:footnoteRef/>
      </w:r>
      <w:r>
        <w:t xml:space="preserve"> Tr. at 72.</w:t>
      </w:r>
    </w:p>
  </w:footnote>
  <w:footnote w:id="84">
    <w:p w:rsidR="00C1697A" w:rsidRDefault="00C1697A" w:rsidP="00B6294E">
      <w:pPr>
        <w:pStyle w:val="FootnoteText"/>
        <w:spacing w:after="120" w:line="240" w:lineRule="auto"/>
      </w:pPr>
      <w:r>
        <w:rPr>
          <w:rStyle w:val="FootnoteReference"/>
        </w:rPr>
        <w:footnoteRef/>
      </w:r>
      <w:r>
        <w:t xml:space="preserve"> Tr. at 84–85, 92.</w:t>
      </w:r>
    </w:p>
  </w:footnote>
  <w:footnote w:id="85">
    <w:p w:rsidR="00C1697A" w:rsidRDefault="00C1697A" w:rsidP="00B6294E">
      <w:pPr>
        <w:pStyle w:val="FootnoteText"/>
        <w:spacing w:after="120" w:line="240" w:lineRule="auto"/>
      </w:pPr>
      <w:r>
        <w:rPr>
          <w:rStyle w:val="FootnoteReference"/>
        </w:rPr>
        <w:footnoteRef/>
      </w:r>
      <w:r>
        <w:t xml:space="preserve"> Tr. at 619.</w:t>
      </w:r>
    </w:p>
  </w:footnote>
  <w:footnote w:id="86">
    <w:p w:rsidR="00C1697A" w:rsidRDefault="00C1697A" w:rsidP="00B6294E">
      <w:pPr>
        <w:pStyle w:val="FootnoteText"/>
        <w:spacing w:after="120" w:line="240" w:lineRule="auto"/>
      </w:pPr>
      <w:r>
        <w:rPr>
          <w:rStyle w:val="FootnoteReference"/>
        </w:rPr>
        <w:footnoteRef/>
      </w:r>
      <w:r>
        <w:t xml:space="preserve"> WTCPUA Ex. 80.</w:t>
      </w:r>
    </w:p>
  </w:footnote>
  <w:footnote w:id="87">
    <w:p w:rsidR="00C1697A" w:rsidRDefault="00C1697A" w:rsidP="00B6294E">
      <w:pPr>
        <w:pStyle w:val="FootnoteText"/>
        <w:spacing w:after="120" w:line="240" w:lineRule="auto"/>
      </w:pPr>
      <w:r>
        <w:rPr>
          <w:rStyle w:val="FootnoteReference"/>
        </w:rPr>
        <w:footnoteRef/>
      </w:r>
      <w:r>
        <w:t xml:space="preserve"> Tr. at 617–18.</w:t>
      </w:r>
    </w:p>
  </w:footnote>
  <w:footnote w:id="88">
    <w:p w:rsidR="00C1697A" w:rsidRDefault="00C1697A" w:rsidP="00B6294E">
      <w:pPr>
        <w:pStyle w:val="FootnoteText"/>
        <w:spacing w:after="120" w:line="240" w:lineRule="auto"/>
      </w:pPr>
      <w:r>
        <w:rPr>
          <w:rStyle w:val="FootnoteReference"/>
        </w:rPr>
        <w:footnoteRef/>
      </w:r>
      <w:r>
        <w:t xml:space="preserve"> WTCPUA Ex. 81.</w:t>
      </w:r>
    </w:p>
  </w:footnote>
  <w:footnote w:id="89">
    <w:p w:rsidR="00C1697A" w:rsidRDefault="00C1697A" w:rsidP="00B6294E">
      <w:pPr>
        <w:pStyle w:val="FootnoteText"/>
        <w:spacing w:after="120" w:line="240" w:lineRule="auto"/>
      </w:pPr>
      <w:r>
        <w:rPr>
          <w:rStyle w:val="FootnoteReference"/>
        </w:rPr>
        <w:footnoteRef/>
      </w:r>
      <w:r>
        <w:t xml:space="preserve"> WTCPUA Ex. 81 § 3.01 (LMUD</w:t>
      </w:r>
      <w:r w:rsidR="003E13B6">
        <w:t>:</w:t>
      </w:r>
      <w:r>
        <w:t xml:space="preserve"> 59% (4.0 mgd); HCMUD</w:t>
      </w:r>
      <w:r w:rsidR="003E13B6">
        <w:t>:</w:t>
      </w:r>
      <w:r>
        <w:t xml:space="preserve"> 32% (2.2 mgd); TCMUD 11</w:t>
      </w:r>
      <w:r w:rsidR="003E13B6">
        <w:t>:</w:t>
      </w:r>
      <w:r>
        <w:t xml:space="preserve"> 2% </w:t>
      </w:r>
      <w:r w:rsidR="003E13B6">
        <w:t>(0</w:t>
      </w:r>
      <w:r>
        <w:t>.144 mgd); and Rough Hollow</w:t>
      </w:r>
      <w:r w:rsidR="003E13B6">
        <w:t>:</w:t>
      </w:r>
      <w:r>
        <w:t xml:space="preserve"> 7% (</w:t>
      </w:r>
      <w:r w:rsidR="003E13B6">
        <w:t>0</w:t>
      </w:r>
      <w:r>
        <w:t>.468 mgd)).  Total capacity is 6.812 mgd based on 4 existing raw water pumps.</w:t>
      </w:r>
    </w:p>
  </w:footnote>
  <w:footnote w:id="90">
    <w:p w:rsidR="00C1697A" w:rsidRDefault="00C1697A" w:rsidP="00B6294E">
      <w:pPr>
        <w:pStyle w:val="FootnoteText"/>
        <w:spacing w:after="120" w:line="240" w:lineRule="auto"/>
      </w:pPr>
      <w:r>
        <w:rPr>
          <w:rStyle w:val="FootnoteReference"/>
        </w:rPr>
        <w:footnoteRef/>
      </w:r>
      <w:r>
        <w:t xml:space="preserve"> WTCPUA Exs. 80 at 20, 81 at 16.</w:t>
      </w:r>
    </w:p>
  </w:footnote>
  <w:footnote w:id="91">
    <w:p w:rsidR="00C1697A" w:rsidRDefault="00C1697A" w:rsidP="00B6294E">
      <w:pPr>
        <w:pStyle w:val="FootnoteText"/>
        <w:spacing w:after="120" w:line="240" w:lineRule="auto"/>
      </w:pPr>
      <w:r>
        <w:rPr>
          <w:rStyle w:val="FootnoteReference"/>
        </w:rPr>
        <w:footnoteRef/>
      </w:r>
      <w:r>
        <w:t xml:space="preserve"> WTCPUA Ex. 80 at 1.</w:t>
      </w:r>
    </w:p>
  </w:footnote>
  <w:footnote w:id="92">
    <w:p w:rsidR="00C1697A" w:rsidRDefault="00C1697A" w:rsidP="00B6294E">
      <w:pPr>
        <w:tabs>
          <w:tab w:val="left" w:pos="1440"/>
          <w:tab w:val="left" w:pos="2160"/>
          <w:tab w:val="right" w:leader="dot" w:pos="9360"/>
        </w:tabs>
        <w:autoSpaceDE w:val="0"/>
        <w:autoSpaceDN w:val="0"/>
        <w:adjustRightInd w:val="0"/>
        <w:spacing w:after="120" w:line="240" w:lineRule="auto"/>
      </w:pPr>
      <w:r>
        <w:rPr>
          <w:rStyle w:val="FootnoteReference"/>
        </w:rPr>
        <w:footnoteRef/>
      </w:r>
      <w:r>
        <w:t xml:space="preserve"> </w:t>
      </w:r>
      <w:r>
        <w:rPr>
          <w:sz w:val="20"/>
          <w:szCs w:val="20"/>
        </w:rPr>
        <w:t xml:space="preserve">Tr. at </w:t>
      </w:r>
      <w:r w:rsidRPr="00D86846">
        <w:rPr>
          <w:sz w:val="20"/>
          <w:szCs w:val="20"/>
        </w:rPr>
        <w:t>619</w:t>
      </w:r>
      <w:r>
        <w:rPr>
          <w:sz w:val="20"/>
          <w:szCs w:val="20"/>
        </w:rPr>
        <w:t>.</w:t>
      </w:r>
    </w:p>
  </w:footnote>
  <w:footnote w:id="93">
    <w:p w:rsidR="00C1697A" w:rsidRDefault="00C1697A" w:rsidP="00B6294E">
      <w:pPr>
        <w:pStyle w:val="FootnoteText"/>
        <w:spacing w:after="120" w:line="240" w:lineRule="auto"/>
      </w:pPr>
      <w:r>
        <w:rPr>
          <w:rStyle w:val="FootnoteReference"/>
        </w:rPr>
        <w:footnoteRef/>
      </w:r>
      <w:r>
        <w:t xml:space="preserve"> Tr. at 618.</w:t>
      </w:r>
    </w:p>
  </w:footnote>
  <w:footnote w:id="94">
    <w:p w:rsidR="00C1697A" w:rsidRDefault="00C1697A" w:rsidP="00B6294E">
      <w:pPr>
        <w:pStyle w:val="FootnoteText"/>
        <w:spacing w:after="120" w:line="240" w:lineRule="auto"/>
      </w:pPr>
      <w:r>
        <w:rPr>
          <w:rStyle w:val="FootnoteReference"/>
        </w:rPr>
        <w:footnoteRef/>
      </w:r>
      <w:r>
        <w:t xml:space="preserve"> Tr. at 597–</w:t>
      </w:r>
      <w:r w:rsidRPr="0075758E">
        <w:t>615</w:t>
      </w:r>
      <w:r>
        <w:t>.</w:t>
      </w:r>
    </w:p>
  </w:footnote>
  <w:footnote w:id="95">
    <w:p w:rsidR="00C1697A" w:rsidRDefault="00C1697A" w:rsidP="00B6294E">
      <w:pPr>
        <w:pStyle w:val="FootnoteText"/>
        <w:spacing w:after="120" w:line="240" w:lineRule="auto"/>
      </w:pPr>
      <w:r>
        <w:rPr>
          <w:rStyle w:val="FootnoteReference"/>
        </w:rPr>
        <w:footnoteRef/>
      </w:r>
      <w:r>
        <w:t xml:space="preserve"> WTCPUA Exs. 80–81.</w:t>
      </w:r>
    </w:p>
  </w:footnote>
  <w:footnote w:id="96">
    <w:p w:rsidR="00C1697A" w:rsidRDefault="00C1697A" w:rsidP="00B6294E">
      <w:pPr>
        <w:pStyle w:val="FootnoteText"/>
        <w:spacing w:after="120" w:line="240" w:lineRule="auto"/>
      </w:pPr>
      <w:r>
        <w:rPr>
          <w:rStyle w:val="FootnoteReference"/>
        </w:rPr>
        <w:footnoteRef/>
      </w:r>
      <w:r>
        <w:t xml:space="preserve"> Tr. at 615; TCMUD 12 Ex. 1 at JAD Ex. 4, § 3.03.a.</w:t>
      </w:r>
    </w:p>
  </w:footnote>
  <w:footnote w:id="97">
    <w:p w:rsidR="00C1697A" w:rsidRDefault="00C1697A" w:rsidP="00B6294E">
      <w:pPr>
        <w:pStyle w:val="FootnoteText"/>
        <w:spacing w:after="120" w:line="240" w:lineRule="auto"/>
      </w:pPr>
      <w:r>
        <w:rPr>
          <w:rStyle w:val="FootnoteReference"/>
        </w:rPr>
        <w:footnoteRef/>
      </w:r>
      <w:r>
        <w:t xml:space="preserve"> WTCPUA Ex. 81 at 8–9, art. VII, § 7.01(a), (e).</w:t>
      </w:r>
    </w:p>
  </w:footnote>
  <w:footnote w:id="98">
    <w:p w:rsidR="00C1697A" w:rsidRDefault="00C1697A" w:rsidP="00B6294E">
      <w:pPr>
        <w:pStyle w:val="FootnoteText"/>
        <w:spacing w:after="120" w:line="240" w:lineRule="auto"/>
      </w:pPr>
      <w:r>
        <w:rPr>
          <w:rStyle w:val="FootnoteReference"/>
        </w:rPr>
        <w:footnoteRef/>
      </w:r>
      <w:r>
        <w:t xml:space="preserve"> Tr. at 602-03.</w:t>
      </w:r>
    </w:p>
  </w:footnote>
  <w:footnote w:id="99">
    <w:p w:rsidR="00C1697A" w:rsidRDefault="00C1697A" w:rsidP="00B6294E">
      <w:pPr>
        <w:pStyle w:val="FootnoteText"/>
        <w:spacing w:after="120" w:line="240" w:lineRule="auto"/>
      </w:pPr>
      <w:r>
        <w:rPr>
          <w:rStyle w:val="FootnoteReference"/>
        </w:rPr>
        <w:footnoteRef/>
      </w:r>
      <w:r>
        <w:t xml:space="preserve"> Tr. at 600–</w:t>
      </w:r>
      <w:r w:rsidRPr="00CA00B8">
        <w:t>01</w:t>
      </w:r>
      <w:r>
        <w:t>.</w:t>
      </w:r>
    </w:p>
  </w:footnote>
  <w:footnote w:id="100">
    <w:p w:rsidR="00C1697A" w:rsidRDefault="00C1697A" w:rsidP="00B6294E">
      <w:pPr>
        <w:pStyle w:val="FootnoteText"/>
        <w:spacing w:after="120" w:line="240" w:lineRule="auto"/>
      </w:pPr>
      <w:r>
        <w:rPr>
          <w:rStyle w:val="FootnoteReference"/>
        </w:rPr>
        <w:footnoteRef/>
      </w:r>
      <w:r>
        <w:t xml:space="preserve"> Tr. at 615.</w:t>
      </w:r>
    </w:p>
  </w:footnote>
  <w:footnote w:id="101">
    <w:p w:rsidR="00C1697A" w:rsidRDefault="00C1697A" w:rsidP="00B6294E">
      <w:pPr>
        <w:pStyle w:val="FootnoteText"/>
        <w:spacing w:after="120" w:line="240" w:lineRule="auto"/>
      </w:pPr>
      <w:r>
        <w:rPr>
          <w:rStyle w:val="FootnoteReference"/>
        </w:rPr>
        <w:footnoteRef/>
      </w:r>
      <w:r>
        <w:t xml:space="preserve"> Tr. at 126.</w:t>
      </w:r>
    </w:p>
  </w:footnote>
  <w:footnote w:id="102">
    <w:p w:rsidR="00C1697A" w:rsidRDefault="00C1697A" w:rsidP="00B6294E">
      <w:pPr>
        <w:pStyle w:val="FootnoteText"/>
        <w:spacing w:after="120" w:line="240" w:lineRule="auto"/>
      </w:pPr>
      <w:r>
        <w:rPr>
          <w:rStyle w:val="FootnoteReference"/>
        </w:rPr>
        <w:footnoteRef/>
      </w:r>
      <w:r>
        <w:t xml:space="preserve"> WTCPUA Ex. 19.</w:t>
      </w:r>
    </w:p>
  </w:footnote>
  <w:footnote w:id="103">
    <w:p w:rsidR="00C1697A" w:rsidRDefault="00C1697A" w:rsidP="00B6294E">
      <w:pPr>
        <w:pStyle w:val="FootnoteText"/>
        <w:spacing w:after="120" w:line="240" w:lineRule="auto"/>
      </w:pPr>
      <w:r>
        <w:rPr>
          <w:rStyle w:val="FootnoteReference"/>
        </w:rPr>
        <w:footnoteRef/>
      </w:r>
      <w:r>
        <w:t xml:space="preserve"> Tr. at 96.</w:t>
      </w:r>
    </w:p>
  </w:footnote>
  <w:footnote w:id="104">
    <w:p w:rsidR="00C1697A" w:rsidRDefault="00C1697A" w:rsidP="00B6294E">
      <w:pPr>
        <w:pStyle w:val="FootnoteText"/>
        <w:spacing w:after="120" w:line="240" w:lineRule="auto"/>
      </w:pPr>
      <w:r>
        <w:rPr>
          <w:rStyle w:val="FootnoteReference"/>
        </w:rPr>
        <w:footnoteRef/>
      </w:r>
      <w:r>
        <w:t xml:space="preserve"> TCMUD Ex. 1 at JAD Ex. 5 at 168.</w:t>
      </w:r>
    </w:p>
  </w:footnote>
  <w:footnote w:id="105">
    <w:p w:rsidR="00C1697A" w:rsidRDefault="00C1697A" w:rsidP="00B6294E">
      <w:pPr>
        <w:pStyle w:val="FootnoteText"/>
        <w:spacing w:after="120" w:line="240" w:lineRule="auto"/>
      </w:pPr>
      <w:r>
        <w:rPr>
          <w:rStyle w:val="FootnoteReference"/>
        </w:rPr>
        <w:footnoteRef/>
      </w:r>
      <w:r>
        <w:t xml:space="preserve"> WTCPUA Ex. 1 at ex. G at 84.</w:t>
      </w:r>
    </w:p>
  </w:footnote>
  <w:footnote w:id="106">
    <w:p w:rsidR="00C1697A" w:rsidRDefault="00C1697A" w:rsidP="00B6294E">
      <w:pPr>
        <w:pStyle w:val="FootnoteText"/>
        <w:spacing w:after="120" w:line="240" w:lineRule="auto"/>
      </w:pPr>
      <w:r>
        <w:rPr>
          <w:rStyle w:val="FootnoteReference"/>
        </w:rPr>
        <w:footnoteRef/>
      </w:r>
      <w:r>
        <w:t xml:space="preserve"> TCMUD 12 Ex. 1 at 5.</w:t>
      </w:r>
    </w:p>
  </w:footnote>
  <w:footnote w:id="107">
    <w:p w:rsidR="00C1697A" w:rsidRDefault="00C1697A" w:rsidP="00B6294E">
      <w:pPr>
        <w:pStyle w:val="FootnoteText"/>
        <w:spacing w:after="120" w:line="240" w:lineRule="auto"/>
      </w:pPr>
      <w:r>
        <w:rPr>
          <w:rStyle w:val="FootnoteReference"/>
        </w:rPr>
        <w:footnoteRef/>
      </w:r>
      <w:r>
        <w:t xml:space="preserve"> Tr. at 96.</w:t>
      </w:r>
    </w:p>
  </w:footnote>
  <w:footnote w:id="108">
    <w:p w:rsidR="00C1697A" w:rsidRDefault="00C1697A" w:rsidP="00B6294E">
      <w:pPr>
        <w:pStyle w:val="FootnoteText"/>
        <w:spacing w:after="120" w:line="240" w:lineRule="auto"/>
      </w:pPr>
      <w:r>
        <w:rPr>
          <w:rStyle w:val="FootnoteReference"/>
        </w:rPr>
        <w:footnoteRef/>
      </w:r>
      <w:r>
        <w:t xml:space="preserve"> WTCPUA Ex. 19 at 30.</w:t>
      </w:r>
    </w:p>
  </w:footnote>
  <w:footnote w:id="109">
    <w:p w:rsidR="00C1697A" w:rsidRDefault="00C1697A" w:rsidP="00B6294E">
      <w:pPr>
        <w:pStyle w:val="FootnoteText"/>
        <w:spacing w:after="120" w:line="240" w:lineRule="auto"/>
      </w:pPr>
      <w:r>
        <w:rPr>
          <w:rStyle w:val="FootnoteReference"/>
        </w:rPr>
        <w:footnoteRef/>
      </w:r>
      <w:r>
        <w:t xml:space="preserve"> WTCPUA Ex. 19 at 30; Tr. at 489–90.</w:t>
      </w:r>
    </w:p>
  </w:footnote>
  <w:footnote w:id="110">
    <w:p w:rsidR="00C1697A" w:rsidRDefault="00C1697A" w:rsidP="00B6294E">
      <w:pPr>
        <w:pStyle w:val="FootnoteText"/>
        <w:spacing w:after="120" w:line="240" w:lineRule="auto"/>
      </w:pPr>
      <w:r>
        <w:rPr>
          <w:rStyle w:val="FootnoteReference"/>
        </w:rPr>
        <w:footnoteRef/>
      </w:r>
      <w:r>
        <w:t xml:space="preserve"> WTCPUA Ex. 19 at 30.</w:t>
      </w:r>
    </w:p>
  </w:footnote>
  <w:footnote w:id="111">
    <w:p w:rsidR="00C1697A" w:rsidRDefault="00C1697A" w:rsidP="00B6294E">
      <w:pPr>
        <w:pStyle w:val="FootnoteText"/>
        <w:spacing w:after="120" w:line="240" w:lineRule="auto"/>
      </w:pPr>
      <w:r>
        <w:rPr>
          <w:rStyle w:val="FootnoteReference"/>
        </w:rPr>
        <w:footnoteRef/>
      </w:r>
      <w:r>
        <w:t xml:space="preserve"> </w:t>
      </w:r>
      <w:r w:rsidRPr="00E41C43">
        <w:t>WTCPUA Ex. 19 at 30.</w:t>
      </w:r>
    </w:p>
  </w:footnote>
  <w:footnote w:id="112">
    <w:p w:rsidR="00C1697A" w:rsidRDefault="00C1697A" w:rsidP="00B6294E">
      <w:pPr>
        <w:pStyle w:val="FootnoteText"/>
        <w:spacing w:after="120" w:line="240" w:lineRule="auto"/>
      </w:pPr>
      <w:r>
        <w:rPr>
          <w:rStyle w:val="FootnoteReference"/>
        </w:rPr>
        <w:footnoteRef/>
      </w:r>
      <w:r>
        <w:t xml:space="preserve"> </w:t>
      </w:r>
      <w:r w:rsidRPr="00E41C43">
        <w:t>WTCPUA Ex. 19 at 3</w:t>
      </w:r>
      <w:r>
        <w:t>2.</w:t>
      </w:r>
    </w:p>
  </w:footnote>
  <w:footnote w:id="113">
    <w:p w:rsidR="00C1697A" w:rsidRDefault="00C1697A" w:rsidP="00B6294E">
      <w:pPr>
        <w:pStyle w:val="FootnoteText"/>
        <w:spacing w:after="120" w:line="240" w:lineRule="auto"/>
      </w:pPr>
      <w:r>
        <w:rPr>
          <w:rStyle w:val="FootnoteReference"/>
        </w:rPr>
        <w:footnoteRef/>
      </w:r>
      <w:r>
        <w:t xml:space="preserve"> Tr. at 290–91, 314–15.</w:t>
      </w:r>
    </w:p>
  </w:footnote>
  <w:footnote w:id="114">
    <w:p w:rsidR="00C1697A" w:rsidRDefault="00C1697A" w:rsidP="00B6294E">
      <w:pPr>
        <w:pStyle w:val="FootnoteText"/>
        <w:spacing w:after="120" w:line="240" w:lineRule="auto"/>
      </w:pPr>
      <w:r>
        <w:rPr>
          <w:rStyle w:val="FootnoteReference"/>
        </w:rPr>
        <w:footnoteRef/>
      </w:r>
      <w:r>
        <w:t xml:space="preserve"> </w:t>
      </w:r>
      <w:r w:rsidRPr="002248D7">
        <w:rPr>
          <w:i/>
        </w:rPr>
        <w:t xml:space="preserve">See </w:t>
      </w:r>
      <w:r>
        <w:t>Tex. R. Evid. 405(b).</w:t>
      </w:r>
    </w:p>
  </w:footnote>
  <w:footnote w:id="115">
    <w:p w:rsidR="00C1697A" w:rsidRDefault="00C1697A" w:rsidP="00B6294E">
      <w:pPr>
        <w:pStyle w:val="FootnoteText"/>
        <w:spacing w:after="120" w:line="240" w:lineRule="auto"/>
      </w:pPr>
      <w:r>
        <w:rPr>
          <w:rStyle w:val="FootnoteReference"/>
        </w:rPr>
        <w:footnoteRef/>
      </w:r>
      <w:r>
        <w:t xml:space="preserve"> WTCPUA Ex. 1 at 29–31 &amp; attach. Ex. V </w:t>
      </w:r>
    </w:p>
  </w:footnote>
  <w:footnote w:id="116">
    <w:p w:rsidR="00C1697A" w:rsidRDefault="00C1697A" w:rsidP="00B6294E">
      <w:pPr>
        <w:pStyle w:val="FootnoteText"/>
        <w:spacing w:after="120" w:line="240" w:lineRule="auto"/>
      </w:pPr>
      <w:r>
        <w:rPr>
          <w:rStyle w:val="FootnoteReference"/>
        </w:rPr>
        <w:footnoteRef/>
      </w:r>
      <w:r>
        <w:t xml:space="preserve"> TCMUD 12 Reply Brief at 43–47.</w:t>
      </w:r>
    </w:p>
  </w:footnote>
  <w:footnote w:id="117">
    <w:p w:rsidR="00C1697A" w:rsidRDefault="00C1697A" w:rsidP="00B6294E">
      <w:pPr>
        <w:pStyle w:val="FootnoteText"/>
        <w:spacing w:after="120" w:line="240" w:lineRule="auto"/>
      </w:pPr>
      <w:r>
        <w:rPr>
          <w:rStyle w:val="FootnoteReference"/>
        </w:rPr>
        <w:footnoteRef/>
      </w:r>
      <w:r>
        <w:t xml:space="preserve"> WTCPUA Ex. 1 at 29–31 &amp; attach. Ex. V.</w:t>
      </w:r>
    </w:p>
  </w:footnote>
  <w:footnote w:id="118">
    <w:p w:rsidR="00C1697A" w:rsidRDefault="00C1697A" w:rsidP="00B6294E">
      <w:pPr>
        <w:pStyle w:val="FootnoteText"/>
        <w:spacing w:after="120" w:line="240" w:lineRule="auto"/>
      </w:pPr>
      <w:r>
        <w:rPr>
          <w:rStyle w:val="FootnoteReference"/>
        </w:rPr>
        <w:footnoteRef/>
      </w:r>
      <w:r>
        <w:t xml:space="preserve"> WTCPUA Ex. 1, attach. Ex. V at 251.</w:t>
      </w:r>
    </w:p>
  </w:footnote>
  <w:footnote w:id="119">
    <w:p w:rsidR="00C1697A" w:rsidRDefault="00C1697A" w:rsidP="00B6294E">
      <w:pPr>
        <w:pStyle w:val="FootnoteText"/>
        <w:spacing w:after="120" w:line="240" w:lineRule="auto"/>
      </w:pPr>
      <w:r>
        <w:rPr>
          <w:rStyle w:val="FootnoteReference"/>
        </w:rPr>
        <w:footnoteRef/>
      </w:r>
      <w:r>
        <w:t xml:space="preserve"> WTCPUA Ex. 1, attach. Ex. V at 270.</w:t>
      </w:r>
    </w:p>
  </w:footnote>
  <w:footnote w:id="120">
    <w:p w:rsidR="00C1697A" w:rsidRDefault="00C1697A" w:rsidP="00B6294E">
      <w:pPr>
        <w:pStyle w:val="FootnoteText"/>
        <w:spacing w:after="120" w:line="240" w:lineRule="auto"/>
      </w:pPr>
      <w:r>
        <w:rPr>
          <w:rStyle w:val="FootnoteReference"/>
        </w:rPr>
        <w:footnoteRef/>
      </w:r>
      <w:r>
        <w:t xml:space="preserve"> WTCPUA Ex. 1 at 31.</w:t>
      </w:r>
    </w:p>
  </w:footnote>
  <w:footnote w:id="121">
    <w:p w:rsidR="00C1697A" w:rsidRDefault="00C1697A" w:rsidP="00B6294E">
      <w:pPr>
        <w:pStyle w:val="FootnoteText"/>
        <w:spacing w:after="120" w:line="240" w:lineRule="auto"/>
      </w:pPr>
      <w:r>
        <w:rPr>
          <w:rStyle w:val="FootnoteReference"/>
        </w:rPr>
        <w:footnoteRef/>
      </w:r>
      <w:r>
        <w:t xml:space="preserve"> $13.5 million * (4.0 mgd / 5.0 mgd) = $10.8 million.</w:t>
      </w:r>
    </w:p>
  </w:footnote>
  <w:footnote w:id="122">
    <w:p w:rsidR="00C1697A" w:rsidRDefault="00C1697A" w:rsidP="00B6294E">
      <w:pPr>
        <w:pStyle w:val="FootnoteText"/>
        <w:spacing w:after="120" w:line="240" w:lineRule="auto"/>
      </w:pPr>
      <w:r>
        <w:rPr>
          <w:rStyle w:val="FootnoteReference"/>
        </w:rPr>
        <w:footnoteRef/>
      </w:r>
      <w:r>
        <w:t xml:space="preserve"> Tr. at 68.</w:t>
      </w:r>
    </w:p>
  </w:footnote>
  <w:footnote w:id="123">
    <w:p w:rsidR="00C1697A" w:rsidRDefault="00C1697A" w:rsidP="00B6294E">
      <w:pPr>
        <w:pStyle w:val="FootnoteText"/>
        <w:spacing w:after="120" w:line="240" w:lineRule="auto"/>
      </w:pPr>
      <w:r>
        <w:rPr>
          <w:rStyle w:val="FootnoteReference"/>
        </w:rPr>
        <w:footnoteRef/>
      </w:r>
      <w:r>
        <w:t xml:space="preserve"> Tr. at 90-91, and 587-589.</w:t>
      </w:r>
    </w:p>
  </w:footnote>
  <w:footnote w:id="124">
    <w:p w:rsidR="00C1697A" w:rsidRDefault="00C1697A" w:rsidP="00B6294E">
      <w:pPr>
        <w:pStyle w:val="FootnoteText"/>
        <w:spacing w:after="120" w:line="240" w:lineRule="auto"/>
      </w:pPr>
      <w:r>
        <w:rPr>
          <w:rStyle w:val="FootnoteReference"/>
        </w:rPr>
        <w:footnoteRef/>
      </w:r>
      <w:r>
        <w:t xml:space="preserve"> WTCPUA Ex. 51 (1,640 retail water service connections); WTCPUA Ex. 52 (close to 2,125 LUEs).</w:t>
      </w:r>
    </w:p>
  </w:footnote>
  <w:footnote w:id="125">
    <w:p w:rsidR="00C1697A" w:rsidRDefault="00C1697A" w:rsidP="00B6294E">
      <w:pPr>
        <w:pStyle w:val="FootnoteText"/>
        <w:spacing w:after="120" w:line="240" w:lineRule="auto"/>
      </w:pPr>
      <w:r>
        <w:rPr>
          <w:rStyle w:val="FootnoteReference"/>
        </w:rPr>
        <w:footnoteRef/>
      </w:r>
      <w:r>
        <w:t xml:space="preserve"> </w:t>
      </w:r>
      <w:r>
        <w:rPr>
          <w:lang w:val="es-MX"/>
        </w:rPr>
        <w:t xml:space="preserve">WTCPUA Exs. 43, </w:t>
      </w:r>
      <w:r w:rsidRPr="006C1456">
        <w:rPr>
          <w:lang w:val="es-MX"/>
        </w:rPr>
        <w:t>44.</w:t>
      </w:r>
    </w:p>
  </w:footnote>
  <w:footnote w:id="126">
    <w:p w:rsidR="00C1697A" w:rsidRPr="00C87479" w:rsidRDefault="00C1697A" w:rsidP="00B6294E">
      <w:pPr>
        <w:pStyle w:val="FootnoteText"/>
        <w:spacing w:after="120" w:line="240" w:lineRule="auto"/>
      </w:pPr>
      <w:r>
        <w:rPr>
          <w:rStyle w:val="FootnoteReference"/>
        </w:rPr>
        <w:footnoteRef/>
      </w:r>
      <w:r>
        <w:t xml:space="preserve"> </w:t>
      </w:r>
      <w:r w:rsidRPr="00C87479">
        <w:t>Tr. at 107</w:t>
      </w:r>
      <w:r>
        <w:t>.</w:t>
      </w:r>
    </w:p>
  </w:footnote>
  <w:footnote w:id="127">
    <w:p w:rsidR="00C1697A" w:rsidRDefault="00C1697A" w:rsidP="00B6294E">
      <w:pPr>
        <w:pStyle w:val="FootnoteText"/>
        <w:spacing w:after="120" w:line="240" w:lineRule="auto"/>
      </w:pPr>
      <w:r>
        <w:rPr>
          <w:rStyle w:val="FootnoteReference"/>
        </w:rPr>
        <w:footnoteRef/>
      </w:r>
      <w:r>
        <w:t xml:space="preserve"> TCMUD </w:t>
      </w:r>
      <w:r w:rsidRPr="000E0811">
        <w:t>12</w:t>
      </w:r>
      <w:r>
        <w:t xml:space="preserve"> Ex. 1 at 11 &amp; JAD Ex. 11.</w:t>
      </w:r>
    </w:p>
  </w:footnote>
  <w:footnote w:id="128">
    <w:p w:rsidR="00C1697A" w:rsidRDefault="00C1697A" w:rsidP="00B6294E">
      <w:pPr>
        <w:pStyle w:val="FootnoteText"/>
        <w:spacing w:after="120" w:line="240" w:lineRule="auto"/>
      </w:pPr>
      <w:r>
        <w:rPr>
          <w:rStyle w:val="FootnoteReference"/>
        </w:rPr>
        <w:footnoteRef/>
      </w:r>
      <w:r>
        <w:t xml:space="preserve"> TCMUD 12 Ex. 1 at 10 &amp; JAD Ex. 5 at 3.</w:t>
      </w:r>
    </w:p>
  </w:footnote>
  <w:footnote w:id="129">
    <w:p w:rsidR="00C1697A" w:rsidRDefault="00C1697A" w:rsidP="00B6294E">
      <w:pPr>
        <w:pStyle w:val="FootnoteText"/>
        <w:spacing w:after="120" w:line="240" w:lineRule="auto"/>
      </w:pPr>
      <w:r>
        <w:rPr>
          <w:rStyle w:val="FootnoteReference"/>
        </w:rPr>
        <w:footnoteRef/>
      </w:r>
      <w:r>
        <w:t xml:space="preserve"> TCMUD 12 Ex. 1 at JAD Ex. 4 at 149.</w:t>
      </w:r>
    </w:p>
  </w:footnote>
  <w:footnote w:id="130">
    <w:p w:rsidR="00C1697A" w:rsidRDefault="00C1697A" w:rsidP="00B6294E">
      <w:pPr>
        <w:pStyle w:val="FootnoteText"/>
        <w:spacing w:after="120" w:line="240" w:lineRule="auto"/>
      </w:pPr>
      <w:r>
        <w:rPr>
          <w:rStyle w:val="FootnoteReference"/>
        </w:rPr>
        <w:footnoteRef/>
      </w:r>
      <w:r>
        <w:t xml:space="preserve"> TCMUD 12 Ex. 1 at JAD Ex. 5 at 168.</w:t>
      </w:r>
    </w:p>
  </w:footnote>
  <w:footnote w:id="131">
    <w:p w:rsidR="00C1697A" w:rsidRPr="00BA3B8D" w:rsidRDefault="00C1697A" w:rsidP="00B6294E">
      <w:pPr>
        <w:pStyle w:val="FootnoteText"/>
        <w:spacing w:after="120" w:line="240" w:lineRule="auto"/>
        <w:rPr>
          <w:b/>
          <w:i/>
        </w:rPr>
      </w:pPr>
      <w:r>
        <w:rPr>
          <w:rStyle w:val="FootnoteReference"/>
        </w:rPr>
        <w:footnoteRef/>
      </w:r>
      <w:r>
        <w:t xml:space="preserve"> TCMUD 12 Ex. 1 12 &amp; JAD Ex. 13.</w:t>
      </w:r>
    </w:p>
  </w:footnote>
  <w:footnote w:id="132">
    <w:p w:rsidR="00C1697A" w:rsidRDefault="00C1697A" w:rsidP="00B6294E">
      <w:pPr>
        <w:pStyle w:val="FootnoteText"/>
        <w:spacing w:after="120" w:line="240" w:lineRule="auto"/>
      </w:pPr>
      <w:r>
        <w:rPr>
          <w:rStyle w:val="FootnoteReference"/>
        </w:rPr>
        <w:footnoteRef/>
      </w:r>
      <w:r>
        <w:t xml:space="preserve"> WTCPUA Ex. 53.</w:t>
      </w:r>
    </w:p>
  </w:footnote>
  <w:footnote w:id="133">
    <w:p w:rsidR="00C1697A" w:rsidRDefault="00C1697A" w:rsidP="00B6294E">
      <w:pPr>
        <w:pStyle w:val="FootnoteText"/>
        <w:spacing w:after="120" w:line="240" w:lineRule="auto"/>
      </w:pPr>
      <w:r>
        <w:rPr>
          <w:rStyle w:val="FootnoteReference"/>
        </w:rPr>
        <w:footnoteRef/>
      </w:r>
      <w:r>
        <w:t xml:space="preserve"> TCMUD 12 Ex. 1 at JAD Ex. 4 at 150–51, § 4.01.d; WTCPUA Ex. 2, attach. Q at 212–213.</w:t>
      </w:r>
    </w:p>
  </w:footnote>
  <w:footnote w:id="134">
    <w:p w:rsidR="00C1697A" w:rsidRDefault="00C1697A" w:rsidP="00B6294E">
      <w:pPr>
        <w:pStyle w:val="FootnoteText"/>
        <w:spacing w:after="120" w:line="240" w:lineRule="auto"/>
      </w:pPr>
      <w:r>
        <w:rPr>
          <w:rStyle w:val="FootnoteReference"/>
        </w:rPr>
        <w:footnoteRef/>
      </w:r>
      <w:r>
        <w:t xml:space="preserve"> TCMUD 12 Ex. 1 at JAD Ex. 4 at 151, § 4.01.e; WTCPUA Ex. 2, attach. Q at 212–213.</w:t>
      </w:r>
    </w:p>
  </w:footnote>
  <w:footnote w:id="135">
    <w:p w:rsidR="00C1697A" w:rsidRDefault="00C1697A" w:rsidP="00B6294E">
      <w:pPr>
        <w:pStyle w:val="FootnoteText"/>
        <w:spacing w:after="120" w:line="240" w:lineRule="auto"/>
      </w:pPr>
      <w:r>
        <w:rPr>
          <w:rStyle w:val="FootnoteReference"/>
        </w:rPr>
        <w:footnoteRef/>
      </w:r>
      <w:r>
        <w:t xml:space="preserve"> Tr. at 271.</w:t>
      </w:r>
    </w:p>
  </w:footnote>
  <w:footnote w:id="136">
    <w:p w:rsidR="00C1697A" w:rsidRDefault="00C1697A" w:rsidP="00B6294E">
      <w:pPr>
        <w:pStyle w:val="FootnoteText"/>
        <w:spacing w:after="120" w:line="240" w:lineRule="auto"/>
      </w:pPr>
      <w:r>
        <w:rPr>
          <w:rStyle w:val="FootnoteReference"/>
        </w:rPr>
        <w:footnoteRef/>
      </w:r>
      <w:r>
        <w:t xml:space="preserve"> 16 Tex. Admin. Code § 24.133(a)(3)(C).</w:t>
      </w:r>
    </w:p>
  </w:footnote>
  <w:footnote w:id="137">
    <w:p w:rsidR="00C1697A" w:rsidRDefault="00C1697A" w:rsidP="00B6294E">
      <w:pPr>
        <w:pStyle w:val="FootnoteText"/>
        <w:spacing w:after="120" w:line="240" w:lineRule="auto"/>
      </w:pPr>
      <w:r>
        <w:rPr>
          <w:rStyle w:val="FootnoteReference"/>
        </w:rPr>
        <w:footnoteRef/>
      </w:r>
      <w:r>
        <w:t xml:space="preserve"> WTCPUA Ex. 1, attach. P.</w:t>
      </w:r>
    </w:p>
  </w:footnote>
  <w:footnote w:id="138">
    <w:p w:rsidR="00C1697A" w:rsidRDefault="00C1697A" w:rsidP="00B6294E">
      <w:pPr>
        <w:pStyle w:val="FootnoteText"/>
        <w:spacing w:after="120" w:line="240" w:lineRule="auto"/>
      </w:pPr>
      <w:r>
        <w:rPr>
          <w:rStyle w:val="FootnoteReference"/>
        </w:rPr>
        <w:footnoteRef/>
      </w:r>
      <w:r>
        <w:t xml:space="preserve"> WTCPUA Ex. 1, attach. Q, attach. R at 224–26.</w:t>
      </w:r>
    </w:p>
  </w:footnote>
  <w:footnote w:id="139">
    <w:p w:rsidR="00C1697A" w:rsidRDefault="00C1697A" w:rsidP="00B6294E">
      <w:pPr>
        <w:pStyle w:val="FootnoteText"/>
        <w:spacing w:after="120" w:line="240" w:lineRule="auto"/>
      </w:pPr>
      <w:r>
        <w:rPr>
          <w:rStyle w:val="FootnoteReference"/>
        </w:rPr>
        <w:footnoteRef/>
      </w:r>
      <w:r>
        <w:t xml:space="preserve"> WTCPUA Ex. 1 at 22–26.</w:t>
      </w:r>
    </w:p>
  </w:footnote>
  <w:footnote w:id="140">
    <w:p w:rsidR="00C1697A" w:rsidRDefault="00C1697A" w:rsidP="00B6294E">
      <w:pPr>
        <w:pStyle w:val="FootnoteText"/>
        <w:spacing w:after="120" w:line="240" w:lineRule="auto"/>
      </w:pPr>
      <w:r>
        <w:rPr>
          <w:rStyle w:val="FootnoteReference"/>
        </w:rPr>
        <w:footnoteRef/>
      </w:r>
      <w:r>
        <w:t xml:space="preserve"> WTCPUA Ex. 1 at 28.</w:t>
      </w:r>
    </w:p>
  </w:footnote>
  <w:footnote w:id="141">
    <w:p w:rsidR="00C1697A" w:rsidRDefault="00C1697A" w:rsidP="00B6294E">
      <w:pPr>
        <w:pStyle w:val="FootnoteText"/>
        <w:spacing w:after="120" w:line="240" w:lineRule="auto"/>
      </w:pPr>
      <w:r>
        <w:rPr>
          <w:rStyle w:val="FootnoteReference"/>
        </w:rPr>
        <w:footnoteRef/>
      </w:r>
      <w:r>
        <w:t xml:space="preserve"> WTCPUA Ex. 1 at 29.</w:t>
      </w:r>
    </w:p>
  </w:footnote>
  <w:footnote w:id="142">
    <w:p w:rsidR="00C1697A" w:rsidRDefault="00C1697A" w:rsidP="00B6294E">
      <w:pPr>
        <w:pStyle w:val="FootnoteText"/>
        <w:spacing w:after="120" w:line="240" w:lineRule="auto"/>
      </w:pPr>
      <w:r>
        <w:rPr>
          <w:rStyle w:val="FootnoteReference"/>
        </w:rPr>
        <w:footnoteRef/>
      </w:r>
      <w:r>
        <w:t xml:space="preserve"> WTCPUA Ex. 1 at 24–27.</w:t>
      </w:r>
    </w:p>
  </w:footnote>
  <w:footnote w:id="143">
    <w:p w:rsidR="00C1697A" w:rsidRDefault="00C1697A" w:rsidP="00B6294E">
      <w:pPr>
        <w:pStyle w:val="FootnoteText"/>
        <w:spacing w:after="120" w:line="240" w:lineRule="auto"/>
      </w:pPr>
      <w:r>
        <w:rPr>
          <w:rStyle w:val="FootnoteReference"/>
        </w:rPr>
        <w:footnoteRef/>
      </w:r>
      <w:r>
        <w:t xml:space="preserve"> WTCPUA Ex. 1 at 28 &amp; attach. L &amp; T.</w:t>
      </w:r>
    </w:p>
  </w:footnote>
  <w:footnote w:id="144">
    <w:p w:rsidR="00C1697A" w:rsidRDefault="00C1697A" w:rsidP="00B6294E">
      <w:pPr>
        <w:pStyle w:val="FootnoteText"/>
        <w:spacing w:after="120" w:line="240" w:lineRule="auto"/>
      </w:pPr>
      <w:r>
        <w:rPr>
          <w:rStyle w:val="FootnoteReference"/>
        </w:rPr>
        <w:footnoteRef/>
      </w:r>
      <w:r>
        <w:t xml:space="preserve"> TCMUD 12 Ex. 1 at 11 &amp; JAD Ex. 13; TCMUD Ex. 23 at 775–82; WTCPUA Ex. 1 at attach. Q.</w:t>
      </w:r>
    </w:p>
  </w:footnote>
  <w:footnote w:id="145">
    <w:p w:rsidR="00C1697A" w:rsidRDefault="00C1697A" w:rsidP="00B6294E">
      <w:pPr>
        <w:pStyle w:val="FootnoteText"/>
        <w:spacing w:after="120" w:line="240" w:lineRule="auto"/>
      </w:pPr>
      <w:r>
        <w:rPr>
          <w:rStyle w:val="FootnoteReference"/>
        </w:rPr>
        <w:footnoteRef/>
      </w:r>
      <w:r>
        <w:t xml:space="preserve"> TCMUD 12 Ex. 1 at JAD Ex. 13 at 399.</w:t>
      </w:r>
    </w:p>
  </w:footnote>
  <w:footnote w:id="146">
    <w:p w:rsidR="00C1697A" w:rsidRDefault="00C1697A" w:rsidP="00B6294E">
      <w:pPr>
        <w:pStyle w:val="FootnoteText"/>
        <w:spacing w:after="120" w:line="240" w:lineRule="auto"/>
      </w:pPr>
      <w:r>
        <w:rPr>
          <w:rStyle w:val="FootnoteReference"/>
        </w:rPr>
        <w:footnoteRef/>
      </w:r>
      <w:r>
        <w:t xml:space="preserve"> TCMUD 12 Ex. 2 at JJJ-11 at 37.</w:t>
      </w:r>
    </w:p>
  </w:footnote>
  <w:footnote w:id="147">
    <w:p w:rsidR="00C1697A" w:rsidRDefault="00C1697A" w:rsidP="00B6294E">
      <w:pPr>
        <w:pStyle w:val="FootnoteText"/>
        <w:spacing w:after="120" w:line="240" w:lineRule="auto"/>
      </w:pPr>
      <w:r>
        <w:rPr>
          <w:rStyle w:val="FootnoteReference"/>
        </w:rPr>
        <w:footnoteRef/>
      </w:r>
      <w:r>
        <w:t xml:space="preserve"> TCMUD 12 Ex. 2 at JJJ-15 at 14.</w:t>
      </w:r>
    </w:p>
  </w:footnote>
  <w:footnote w:id="148">
    <w:p w:rsidR="00C1697A" w:rsidRDefault="00C1697A" w:rsidP="00B6294E">
      <w:pPr>
        <w:pStyle w:val="FootnoteText"/>
        <w:spacing w:after="120" w:line="240" w:lineRule="auto"/>
      </w:pPr>
      <w:r>
        <w:rPr>
          <w:rStyle w:val="FootnoteReference"/>
        </w:rPr>
        <w:footnoteRef/>
      </w:r>
      <w:r>
        <w:t xml:space="preserve"> WTCPUA Ex. 1 at attach. Q.</w:t>
      </w:r>
    </w:p>
  </w:footnote>
  <w:footnote w:id="149">
    <w:p w:rsidR="00C1697A" w:rsidRDefault="00C1697A" w:rsidP="00B6294E">
      <w:pPr>
        <w:pStyle w:val="FootnoteText"/>
        <w:spacing w:after="120" w:line="240" w:lineRule="auto"/>
      </w:pPr>
      <w:r>
        <w:rPr>
          <w:rStyle w:val="FootnoteReference"/>
        </w:rPr>
        <w:footnoteRef/>
      </w:r>
      <w:r>
        <w:t xml:space="preserve"> TCMUD 12 Exs. 7, 10, 13, 16, 18, 20.</w:t>
      </w:r>
    </w:p>
  </w:footnote>
  <w:footnote w:id="150">
    <w:p w:rsidR="00C1697A" w:rsidRDefault="00C1697A" w:rsidP="00B6294E">
      <w:pPr>
        <w:pStyle w:val="FootnoteText"/>
        <w:spacing w:after="120" w:line="240" w:lineRule="auto"/>
      </w:pPr>
      <w:r>
        <w:rPr>
          <w:rStyle w:val="FootnoteReference"/>
        </w:rPr>
        <w:footnoteRef/>
      </w:r>
      <w:r>
        <w:t xml:space="preserve"> TCMUD 12 Ex. 1 at 6.</w:t>
      </w:r>
    </w:p>
  </w:footnote>
  <w:footnote w:id="151">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151.</w:t>
      </w:r>
    </w:p>
  </w:footnote>
  <w:footnote w:id="152">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150–51.</w:t>
      </w:r>
    </w:p>
  </w:footnote>
  <w:footnote w:id="153">
    <w:p w:rsidR="00C1697A" w:rsidRDefault="00C1697A" w:rsidP="00B6294E">
      <w:pPr>
        <w:pStyle w:val="FootnoteText"/>
        <w:spacing w:after="120" w:line="240" w:lineRule="auto"/>
      </w:pPr>
      <w:r>
        <w:rPr>
          <w:rStyle w:val="FootnoteReference"/>
        </w:rPr>
        <w:footnoteRef/>
      </w:r>
      <w:r>
        <w:t xml:space="preserve"> TCMUD 12 Ex. 2 at 3–5 &amp; JJJ-1.</w:t>
      </w:r>
    </w:p>
  </w:footnote>
  <w:footnote w:id="154">
    <w:p w:rsidR="00C1697A" w:rsidRDefault="00C1697A" w:rsidP="00B6294E">
      <w:pPr>
        <w:pStyle w:val="FootnoteText"/>
        <w:spacing w:after="120" w:line="240" w:lineRule="auto"/>
      </w:pPr>
      <w:r>
        <w:rPr>
          <w:rStyle w:val="FootnoteReference"/>
        </w:rPr>
        <w:footnoteRef/>
      </w:r>
      <w:r>
        <w:t xml:space="preserve"> TCMUD 12 Ex. 2 at 5, 7–9, 11–18.</w:t>
      </w:r>
    </w:p>
  </w:footnote>
  <w:footnote w:id="155">
    <w:p w:rsidR="00C1697A" w:rsidRDefault="00C1697A" w:rsidP="00B6294E">
      <w:pPr>
        <w:pStyle w:val="FootnoteText"/>
        <w:spacing w:after="120" w:line="240" w:lineRule="auto"/>
      </w:pPr>
      <w:r>
        <w:rPr>
          <w:rStyle w:val="FootnoteReference"/>
        </w:rPr>
        <w:footnoteRef/>
      </w:r>
      <w:r>
        <w:t xml:space="preserve"> TCMUD 12 Ex. 2 at 11–18 &amp; JJJ-10.</w:t>
      </w:r>
    </w:p>
  </w:footnote>
  <w:footnote w:id="156">
    <w:p w:rsidR="00C1697A" w:rsidRDefault="00C1697A" w:rsidP="00B6294E">
      <w:pPr>
        <w:pStyle w:val="FootnoteText"/>
        <w:spacing w:after="120" w:line="240" w:lineRule="auto"/>
      </w:pPr>
      <w:r>
        <w:rPr>
          <w:rStyle w:val="FootnoteReference"/>
        </w:rPr>
        <w:footnoteRef/>
      </w:r>
      <w:r>
        <w:t xml:space="preserve"> 16 Tex. Admin. Code § 24.133(a)(3)(C).</w:t>
      </w:r>
    </w:p>
  </w:footnote>
  <w:footnote w:id="157">
    <w:p w:rsidR="00C1697A" w:rsidRDefault="00C1697A" w:rsidP="00B6294E">
      <w:pPr>
        <w:pStyle w:val="FootnoteText"/>
        <w:spacing w:after="120" w:line="240" w:lineRule="auto"/>
      </w:pPr>
      <w:r>
        <w:rPr>
          <w:rStyle w:val="FootnoteReference"/>
        </w:rPr>
        <w:footnoteRef/>
      </w:r>
      <w:r>
        <w:t xml:space="preserve"> 16 Tex. Admin. Code § 24.133(b).</w:t>
      </w:r>
    </w:p>
  </w:footnote>
  <w:footnote w:id="158">
    <w:p w:rsidR="00C1697A" w:rsidRDefault="00C1697A" w:rsidP="00B6294E">
      <w:pPr>
        <w:pStyle w:val="FootnoteText"/>
        <w:spacing w:after="120" w:line="240" w:lineRule="auto"/>
      </w:pPr>
      <w:r>
        <w:rPr>
          <w:rStyle w:val="FootnoteReference"/>
        </w:rPr>
        <w:footnoteRef/>
      </w:r>
      <w:r>
        <w:t xml:space="preserve"> Tex. Gov’t Code §§ 311.002(4), .011.</w:t>
      </w:r>
    </w:p>
  </w:footnote>
  <w:footnote w:id="159">
    <w:p w:rsidR="00C1697A" w:rsidRDefault="00C1697A" w:rsidP="00B6294E">
      <w:pPr>
        <w:pStyle w:val="FootnoteText"/>
        <w:spacing w:after="120" w:line="240" w:lineRule="auto"/>
      </w:pPr>
      <w:r>
        <w:rPr>
          <w:rStyle w:val="FootnoteReference"/>
        </w:rPr>
        <w:footnoteRef/>
      </w:r>
      <w:r>
        <w:t xml:space="preserve"> 16 Tex. Admin. Code § 24.3(38).</w:t>
      </w:r>
    </w:p>
  </w:footnote>
  <w:footnote w:id="160">
    <w:p w:rsidR="00C1697A" w:rsidRDefault="00C1697A" w:rsidP="00B6294E">
      <w:pPr>
        <w:pStyle w:val="FootnoteText"/>
        <w:spacing w:after="120" w:line="240" w:lineRule="auto"/>
      </w:pPr>
      <w:r>
        <w:rPr>
          <w:rStyle w:val="FootnoteReference"/>
        </w:rPr>
        <w:footnoteRef/>
      </w:r>
      <w:r>
        <w:t xml:space="preserve"> 16 Tex. Admin. Code § 24.31(a).</w:t>
      </w:r>
    </w:p>
  </w:footnote>
  <w:footnote w:id="161">
    <w:p w:rsidR="00C1697A" w:rsidRDefault="00C1697A" w:rsidP="00B6294E">
      <w:pPr>
        <w:pStyle w:val="FootnoteText"/>
        <w:spacing w:after="120" w:line="240" w:lineRule="auto"/>
      </w:pPr>
      <w:r>
        <w:rPr>
          <w:rStyle w:val="FootnoteReference"/>
        </w:rPr>
        <w:footnoteRef/>
      </w:r>
      <w:r>
        <w:t xml:space="preserve"> 16 Tex. Admin. Code § 24.31(b), (c).</w:t>
      </w:r>
    </w:p>
  </w:footnote>
  <w:footnote w:id="162">
    <w:p w:rsidR="00C1697A" w:rsidRDefault="00C1697A" w:rsidP="00B6294E">
      <w:pPr>
        <w:pStyle w:val="FootnoteText"/>
        <w:spacing w:after="120" w:line="240" w:lineRule="auto"/>
      </w:pPr>
      <w:r>
        <w:rPr>
          <w:rStyle w:val="FootnoteReference"/>
        </w:rPr>
        <w:footnoteRef/>
      </w:r>
      <w:r>
        <w:t xml:space="preserve"> 16 Tex. Admin. Code § 24.31(b)(1)(A).</w:t>
      </w:r>
    </w:p>
  </w:footnote>
  <w:footnote w:id="163">
    <w:p w:rsidR="00C1697A" w:rsidRDefault="00C1697A" w:rsidP="00B6294E">
      <w:pPr>
        <w:pStyle w:val="FootnoteText"/>
        <w:spacing w:after="120" w:line="240" w:lineRule="auto"/>
      </w:pPr>
      <w:r>
        <w:rPr>
          <w:rStyle w:val="FootnoteReference"/>
        </w:rPr>
        <w:footnoteRef/>
      </w:r>
      <w:r>
        <w:t xml:space="preserve"> 16 Tex. Admin. Code § 24.133(a)(3)(C).</w:t>
      </w:r>
    </w:p>
  </w:footnote>
  <w:footnote w:id="164">
    <w:p w:rsidR="00C1697A" w:rsidRDefault="00C1697A" w:rsidP="00B6294E">
      <w:pPr>
        <w:pStyle w:val="FootnoteText"/>
        <w:spacing w:after="120" w:line="240" w:lineRule="auto"/>
      </w:pPr>
      <w:r>
        <w:rPr>
          <w:rStyle w:val="FootnoteReference"/>
        </w:rPr>
        <w:footnoteRef/>
      </w:r>
      <w:r>
        <w:t xml:space="preserve"> 16 Tex. Admin. Code § 24.34(c)(1)(A).</w:t>
      </w:r>
    </w:p>
  </w:footnote>
  <w:footnote w:id="165">
    <w:p w:rsidR="00C1697A" w:rsidRDefault="00C1697A" w:rsidP="00B6294E">
      <w:pPr>
        <w:pStyle w:val="FootnoteText"/>
        <w:spacing w:after="120" w:line="240" w:lineRule="auto"/>
      </w:pPr>
      <w:r>
        <w:rPr>
          <w:rStyle w:val="FootnoteReference"/>
        </w:rPr>
        <w:footnoteRef/>
      </w:r>
      <w:r>
        <w:t xml:space="preserve"> 16 Tex. Admin. Code § 24.129(3).  This is sometimes referred to as the “cash-needs method.”</w:t>
      </w:r>
    </w:p>
  </w:footnote>
  <w:footnote w:id="166">
    <w:p w:rsidR="00C1697A" w:rsidRDefault="00C1697A" w:rsidP="00B6294E">
      <w:pPr>
        <w:pStyle w:val="FootnoteText"/>
        <w:spacing w:after="120" w:line="240" w:lineRule="auto"/>
      </w:pPr>
      <w:r>
        <w:rPr>
          <w:rStyle w:val="FootnoteReference"/>
        </w:rPr>
        <w:footnoteRef/>
      </w:r>
      <w:r>
        <w:t xml:space="preserve"> 16 Tex. Admin. Code § 24.129(4).  This is sometimes referred to as the “utility-basis method.”</w:t>
      </w:r>
    </w:p>
  </w:footnote>
  <w:footnote w:id="167">
    <w:p w:rsidR="00C1697A" w:rsidRDefault="00C1697A" w:rsidP="00B6294E">
      <w:pPr>
        <w:pStyle w:val="FootnoteText"/>
        <w:spacing w:after="120" w:line="240" w:lineRule="auto"/>
      </w:pPr>
      <w:r>
        <w:rPr>
          <w:rStyle w:val="FootnoteReference"/>
        </w:rPr>
        <w:footnoteRef/>
      </w:r>
      <w:r>
        <w:t xml:space="preserve"> 16 Tex. Admin. Code § 24.129(3) (emphasis added).</w:t>
      </w:r>
    </w:p>
  </w:footnote>
  <w:footnote w:id="168">
    <w:p w:rsidR="00C1697A" w:rsidRDefault="00C1697A" w:rsidP="00B6294E">
      <w:pPr>
        <w:pStyle w:val="FootnoteText"/>
        <w:spacing w:after="120" w:line="240" w:lineRule="auto"/>
      </w:pPr>
      <w:r>
        <w:rPr>
          <w:rStyle w:val="FootnoteReference"/>
        </w:rPr>
        <w:footnoteRef/>
      </w:r>
      <w:r>
        <w:t xml:space="preserve"> 16 Tex. Admin. Code § 24.129(4) (emphasis added).</w:t>
      </w:r>
    </w:p>
  </w:footnote>
  <w:footnote w:id="169">
    <w:p w:rsidR="00C1697A" w:rsidRDefault="00C1697A" w:rsidP="00B6294E">
      <w:pPr>
        <w:pStyle w:val="FootnoteText"/>
        <w:spacing w:after="120" w:line="240" w:lineRule="auto"/>
      </w:pPr>
      <w:r>
        <w:rPr>
          <w:rStyle w:val="FootnoteReference"/>
        </w:rPr>
        <w:footnoteRef/>
      </w:r>
      <w:r>
        <w:t xml:space="preserve"> 16 Tex. Admin. Code § 24.34(b)(1)(A), (c)(2)</w:t>
      </w:r>
    </w:p>
  </w:footnote>
  <w:footnote w:id="170">
    <w:p w:rsidR="00C1697A" w:rsidRDefault="00C1697A" w:rsidP="00B6294E">
      <w:pPr>
        <w:pStyle w:val="FootnoteText"/>
        <w:spacing w:after="120" w:line="240" w:lineRule="auto"/>
      </w:pPr>
      <w:r>
        <w:rPr>
          <w:rStyle w:val="FootnoteReference"/>
        </w:rPr>
        <w:footnoteRef/>
      </w:r>
      <w:r>
        <w:t xml:space="preserve"> 16 Tex. Admin. Code § 24.34(a).</w:t>
      </w:r>
    </w:p>
  </w:footnote>
  <w:footnote w:id="171">
    <w:p w:rsidR="00C1697A" w:rsidRDefault="00C1697A" w:rsidP="00B6294E">
      <w:pPr>
        <w:pStyle w:val="FootnoteText"/>
        <w:spacing w:after="120" w:line="240" w:lineRule="auto"/>
      </w:pPr>
      <w:r>
        <w:rPr>
          <w:rStyle w:val="FootnoteReference"/>
        </w:rPr>
        <w:footnoteRef/>
      </w:r>
      <w:r>
        <w:t xml:space="preserve"> 16 Tex. Admin. Code § 24.34(b), (d).</w:t>
      </w:r>
    </w:p>
  </w:footnote>
  <w:footnote w:id="172">
    <w:p w:rsidR="00C1697A" w:rsidRDefault="00C1697A" w:rsidP="00B6294E">
      <w:pPr>
        <w:pStyle w:val="FootnoteText"/>
        <w:spacing w:after="120" w:line="240" w:lineRule="auto"/>
      </w:pPr>
      <w:r>
        <w:rPr>
          <w:rStyle w:val="FootnoteReference"/>
        </w:rPr>
        <w:footnoteRef/>
      </w:r>
      <w:r>
        <w:t xml:space="preserve"> 16 Tex. Admin. Code § 24.135(b).</w:t>
      </w:r>
    </w:p>
  </w:footnote>
  <w:footnote w:id="173">
    <w:p w:rsidR="00C1697A" w:rsidRDefault="00C1697A" w:rsidP="00B6294E">
      <w:pPr>
        <w:pStyle w:val="FootnoteText"/>
        <w:spacing w:after="120" w:line="240" w:lineRule="auto"/>
      </w:pPr>
      <w:r>
        <w:rPr>
          <w:rStyle w:val="FootnoteReference"/>
        </w:rPr>
        <w:footnoteRef/>
      </w:r>
      <w:r>
        <w:t xml:space="preserve"> 16 Tex. Admin. Code § 24.34(c)(1).</w:t>
      </w:r>
    </w:p>
  </w:footnote>
  <w:footnote w:id="174">
    <w:p w:rsidR="00C1697A" w:rsidRDefault="00C1697A" w:rsidP="00B6294E">
      <w:pPr>
        <w:pStyle w:val="FootnoteText"/>
        <w:spacing w:after="120" w:line="240" w:lineRule="auto"/>
      </w:pPr>
      <w:r>
        <w:rPr>
          <w:rStyle w:val="FootnoteReference"/>
        </w:rPr>
        <w:footnoteRef/>
      </w:r>
      <w:r>
        <w:t xml:space="preserve"> 16 Tex. Admin. Code § 24.34(d)(5).</w:t>
      </w:r>
    </w:p>
  </w:footnote>
  <w:footnote w:id="175">
    <w:p w:rsidR="00C1697A" w:rsidRDefault="00C1697A" w:rsidP="00B6294E">
      <w:pPr>
        <w:pStyle w:val="FootnoteText"/>
        <w:spacing w:after="120" w:line="240" w:lineRule="auto"/>
      </w:pPr>
      <w:r>
        <w:rPr>
          <w:rStyle w:val="FootnoteReference"/>
        </w:rPr>
        <w:footnoteRef/>
      </w:r>
      <w:r>
        <w:t xml:space="preserve"> 16 Tex. Admin. Code § 24.135(b).</w:t>
      </w:r>
    </w:p>
  </w:footnote>
  <w:footnote w:id="176">
    <w:p w:rsidR="00C1697A" w:rsidRDefault="00C1697A" w:rsidP="00B6294E">
      <w:pPr>
        <w:pStyle w:val="FootnoteText"/>
        <w:spacing w:after="120" w:line="240" w:lineRule="auto"/>
      </w:pPr>
      <w:r>
        <w:rPr>
          <w:rStyle w:val="FootnoteReference"/>
        </w:rPr>
        <w:footnoteRef/>
      </w:r>
      <w:r>
        <w:t xml:space="preserve"> 16 Tex. Admin. Code § 24.135(a).</w:t>
      </w:r>
    </w:p>
  </w:footnote>
  <w:footnote w:id="177">
    <w:p w:rsidR="00C1697A" w:rsidRDefault="00C1697A" w:rsidP="00B6294E">
      <w:pPr>
        <w:pStyle w:val="FootnoteText"/>
        <w:spacing w:after="120" w:line="240" w:lineRule="auto"/>
      </w:pPr>
      <w:r>
        <w:rPr>
          <w:rStyle w:val="FootnoteReference"/>
        </w:rPr>
        <w:footnoteRef/>
      </w:r>
      <w:r>
        <w:t xml:space="preserve"> The cash-needs basis is more formally titled “</w:t>
      </w:r>
      <w:r w:rsidRPr="00CF58B7">
        <w:t>Cash Basis calculation of cost of service</w:t>
      </w:r>
      <w:r>
        <w:t>”.  16 Tex. Admin. Code § 24.129(3).</w:t>
      </w:r>
    </w:p>
  </w:footnote>
  <w:footnote w:id="178">
    <w:p w:rsidR="00C1697A" w:rsidRDefault="00C1697A" w:rsidP="00B6294E">
      <w:pPr>
        <w:pStyle w:val="FootnoteText"/>
        <w:spacing w:after="120" w:line="240" w:lineRule="auto"/>
      </w:pPr>
      <w:r>
        <w:rPr>
          <w:rStyle w:val="FootnoteReference"/>
        </w:rPr>
        <w:footnoteRef/>
      </w:r>
      <w:r>
        <w:t xml:space="preserve"> 16 Tex. Admin. Code § 24.129(4).</w:t>
      </w:r>
    </w:p>
  </w:footnote>
  <w:footnote w:id="179">
    <w:p w:rsidR="00C1697A" w:rsidRDefault="00C1697A" w:rsidP="00B6294E">
      <w:pPr>
        <w:pStyle w:val="FootnoteText"/>
        <w:spacing w:after="120" w:line="240" w:lineRule="auto"/>
      </w:pPr>
      <w:r>
        <w:rPr>
          <w:rStyle w:val="FootnoteReference"/>
        </w:rPr>
        <w:footnoteRef/>
      </w:r>
      <w:r>
        <w:t xml:space="preserve"> WTCPUA Ex. 3 (Stowe) at 11-15; Staff Ex. 1 (Graham) at 9; Tr. at 198–99 (Joyce). </w:t>
      </w:r>
    </w:p>
  </w:footnote>
  <w:footnote w:id="180">
    <w:p w:rsidR="00C1697A" w:rsidRDefault="00C1697A" w:rsidP="00B6294E">
      <w:pPr>
        <w:pStyle w:val="FootnoteText"/>
        <w:spacing w:after="120" w:line="240" w:lineRule="auto"/>
      </w:pPr>
      <w:r>
        <w:rPr>
          <w:rStyle w:val="FootnoteReference"/>
        </w:rPr>
        <w:footnoteRef/>
      </w:r>
      <w:r>
        <w:t xml:space="preserve"> WTCPUA Ex. 1, attach. L at 152–53 &amp; attachs. M, N; WTCPUA Ex. 3 at 11-15; Staff Ex. 1 at 9; Tr. at 198</w:t>
      </w:r>
      <w:r>
        <w:softHyphen/>
        <w:t xml:space="preserve">99. </w:t>
      </w:r>
    </w:p>
  </w:footnote>
  <w:footnote w:id="181">
    <w:p w:rsidR="00C1697A" w:rsidRPr="003517FE" w:rsidRDefault="00C1697A" w:rsidP="00B6294E">
      <w:pPr>
        <w:pStyle w:val="FootnoteText"/>
        <w:spacing w:after="120" w:line="240" w:lineRule="auto"/>
      </w:pPr>
      <w:r>
        <w:rPr>
          <w:rStyle w:val="FootnoteReference"/>
        </w:rPr>
        <w:footnoteRef/>
      </w:r>
      <w:r>
        <w:t xml:space="preserve"> </w:t>
      </w:r>
      <w:r w:rsidRPr="00066EE7">
        <w:t xml:space="preserve">methodology. (n.d.) </w:t>
      </w:r>
      <w:r w:rsidRPr="00DA5AC5">
        <w:rPr>
          <w:i/>
        </w:rPr>
        <w:t>American Heritage® Dictionary of the English Language, Fifth Edition</w:t>
      </w:r>
      <w:r w:rsidRPr="00066EE7">
        <w:t>. (2011). Retrieved August 20</w:t>
      </w:r>
      <w:r w:rsidR="00D5528A">
        <w:t>,</w:t>
      </w:r>
      <w:r w:rsidRPr="00066EE7">
        <w:t xml:space="preserve"> 2015 from http://www.thefreedictionary.com/methodology</w:t>
      </w:r>
      <w:r>
        <w:t>.</w:t>
      </w:r>
    </w:p>
  </w:footnote>
  <w:footnote w:id="182">
    <w:p w:rsidR="00C1697A" w:rsidRDefault="00C1697A" w:rsidP="00B6294E">
      <w:pPr>
        <w:pStyle w:val="FootnoteText"/>
        <w:spacing w:after="120" w:line="240" w:lineRule="auto"/>
      </w:pPr>
      <w:r>
        <w:rPr>
          <w:rStyle w:val="FootnoteReference"/>
        </w:rPr>
        <w:footnoteRef/>
      </w:r>
      <w:r>
        <w:t xml:space="preserve"> WTCPUA Ex. 73.</w:t>
      </w:r>
    </w:p>
  </w:footnote>
  <w:footnote w:id="183">
    <w:p w:rsidR="00C1697A" w:rsidRPr="00213124" w:rsidRDefault="00C1697A" w:rsidP="00B6294E">
      <w:pPr>
        <w:pStyle w:val="FootnoteText"/>
        <w:spacing w:after="120" w:line="240" w:lineRule="auto"/>
      </w:pPr>
      <w:r w:rsidRPr="00213124">
        <w:rPr>
          <w:rStyle w:val="FootnoteReference"/>
        </w:rPr>
        <w:footnoteRef/>
      </w:r>
      <w:r>
        <w:t xml:space="preserve"> WTCPUA Ex. 73, ch. I.1 at 4–5.</w:t>
      </w:r>
    </w:p>
  </w:footnote>
  <w:footnote w:id="184">
    <w:p w:rsidR="00C1697A" w:rsidRDefault="00C1697A" w:rsidP="00B6294E">
      <w:pPr>
        <w:pStyle w:val="FootnoteText"/>
        <w:spacing w:after="120" w:line="240" w:lineRule="auto"/>
      </w:pPr>
      <w:r>
        <w:rPr>
          <w:rStyle w:val="FootnoteReference"/>
        </w:rPr>
        <w:footnoteRef/>
      </w:r>
      <w:r>
        <w:t xml:space="preserve"> WTCPUA Ex. 3 at 3–7, attach. A.</w:t>
      </w:r>
    </w:p>
  </w:footnote>
  <w:footnote w:id="185">
    <w:p w:rsidR="00C1697A" w:rsidRDefault="00C1697A" w:rsidP="00B6294E">
      <w:pPr>
        <w:pStyle w:val="FootnoteText"/>
        <w:spacing w:after="120" w:line="240" w:lineRule="auto"/>
      </w:pPr>
      <w:r>
        <w:rPr>
          <w:rStyle w:val="FootnoteReference"/>
        </w:rPr>
        <w:footnoteRef/>
      </w:r>
      <w:r>
        <w:t xml:space="preserve"> Staff Ex. 1 at 3.</w:t>
      </w:r>
    </w:p>
  </w:footnote>
  <w:footnote w:id="186">
    <w:p w:rsidR="00C1697A" w:rsidRDefault="00C1697A" w:rsidP="00B6294E">
      <w:pPr>
        <w:pStyle w:val="FootnoteText"/>
        <w:spacing w:after="120" w:line="240" w:lineRule="auto"/>
      </w:pPr>
      <w:r>
        <w:rPr>
          <w:rStyle w:val="FootnoteReference"/>
        </w:rPr>
        <w:footnoteRef/>
      </w:r>
      <w:r>
        <w:t xml:space="preserve"> Staff Ex. 1.</w:t>
      </w:r>
    </w:p>
  </w:footnote>
  <w:footnote w:id="187">
    <w:p w:rsidR="00C1697A" w:rsidRDefault="00C1697A" w:rsidP="00B6294E">
      <w:pPr>
        <w:pStyle w:val="FootnoteText"/>
        <w:spacing w:after="120" w:line="240" w:lineRule="auto"/>
      </w:pPr>
      <w:r>
        <w:rPr>
          <w:rStyle w:val="FootnoteReference"/>
        </w:rPr>
        <w:footnoteRef/>
      </w:r>
      <w:r>
        <w:t xml:space="preserve"> WTCPUA Ex. 3 at 10; Staff Ex. 1 at 9; Tr. at 419</w:t>
      </w:r>
    </w:p>
  </w:footnote>
  <w:footnote w:id="188">
    <w:p w:rsidR="00C1697A" w:rsidRDefault="00C1697A" w:rsidP="00B6294E">
      <w:pPr>
        <w:pStyle w:val="FootnoteText"/>
        <w:spacing w:after="120" w:line="240" w:lineRule="auto"/>
      </w:pPr>
      <w:r>
        <w:rPr>
          <w:rStyle w:val="FootnoteReference"/>
        </w:rPr>
        <w:footnoteRef/>
      </w:r>
      <w:r>
        <w:t xml:space="preserve"> Tr. at 157–58.</w:t>
      </w:r>
    </w:p>
  </w:footnote>
  <w:footnote w:id="189">
    <w:p w:rsidR="00C1697A" w:rsidRDefault="00C1697A" w:rsidP="00B6294E">
      <w:pPr>
        <w:pStyle w:val="FootnoteText"/>
        <w:spacing w:after="120" w:line="240" w:lineRule="auto"/>
      </w:pPr>
      <w:r>
        <w:rPr>
          <w:rStyle w:val="FootnoteReference"/>
        </w:rPr>
        <w:footnoteRef/>
      </w:r>
      <w:r>
        <w:t xml:space="preserve"> WTCPUA Ex. 73, ch. 1.1 at 5.</w:t>
      </w:r>
    </w:p>
  </w:footnote>
  <w:footnote w:id="190">
    <w:p w:rsidR="00C1697A" w:rsidRDefault="00C1697A" w:rsidP="00B6294E">
      <w:pPr>
        <w:pStyle w:val="FootnoteText"/>
        <w:spacing w:after="120" w:line="240" w:lineRule="auto"/>
      </w:pPr>
      <w:r>
        <w:rPr>
          <w:rStyle w:val="FootnoteReference"/>
        </w:rPr>
        <w:footnoteRef/>
      </w:r>
      <w:r>
        <w:t xml:space="preserve"> WTCPUA Ex. 73, ch. 1.1 at 6.</w:t>
      </w:r>
    </w:p>
  </w:footnote>
  <w:footnote w:id="191">
    <w:p w:rsidR="00C1697A" w:rsidRDefault="00C1697A" w:rsidP="00B6294E">
      <w:pPr>
        <w:pStyle w:val="FootnoteText"/>
        <w:spacing w:after="120" w:line="240" w:lineRule="auto"/>
      </w:pPr>
      <w:r>
        <w:rPr>
          <w:rStyle w:val="FootnoteReference"/>
        </w:rPr>
        <w:footnoteRef/>
      </w:r>
      <w:r>
        <w:t xml:space="preserve"> 16 Tex. Admin. Code §§ 24.31(c)(2)(B)(ii).</w:t>
      </w:r>
    </w:p>
  </w:footnote>
  <w:footnote w:id="192">
    <w:p w:rsidR="00C1697A" w:rsidRDefault="00C1697A" w:rsidP="00B6294E">
      <w:pPr>
        <w:pStyle w:val="FootnoteText"/>
        <w:spacing w:after="120" w:line="240" w:lineRule="auto"/>
      </w:pPr>
      <w:r>
        <w:rPr>
          <w:rStyle w:val="FootnoteReference"/>
        </w:rPr>
        <w:footnoteRef/>
      </w:r>
      <w:r>
        <w:t xml:space="preserve"> 16 Tex. Admin. Code § 24.129(3).</w:t>
      </w:r>
    </w:p>
  </w:footnote>
  <w:footnote w:id="193">
    <w:p w:rsidR="00C1697A" w:rsidRDefault="00C1697A" w:rsidP="00B6294E">
      <w:pPr>
        <w:pStyle w:val="FootnoteText"/>
        <w:spacing w:after="120" w:line="240" w:lineRule="auto"/>
      </w:pPr>
      <w:r>
        <w:rPr>
          <w:rStyle w:val="FootnoteReference"/>
        </w:rPr>
        <w:footnoteRef/>
      </w:r>
      <w:r>
        <w:t xml:space="preserve"> WTCPUA Ex. 73, ch. I.1 at 5.</w:t>
      </w:r>
    </w:p>
  </w:footnote>
  <w:footnote w:id="194">
    <w:p w:rsidR="00C1697A" w:rsidRDefault="00C1697A" w:rsidP="00B6294E">
      <w:pPr>
        <w:pStyle w:val="FootnoteText"/>
        <w:spacing w:after="120" w:line="240" w:lineRule="auto"/>
      </w:pPr>
      <w:r>
        <w:rPr>
          <w:rStyle w:val="FootnoteReference"/>
        </w:rPr>
        <w:footnoteRef/>
      </w:r>
      <w:r>
        <w:t xml:space="preserve"> WTCPUA Ex. 73, ch. I.1 at 5.</w:t>
      </w:r>
    </w:p>
  </w:footnote>
  <w:footnote w:id="195">
    <w:p w:rsidR="00C1697A" w:rsidRDefault="00C1697A" w:rsidP="00B6294E">
      <w:pPr>
        <w:pStyle w:val="FootnoteText"/>
        <w:spacing w:after="120" w:line="240" w:lineRule="auto"/>
      </w:pPr>
      <w:r>
        <w:rPr>
          <w:rStyle w:val="FootnoteReference"/>
        </w:rPr>
        <w:footnoteRef/>
      </w:r>
      <w:r>
        <w:t xml:space="preserve"> 16 Tex. Admin. Code §§ 24.34(c)(1)(A), 24.129(3), (4).</w:t>
      </w:r>
    </w:p>
  </w:footnote>
  <w:footnote w:id="196">
    <w:p w:rsidR="00C1697A" w:rsidRDefault="00C1697A" w:rsidP="00B6294E">
      <w:pPr>
        <w:pStyle w:val="FootnoteText"/>
        <w:spacing w:after="120" w:line="240" w:lineRule="auto"/>
      </w:pPr>
      <w:r>
        <w:rPr>
          <w:rStyle w:val="FootnoteReference"/>
        </w:rPr>
        <w:footnoteRef/>
      </w:r>
      <w:r>
        <w:t xml:space="preserve"> 16 Tex. Admin. Code </w:t>
      </w:r>
      <w:r w:rsidR="005E1C9A">
        <w:t xml:space="preserve">§ </w:t>
      </w:r>
      <w:r>
        <w:t>24.31.</w:t>
      </w:r>
    </w:p>
  </w:footnote>
  <w:footnote w:id="197">
    <w:p w:rsidR="00C1697A" w:rsidRPr="000555D1" w:rsidRDefault="00C1697A" w:rsidP="00B6294E">
      <w:pPr>
        <w:pStyle w:val="FootnoteText"/>
        <w:spacing w:after="120" w:line="240" w:lineRule="auto"/>
        <w:rPr>
          <w:b/>
          <w:i/>
        </w:rPr>
      </w:pPr>
      <w:r>
        <w:rPr>
          <w:rStyle w:val="FootnoteReference"/>
        </w:rPr>
        <w:footnoteRef/>
      </w:r>
      <w:r>
        <w:t xml:space="preserve"> WTCPUA Ex. 1, attach. Q at 209 </w:t>
      </w:r>
    </w:p>
  </w:footnote>
  <w:footnote w:id="198">
    <w:p w:rsidR="00C1697A" w:rsidRPr="00B327DD" w:rsidRDefault="00C1697A" w:rsidP="00B6294E">
      <w:pPr>
        <w:pStyle w:val="FootnoteText"/>
        <w:spacing w:after="120" w:line="240" w:lineRule="auto"/>
        <w:rPr>
          <w:b/>
        </w:rPr>
      </w:pPr>
      <w:r>
        <w:rPr>
          <w:rStyle w:val="FootnoteReference"/>
        </w:rPr>
        <w:footnoteRef/>
      </w:r>
      <w:r>
        <w:t xml:space="preserve"> WTCPUA Ex. 1, attach. R at 2544–46.</w:t>
      </w:r>
    </w:p>
  </w:footnote>
  <w:footnote w:id="199">
    <w:p w:rsidR="00C1697A" w:rsidRDefault="00C1697A" w:rsidP="00B6294E">
      <w:pPr>
        <w:pStyle w:val="FootnoteText"/>
        <w:spacing w:after="120" w:line="240" w:lineRule="auto"/>
      </w:pPr>
      <w:r>
        <w:rPr>
          <w:rStyle w:val="FootnoteReference"/>
        </w:rPr>
        <w:footnoteRef/>
      </w:r>
      <w:r>
        <w:t xml:space="preserve"> TCMUD 12 Ex. 3 at JZ Ex. 5 at 95, 97.</w:t>
      </w:r>
    </w:p>
  </w:footnote>
  <w:footnote w:id="200">
    <w:p w:rsidR="00C1697A" w:rsidRDefault="00C1697A" w:rsidP="00B6294E">
      <w:pPr>
        <w:pStyle w:val="FootnoteText"/>
        <w:spacing w:after="120" w:line="240" w:lineRule="auto"/>
      </w:pPr>
      <w:r>
        <w:rPr>
          <w:rStyle w:val="FootnoteReference"/>
        </w:rPr>
        <w:footnoteRef/>
      </w:r>
      <w:r>
        <w:t xml:space="preserve"> </w:t>
      </w:r>
      <w:r w:rsidRPr="0043063C">
        <w:t>TCMUD 12 Ex. 2, attach. JJJ-</w:t>
      </w:r>
      <w:r>
        <w:t xml:space="preserve">3 through </w:t>
      </w:r>
      <w:r w:rsidRPr="0043063C">
        <w:t>JJJ-16.</w:t>
      </w:r>
    </w:p>
  </w:footnote>
  <w:footnote w:id="201">
    <w:p w:rsidR="00C1697A" w:rsidRDefault="00C1697A" w:rsidP="00B6294E">
      <w:pPr>
        <w:pStyle w:val="FootnoteText"/>
        <w:spacing w:after="120" w:line="240" w:lineRule="auto"/>
      </w:pPr>
      <w:r>
        <w:rPr>
          <w:rStyle w:val="FootnoteReference"/>
        </w:rPr>
        <w:footnoteRef/>
      </w:r>
      <w:r>
        <w:t xml:space="preserve"> TCMUD 12 Ex. 2 at 5, 7–22, JJJ-10, JJJ-15; WTCPUA Ex. 3 at attach. F at 202.</w:t>
      </w:r>
    </w:p>
  </w:footnote>
  <w:footnote w:id="202">
    <w:p w:rsidR="00C1697A" w:rsidRDefault="00C1697A" w:rsidP="00B6294E">
      <w:pPr>
        <w:pStyle w:val="FootnoteText"/>
        <w:spacing w:after="120" w:line="240" w:lineRule="auto"/>
      </w:pPr>
      <w:r>
        <w:rPr>
          <w:rStyle w:val="FootnoteReference"/>
        </w:rPr>
        <w:footnoteRef/>
      </w:r>
      <w:r>
        <w:t xml:space="preserve"> 16 Tex. Admin. Code § 24.129(3).</w:t>
      </w:r>
    </w:p>
  </w:footnote>
  <w:footnote w:id="203">
    <w:p w:rsidR="00C1697A" w:rsidRDefault="00C1697A" w:rsidP="00B6294E">
      <w:pPr>
        <w:pStyle w:val="FootnoteText"/>
        <w:spacing w:after="120" w:line="240" w:lineRule="auto"/>
      </w:pPr>
      <w:r>
        <w:rPr>
          <w:rStyle w:val="FootnoteReference"/>
        </w:rPr>
        <w:footnoteRef/>
      </w:r>
      <w:r>
        <w:t xml:space="preserve"> WTCPUA Ex. 73, ch. 1.1 at 5.</w:t>
      </w:r>
    </w:p>
  </w:footnote>
  <w:footnote w:id="204">
    <w:p w:rsidR="00C1697A" w:rsidRDefault="00C1697A" w:rsidP="00B6294E">
      <w:pPr>
        <w:pStyle w:val="FootnoteText"/>
        <w:spacing w:after="120" w:line="240" w:lineRule="auto"/>
      </w:pPr>
      <w:r>
        <w:rPr>
          <w:rStyle w:val="FootnoteReference"/>
        </w:rPr>
        <w:footnoteRef/>
      </w:r>
      <w:r>
        <w:t xml:space="preserve"> WTCPUA Ex. 3 at 11-15; Staff Ex. 1 at 9; Tr. at 198–99.</w:t>
      </w:r>
    </w:p>
  </w:footnote>
  <w:footnote w:id="205">
    <w:p w:rsidR="00C1697A" w:rsidRDefault="00C1697A" w:rsidP="00B6294E">
      <w:pPr>
        <w:pStyle w:val="FootnoteText"/>
        <w:spacing w:after="120" w:line="240" w:lineRule="auto"/>
      </w:pPr>
      <w:r>
        <w:rPr>
          <w:rStyle w:val="FootnoteReference"/>
        </w:rPr>
        <w:footnoteRef/>
      </w:r>
      <w:r>
        <w:t xml:space="preserve"> 16 Tex. Admin. Code § 24.129(4).</w:t>
      </w:r>
    </w:p>
  </w:footnote>
  <w:footnote w:id="206">
    <w:p w:rsidR="00C1697A" w:rsidRDefault="00C1697A" w:rsidP="00B6294E">
      <w:pPr>
        <w:pStyle w:val="FootnoteText"/>
        <w:spacing w:after="120" w:line="240" w:lineRule="auto"/>
      </w:pPr>
      <w:r>
        <w:rPr>
          <w:rStyle w:val="FootnoteReference"/>
        </w:rPr>
        <w:footnoteRef/>
      </w:r>
      <w:r>
        <w:t xml:space="preserve"> WTCPUA Ex. 73, ch. 1.1 at 5.</w:t>
      </w:r>
    </w:p>
  </w:footnote>
  <w:footnote w:id="207">
    <w:p w:rsidR="00C1697A" w:rsidRDefault="00C1697A" w:rsidP="00B6294E">
      <w:pPr>
        <w:pStyle w:val="FootnoteText"/>
        <w:spacing w:after="120" w:line="240" w:lineRule="auto"/>
      </w:pPr>
      <w:r>
        <w:rPr>
          <w:rStyle w:val="FootnoteReference"/>
        </w:rPr>
        <w:footnoteRef/>
      </w:r>
      <w:r>
        <w:t xml:space="preserve"> 16 Tex. Admin. Code § 24.34(c)(1).</w:t>
      </w:r>
    </w:p>
  </w:footnote>
  <w:footnote w:id="208">
    <w:p w:rsidR="00C1697A" w:rsidRDefault="00C1697A" w:rsidP="00B6294E">
      <w:pPr>
        <w:pStyle w:val="FootnoteText"/>
        <w:spacing w:after="120" w:line="240" w:lineRule="auto"/>
      </w:pPr>
      <w:r>
        <w:rPr>
          <w:rStyle w:val="FootnoteReference"/>
        </w:rPr>
        <w:footnoteRef/>
      </w:r>
      <w:r>
        <w:t xml:space="preserve"> 16 Tex. Admin. Code § 24.135(a).</w:t>
      </w:r>
    </w:p>
  </w:footnote>
  <w:footnote w:id="209">
    <w:p w:rsidR="00C1697A" w:rsidRDefault="00C1697A" w:rsidP="00B6294E">
      <w:pPr>
        <w:pStyle w:val="FootnoteText"/>
        <w:spacing w:after="120" w:line="240" w:lineRule="auto"/>
      </w:pPr>
      <w:r>
        <w:rPr>
          <w:rStyle w:val="FootnoteReference"/>
        </w:rPr>
        <w:footnoteRef/>
      </w:r>
      <w:r>
        <w:t xml:space="preserve"> 16 Tex. Admin. Code § 24.133(b).  The ALJ erred on the side of caution and admitted this evidence to ensure a more complete evidentiary record because the issues are complicated and intertwined.  Additionally, the Commission granted TCMUD 12’s interim appeal of SOAH Order No. 6, which had denied TCMUD 12’s request for discovery of information that the ALJ thought irrelevant because it concerned cost of service.  That ruling suggested the possibility that the Commission might view the prohibition on consideration of cost-of-service analyses more narrowly than the ALJ.</w:t>
      </w:r>
    </w:p>
  </w:footnote>
  <w:footnote w:id="210">
    <w:p w:rsidR="00C1697A" w:rsidRDefault="00C1697A" w:rsidP="00B6294E">
      <w:pPr>
        <w:pStyle w:val="FootnoteText"/>
        <w:spacing w:after="120" w:line="240" w:lineRule="auto"/>
      </w:pPr>
      <w:r>
        <w:rPr>
          <w:rStyle w:val="FootnoteReference"/>
        </w:rPr>
        <w:footnoteRef/>
      </w:r>
      <w:r>
        <w:t xml:space="preserve"> TCMUD 12 Ex. 2 at 12–14.</w:t>
      </w:r>
    </w:p>
  </w:footnote>
  <w:footnote w:id="211">
    <w:p w:rsidR="00C1697A" w:rsidRDefault="00C1697A" w:rsidP="00B6294E">
      <w:pPr>
        <w:pStyle w:val="FootnoteText"/>
        <w:spacing w:after="120" w:line="240" w:lineRule="auto"/>
      </w:pPr>
      <w:r>
        <w:rPr>
          <w:rStyle w:val="FootnoteReference"/>
        </w:rPr>
        <w:footnoteRef/>
      </w:r>
      <w:r>
        <w:t xml:space="preserve">  TCMUD 12 Ex. 2 at 16–18, 21.</w:t>
      </w:r>
    </w:p>
  </w:footnote>
  <w:footnote w:id="212">
    <w:p w:rsidR="00C1697A" w:rsidRDefault="00C1697A" w:rsidP="00B6294E">
      <w:pPr>
        <w:pStyle w:val="FootnoteText"/>
        <w:spacing w:after="120" w:line="240" w:lineRule="auto"/>
      </w:pPr>
      <w:r>
        <w:rPr>
          <w:rStyle w:val="FootnoteReference"/>
        </w:rPr>
        <w:footnoteRef/>
      </w:r>
      <w:r>
        <w:t xml:space="preserve"> TCMUD 12 Ex. 2 at 15.</w:t>
      </w:r>
    </w:p>
  </w:footnote>
  <w:footnote w:id="213">
    <w:p w:rsidR="00C1697A" w:rsidRDefault="00C1697A" w:rsidP="00B6294E">
      <w:pPr>
        <w:pStyle w:val="FootnoteText"/>
        <w:spacing w:after="120" w:line="240" w:lineRule="auto"/>
      </w:pPr>
      <w:r>
        <w:rPr>
          <w:rStyle w:val="FootnoteReference"/>
        </w:rPr>
        <w:footnoteRef/>
      </w:r>
      <w:r>
        <w:t xml:space="preserve"> TCMUD 12 Ex. 2 at 15.</w:t>
      </w:r>
    </w:p>
  </w:footnote>
  <w:footnote w:id="214">
    <w:p w:rsidR="00C1697A" w:rsidRDefault="00C1697A" w:rsidP="00B6294E">
      <w:pPr>
        <w:pStyle w:val="FootnoteText"/>
        <w:spacing w:after="120" w:line="240" w:lineRule="auto"/>
      </w:pPr>
      <w:r>
        <w:rPr>
          <w:rStyle w:val="FootnoteReference"/>
        </w:rPr>
        <w:footnoteRef/>
      </w:r>
      <w:r>
        <w:t xml:space="preserve"> TCMUD 12 Ex. 2 at 15.</w:t>
      </w:r>
    </w:p>
  </w:footnote>
  <w:footnote w:id="215">
    <w:p w:rsidR="00C1697A" w:rsidRDefault="00C1697A" w:rsidP="00B6294E">
      <w:pPr>
        <w:pStyle w:val="FootnoteText"/>
        <w:spacing w:after="120" w:line="240" w:lineRule="auto"/>
      </w:pPr>
      <w:r>
        <w:rPr>
          <w:rStyle w:val="FootnoteReference"/>
        </w:rPr>
        <w:footnoteRef/>
      </w:r>
      <w:r>
        <w:t xml:space="preserve"> WTCPUA Ex. 3 at 23; Staff Ex. 1 at11.</w:t>
      </w:r>
    </w:p>
  </w:footnote>
  <w:footnote w:id="216">
    <w:p w:rsidR="00C1697A" w:rsidRDefault="00C1697A" w:rsidP="00B6294E">
      <w:pPr>
        <w:pStyle w:val="FootnoteText"/>
        <w:spacing w:after="120" w:line="240" w:lineRule="auto"/>
      </w:pPr>
      <w:r>
        <w:rPr>
          <w:rStyle w:val="FootnoteReference"/>
        </w:rPr>
        <w:footnoteRef/>
      </w:r>
      <w:r>
        <w:t xml:space="preserve"> </w:t>
      </w:r>
      <w:r w:rsidRPr="00DA5AC5">
        <w:t xml:space="preserve">analysis. (n.d.) </w:t>
      </w:r>
      <w:r w:rsidRPr="00DA5AC5">
        <w:rPr>
          <w:i/>
        </w:rPr>
        <w:t>American Heritage® Dictionary of the English Language, Fifth Edition</w:t>
      </w:r>
      <w:r>
        <w:t>. (2011). Retrieved August </w:t>
      </w:r>
      <w:r w:rsidRPr="00DA5AC5">
        <w:t>21</w:t>
      </w:r>
      <w:r>
        <w:t>,</w:t>
      </w:r>
      <w:r w:rsidRPr="00DA5AC5">
        <w:t xml:space="preserve"> 2015 from http://www.thefreedictionary.com/analysis.</w:t>
      </w:r>
    </w:p>
  </w:footnote>
  <w:footnote w:id="217">
    <w:p w:rsidR="00C1697A" w:rsidRPr="00213124" w:rsidRDefault="00C1697A" w:rsidP="00B6294E">
      <w:pPr>
        <w:pStyle w:val="FootnoteText"/>
        <w:spacing w:after="120" w:line="240" w:lineRule="auto"/>
      </w:pPr>
      <w:r w:rsidRPr="00213124">
        <w:rPr>
          <w:rStyle w:val="FootnoteReference"/>
        </w:rPr>
        <w:footnoteRef/>
      </w:r>
      <w:r>
        <w:t xml:space="preserve"> WTCPUA Ex. 73, ch. I.1 at 4.</w:t>
      </w:r>
    </w:p>
  </w:footnote>
  <w:footnote w:id="218">
    <w:p w:rsidR="00C1697A" w:rsidRDefault="00C1697A" w:rsidP="00B6294E">
      <w:pPr>
        <w:pStyle w:val="FootnoteText"/>
        <w:spacing w:after="120" w:line="240" w:lineRule="auto"/>
      </w:pPr>
      <w:r>
        <w:rPr>
          <w:rStyle w:val="FootnoteReference"/>
        </w:rPr>
        <w:footnoteRef/>
      </w:r>
      <w:r>
        <w:t xml:space="preserve"> </w:t>
      </w:r>
      <w:r w:rsidRPr="003C6D34">
        <w:rPr>
          <w:i/>
        </w:rPr>
        <w:t>Compare</w:t>
      </w:r>
      <w:r>
        <w:t xml:space="preserve"> 16 Tex. Admin. Code § 24.133 </w:t>
      </w:r>
      <w:r w:rsidRPr="003C6D34">
        <w:rPr>
          <w:i/>
        </w:rPr>
        <w:t>to</w:t>
      </w:r>
      <w:r>
        <w:t xml:space="preserve"> 30 Tex. Admin. Code § 291.133 [19 Tex. Reg. 6227, 6231 (Aug. 9, 1994)].  </w:t>
      </w:r>
      <w:r w:rsidRPr="003C6D34">
        <w:t xml:space="preserve">On September 1, </w:t>
      </w:r>
      <w:r>
        <w:t xml:space="preserve">2002, TNRCC </w:t>
      </w:r>
      <w:r w:rsidRPr="003C6D34">
        <w:t>formally change</w:t>
      </w:r>
      <w:r>
        <w:t>d</w:t>
      </w:r>
      <w:r w:rsidRPr="003C6D34">
        <w:t xml:space="preserve"> its name and beg</w:t>
      </w:r>
      <w:r>
        <w:t>an doing business as TCEQ</w:t>
      </w:r>
      <w:r w:rsidRPr="003C6D34">
        <w:t>.</w:t>
      </w:r>
      <w:r>
        <w:t xml:space="preserve">  </w:t>
      </w:r>
      <w:r w:rsidRPr="00B8340C">
        <w:t>http://www.tceq.state.tx.us/about/tceqhistory.html</w:t>
      </w:r>
      <w:r>
        <w:t>.</w:t>
      </w:r>
    </w:p>
  </w:footnote>
  <w:footnote w:id="219">
    <w:p w:rsidR="00C1697A" w:rsidRDefault="00C1697A" w:rsidP="00B6294E">
      <w:pPr>
        <w:pStyle w:val="FootnoteText"/>
        <w:spacing w:after="120" w:line="240" w:lineRule="auto"/>
      </w:pPr>
      <w:r>
        <w:rPr>
          <w:rStyle w:val="FootnoteReference"/>
        </w:rPr>
        <w:footnoteRef/>
      </w:r>
      <w:r>
        <w:t xml:space="preserve"> WTCPUA Ex. 76 (preamble to adoption of 30 </w:t>
      </w:r>
      <w:r w:rsidRPr="00213124">
        <w:t>T</w:t>
      </w:r>
      <w:r>
        <w:t xml:space="preserve">ex. Admin. Code §§ 291.128-291.138, 19 Tex. Reg. 6227, </w:t>
      </w:r>
      <w:r>
        <w:br/>
        <w:t>6228–29 (Aug. 9, 1994)).</w:t>
      </w:r>
    </w:p>
  </w:footnote>
  <w:footnote w:id="220">
    <w:p w:rsidR="00C1697A" w:rsidRDefault="00C1697A" w:rsidP="00B6294E">
      <w:pPr>
        <w:pStyle w:val="FootnoteText"/>
        <w:spacing w:after="120" w:line="240" w:lineRule="auto"/>
      </w:pPr>
      <w:r>
        <w:rPr>
          <w:rStyle w:val="FootnoteReference"/>
        </w:rPr>
        <w:footnoteRef/>
      </w:r>
      <w:r w:rsidRPr="00B0735D">
        <w:t xml:space="preserve"> 39 Tex</w:t>
      </w:r>
      <w:r>
        <w:t xml:space="preserve">. </w:t>
      </w:r>
      <w:r w:rsidRPr="00B0735D">
        <w:t>Reg</w:t>
      </w:r>
      <w:r>
        <w:t>.</w:t>
      </w:r>
      <w:r w:rsidRPr="00B0735D">
        <w:t xml:space="preserve"> 2667, 2720–22 (</w:t>
      </w:r>
      <w:r>
        <w:t>A</w:t>
      </w:r>
      <w:r w:rsidRPr="00B0735D">
        <w:t>pr. 11, 2014).</w:t>
      </w:r>
    </w:p>
  </w:footnote>
  <w:footnote w:id="221">
    <w:p w:rsidR="00C1697A" w:rsidRDefault="00C1697A" w:rsidP="00B6294E">
      <w:pPr>
        <w:pStyle w:val="FootnoteText"/>
        <w:spacing w:after="120" w:line="240" w:lineRule="auto"/>
      </w:pPr>
      <w:r>
        <w:rPr>
          <w:rStyle w:val="FootnoteReference"/>
        </w:rPr>
        <w:footnoteRef/>
      </w:r>
      <w:r>
        <w:t xml:space="preserve"> </w:t>
      </w:r>
      <w:r w:rsidRPr="00B0735D">
        <w:t>39 Tex</w:t>
      </w:r>
      <w:r>
        <w:t xml:space="preserve">. </w:t>
      </w:r>
      <w:r w:rsidRPr="00B0735D">
        <w:t>Reg</w:t>
      </w:r>
      <w:r>
        <w:t>.</w:t>
      </w:r>
      <w:r w:rsidRPr="00B0735D">
        <w:t xml:space="preserve"> 5903</w:t>
      </w:r>
      <w:r>
        <w:t>, 5939–40 (</w:t>
      </w:r>
      <w:r w:rsidRPr="00B0735D">
        <w:t>Aug</w:t>
      </w:r>
      <w:r>
        <w:t>. 1, 2014).</w:t>
      </w:r>
    </w:p>
  </w:footnote>
  <w:footnote w:id="222">
    <w:p w:rsidR="00C1697A" w:rsidRDefault="00C1697A" w:rsidP="00B6294E">
      <w:pPr>
        <w:pStyle w:val="FootnoteText"/>
        <w:spacing w:after="120" w:line="240" w:lineRule="auto"/>
      </w:pPr>
      <w:r>
        <w:rPr>
          <w:rStyle w:val="FootnoteReference"/>
        </w:rPr>
        <w:footnoteRef/>
      </w:r>
      <w:r>
        <w:t xml:space="preserve"> TCMUD 12 Ex. 2 at 5, 7–10, 18–22.</w:t>
      </w:r>
    </w:p>
  </w:footnote>
  <w:footnote w:id="223">
    <w:p w:rsidR="00C1697A" w:rsidRDefault="00C1697A" w:rsidP="00B6294E">
      <w:pPr>
        <w:pStyle w:val="FootnoteText"/>
        <w:spacing w:after="120" w:line="240" w:lineRule="auto"/>
      </w:pPr>
      <w:r>
        <w:rPr>
          <w:rStyle w:val="FootnoteReference"/>
        </w:rPr>
        <w:footnoteRef/>
      </w:r>
      <w:r>
        <w:t xml:space="preserve"> TCMUD 12 Ex. 2 at 20.</w:t>
      </w:r>
    </w:p>
  </w:footnote>
  <w:footnote w:id="224">
    <w:p w:rsidR="00C1697A" w:rsidRPr="002F3C99" w:rsidRDefault="00C1697A" w:rsidP="00B6294E">
      <w:pPr>
        <w:pStyle w:val="FootnoteText"/>
        <w:spacing w:after="120" w:line="240" w:lineRule="auto"/>
        <w:rPr>
          <w:b/>
          <w:i/>
        </w:rPr>
      </w:pPr>
      <w:r>
        <w:rPr>
          <w:rStyle w:val="FootnoteReference"/>
        </w:rPr>
        <w:footnoteRef/>
      </w:r>
      <w:r>
        <w:t xml:space="preserve"> TCMUD 12 Ex. 2 at 20; </w:t>
      </w:r>
      <w:r w:rsidRPr="00D967B0">
        <w:rPr>
          <w:i/>
        </w:rPr>
        <w:t>see</w:t>
      </w:r>
      <w:r w:rsidRPr="00894D84">
        <w:rPr>
          <w:i/>
        </w:rPr>
        <w:t xml:space="preserve"> also </w:t>
      </w:r>
      <w:r>
        <w:t>WTCPUA Ex. 3, attach. F at 202.</w:t>
      </w:r>
    </w:p>
  </w:footnote>
  <w:footnote w:id="225">
    <w:p w:rsidR="00C1697A" w:rsidRPr="002F3C99" w:rsidRDefault="00C1697A" w:rsidP="00B6294E">
      <w:pPr>
        <w:pStyle w:val="FootnoteText"/>
        <w:spacing w:after="120" w:line="240" w:lineRule="auto"/>
        <w:rPr>
          <w:b/>
          <w:i/>
        </w:rPr>
      </w:pPr>
      <w:r>
        <w:rPr>
          <w:rStyle w:val="FootnoteReference"/>
        </w:rPr>
        <w:footnoteRef/>
      </w:r>
      <w:r>
        <w:t xml:space="preserve"> TCMUD 12 Ex. 2 at </w:t>
      </w:r>
      <w:r w:rsidRPr="00964908">
        <w:t>20</w:t>
      </w:r>
      <w:r>
        <w:t xml:space="preserve"> &amp; JJJ-14 at 9501; </w:t>
      </w:r>
      <w:r>
        <w:rPr>
          <w:i/>
        </w:rPr>
        <w:t>s</w:t>
      </w:r>
      <w:r w:rsidRPr="00D967B0">
        <w:rPr>
          <w:i/>
        </w:rPr>
        <w:t>ee also</w:t>
      </w:r>
      <w:r>
        <w:t xml:space="preserve"> WTCPUA Ex. 3, attach. G at 204–06.</w:t>
      </w:r>
    </w:p>
  </w:footnote>
  <w:footnote w:id="226">
    <w:p w:rsidR="00C1697A" w:rsidRDefault="00C1697A" w:rsidP="00B6294E">
      <w:pPr>
        <w:pStyle w:val="FootnoteText"/>
        <w:spacing w:after="120" w:line="240" w:lineRule="auto"/>
      </w:pPr>
      <w:r>
        <w:rPr>
          <w:rStyle w:val="FootnoteReference"/>
        </w:rPr>
        <w:footnoteRef/>
      </w:r>
      <w:r>
        <w:t xml:space="preserve"> TCMUD 12 Ex. 2 at 20.</w:t>
      </w:r>
    </w:p>
  </w:footnote>
  <w:footnote w:id="227">
    <w:p w:rsidR="00C1697A" w:rsidRDefault="00C1697A" w:rsidP="00B6294E">
      <w:pPr>
        <w:pStyle w:val="FootnoteText"/>
        <w:spacing w:after="120" w:line="240" w:lineRule="auto"/>
      </w:pPr>
      <w:r>
        <w:rPr>
          <w:rStyle w:val="FootnoteReference"/>
        </w:rPr>
        <w:footnoteRef/>
      </w:r>
      <w:r>
        <w:t xml:space="preserve"> TCMUD 12 Ex. 2 at 18–20 &amp; JJJ-12.</w:t>
      </w:r>
    </w:p>
  </w:footnote>
  <w:footnote w:id="228">
    <w:p w:rsidR="00C1697A" w:rsidRDefault="00C1697A" w:rsidP="00B6294E">
      <w:pPr>
        <w:pStyle w:val="FootnoteText"/>
        <w:spacing w:after="120" w:line="240" w:lineRule="auto"/>
      </w:pPr>
      <w:r>
        <w:rPr>
          <w:rStyle w:val="FootnoteReference"/>
        </w:rPr>
        <w:footnoteRef/>
      </w:r>
      <w:r>
        <w:t xml:space="preserve">  TCMUD 12 Ex. 2 at 21 &amp; JJJ-15.</w:t>
      </w:r>
    </w:p>
  </w:footnote>
  <w:footnote w:id="229">
    <w:p w:rsidR="00C1697A" w:rsidRDefault="00C1697A" w:rsidP="00B6294E">
      <w:pPr>
        <w:pStyle w:val="FootnoteText"/>
        <w:spacing w:after="120" w:line="240" w:lineRule="auto"/>
      </w:pPr>
      <w:r>
        <w:rPr>
          <w:rStyle w:val="FootnoteReference"/>
        </w:rPr>
        <w:footnoteRef/>
      </w:r>
      <w:r>
        <w:t xml:space="preserve"> WTCPUA Ex. 3 at 17–19.</w:t>
      </w:r>
    </w:p>
  </w:footnote>
  <w:footnote w:id="230">
    <w:p w:rsidR="00C1697A" w:rsidRDefault="00C1697A" w:rsidP="00B6294E">
      <w:pPr>
        <w:pStyle w:val="FootnoteText"/>
        <w:spacing w:after="120" w:line="240" w:lineRule="auto"/>
      </w:pPr>
      <w:r>
        <w:rPr>
          <w:rStyle w:val="FootnoteReference"/>
        </w:rPr>
        <w:footnoteRef/>
      </w:r>
      <w:r>
        <w:t xml:space="preserve"> Staff Ex. 1 at 11.</w:t>
      </w:r>
    </w:p>
  </w:footnote>
  <w:footnote w:id="231">
    <w:p w:rsidR="00C1697A" w:rsidRDefault="00C1697A" w:rsidP="00B6294E">
      <w:pPr>
        <w:pStyle w:val="FootnoteText"/>
        <w:spacing w:after="120" w:line="240" w:lineRule="auto"/>
      </w:pPr>
      <w:r>
        <w:rPr>
          <w:rStyle w:val="FootnoteReference"/>
        </w:rPr>
        <w:footnoteRef/>
      </w:r>
      <w:r>
        <w:t xml:space="preserve"> Staff Ex. 1 at 11.</w:t>
      </w:r>
    </w:p>
  </w:footnote>
  <w:footnote w:id="232">
    <w:p w:rsidR="00C1697A" w:rsidRDefault="00C1697A" w:rsidP="00B6294E">
      <w:pPr>
        <w:pStyle w:val="FootnoteText"/>
        <w:spacing w:after="120" w:line="240" w:lineRule="auto"/>
      </w:pPr>
      <w:r>
        <w:rPr>
          <w:rStyle w:val="FootnoteReference"/>
        </w:rPr>
        <w:footnoteRef/>
      </w:r>
      <w:r>
        <w:t xml:space="preserve"> WTCPUA Ex. 73, ch. I.1 at 5 &amp; ch. IV.1 at 91.</w:t>
      </w:r>
    </w:p>
  </w:footnote>
  <w:footnote w:id="233">
    <w:p w:rsidR="00C1697A" w:rsidRDefault="00C1697A" w:rsidP="00B6294E">
      <w:pPr>
        <w:pStyle w:val="FootnoteText"/>
        <w:spacing w:after="120" w:line="240" w:lineRule="auto"/>
      </w:pPr>
      <w:r>
        <w:rPr>
          <w:rStyle w:val="FootnoteReference"/>
        </w:rPr>
        <w:footnoteRef/>
      </w:r>
      <w:r>
        <w:t xml:space="preserve"> 16 Tex. Admin. Code § 24.14, .32, .34, .122, .124.</w:t>
      </w:r>
    </w:p>
  </w:footnote>
  <w:footnote w:id="234">
    <w:p w:rsidR="00C1697A" w:rsidRDefault="00C1697A" w:rsidP="00B6294E">
      <w:pPr>
        <w:pStyle w:val="FootnoteText"/>
        <w:spacing w:after="120" w:line="240" w:lineRule="auto"/>
      </w:pPr>
      <w:r>
        <w:rPr>
          <w:rStyle w:val="FootnoteReference"/>
        </w:rPr>
        <w:footnoteRef/>
      </w:r>
      <w:r>
        <w:t xml:space="preserve"> 16 Tex. Admin. Code § 24.32(b).</w:t>
      </w:r>
    </w:p>
  </w:footnote>
  <w:footnote w:id="235">
    <w:p w:rsidR="00C1697A" w:rsidRDefault="00C1697A" w:rsidP="00B6294E">
      <w:pPr>
        <w:pStyle w:val="FootnoteText"/>
        <w:spacing w:after="120" w:line="240" w:lineRule="auto"/>
      </w:pPr>
      <w:r>
        <w:rPr>
          <w:rStyle w:val="FootnoteReference"/>
        </w:rPr>
        <w:footnoteRef/>
      </w:r>
      <w:r>
        <w:t xml:space="preserve"> 16 Tex. Admin. Code § 24.34(c).</w:t>
      </w:r>
    </w:p>
  </w:footnote>
  <w:footnote w:id="236">
    <w:p w:rsidR="00C1697A" w:rsidRDefault="00C1697A" w:rsidP="00B6294E">
      <w:pPr>
        <w:pStyle w:val="FootnoteText"/>
        <w:spacing w:after="120" w:line="240" w:lineRule="auto"/>
      </w:pPr>
      <w:r>
        <w:rPr>
          <w:rStyle w:val="FootnoteReference"/>
        </w:rPr>
        <w:footnoteRef/>
      </w:r>
      <w:r>
        <w:t xml:space="preserve"> </w:t>
      </w:r>
      <w:r w:rsidRPr="00DB50B9">
        <w:rPr>
          <w:i/>
        </w:rPr>
        <w:t>Appeal of Navarro County Wholesale Ratepayers to Review the Wholesale Rate Increase Imposed by the City of Corsicana, Certificate of Convenience and Necessity No. 10776, in Navarro County</w:t>
      </w:r>
      <w:r w:rsidRPr="00DB50B9">
        <w:t xml:space="preserve">, SOAH Docket No. 582-10-1944; TCEQ Docket No. 2009-1925-UCR, PFD at </w:t>
      </w:r>
      <w:r>
        <w:t>50</w:t>
      </w:r>
      <w:r w:rsidRPr="00DB50B9">
        <w:t xml:space="preserve"> (Aug. 17, 2011).  </w:t>
      </w:r>
    </w:p>
  </w:footnote>
  <w:footnote w:id="237">
    <w:p w:rsidR="00C1697A" w:rsidRDefault="00C1697A" w:rsidP="00B6294E">
      <w:pPr>
        <w:pStyle w:val="FootnoteText"/>
        <w:spacing w:after="120" w:line="240" w:lineRule="auto"/>
      </w:pPr>
      <w:r>
        <w:rPr>
          <w:rStyle w:val="FootnoteReference"/>
        </w:rPr>
        <w:footnoteRef/>
      </w:r>
      <w:r>
        <w:t xml:space="preserve"> </w:t>
      </w:r>
      <w:r w:rsidRPr="00897F90">
        <w:rPr>
          <w:i/>
        </w:rPr>
        <w:t>An Order Denying the Petitions of Navarro County Wholesale Ratepayers, et al. to Review the Wholesale Rate Increase Imposed by the City of Corsicana</w:t>
      </w:r>
      <w:r>
        <w:t xml:space="preserve">, </w:t>
      </w:r>
      <w:r w:rsidRPr="00897F90">
        <w:t>TCEQ Docket No. 2009-1925-UCR, SOAH Docket No. 582-10-1944</w:t>
      </w:r>
      <w:r>
        <w:t>,</w:t>
      </w:r>
      <w:r w:rsidRPr="00897F90">
        <w:t xml:space="preserve"> </w:t>
      </w:r>
      <w:r>
        <w:t>Finding of Fact 69 at 12</w:t>
      </w:r>
      <w:r w:rsidRPr="00897F90">
        <w:t xml:space="preserve"> (</w:t>
      </w:r>
      <w:r>
        <w:t xml:space="preserve">Nov. 9, 2011).  </w:t>
      </w:r>
    </w:p>
  </w:footnote>
  <w:footnote w:id="238">
    <w:p w:rsidR="00C1697A" w:rsidRDefault="00C1697A" w:rsidP="00B6294E">
      <w:pPr>
        <w:pStyle w:val="FootnoteText"/>
        <w:spacing w:after="120" w:line="240" w:lineRule="auto"/>
      </w:pPr>
      <w:r>
        <w:rPr>
          <w:rStyle w:val="FootnoteReference"/>
        </w:rPr>
        <w:footnoteRef/>
      </w:r>
      <w:r>
        <w:t xml:space="preserve"> </w:t>
      </w:r>
      <w:r w:rsidRPr="005554F1">
        <w:rPr>
          <w:i/>
        </w:rPr>
        <w:t>Compare</w:t>
      </w:r>
      <w:r>
        <w:t xml:space="preserve"> WTCPUA Ex. 3, </w:t>
      </w:r>
      <w:r w:rsidRPr="005554F1">
        <w:t xml:space="preserve">attach. F at 202 </w:t>
      </w:r>
      <w:r w:rsidRPr="005554F1">
        <w:rPr>
          <w:i/>
        </w:rPr>
        <w:t>to</w:t>
      </w:r>
      <w:r>
        <w:t xml:space="preserve"> WTCPUA Ex. 3, </w:t>
      </w:r>
      <w:r w:rsidRPr="005554F1">
        <w:t>at</w:t>
      </w:r>
      <w:r>
        <w:t xml:space="preserve">tach. G at 205–06 &amp; </w:t>
      </w:r>
      <w:r w:rsidRPr="005554F1">
        <w:t>TCMUD</w:t>
      </w:r>
      <w:r>
        <w:t> </w:t>
      </w:r>
      <w:r w:rsidRPr="005554F1">
        <w:t>12 Ex. 1 at JAD 13 at 399.</w:t>
      </w:r>
    </w:p>
  </w:footnote>
  <w:footnote w:id="239">
    <w:p w:rsidR="00C1697A" w:rsidRDefault="00C1697A" w:rsidP="00B6294E">
      <w:pPr>
        <w:pStyle w:val="FootnoteText"/>
        <w:spacing w:after="120" w:line="240" w:lineRule="auto"/>
      </w:pPr>
      <w:r>
        <w:rPr>
          <w:rStyle w:val="FootnoteReference"/>
        </w:rPr>
        <w:footnoteRef/>
      </w:r>
      <w:r>
        <w:t xml:space="preserve"> </w:t>
      </w:r>
      <w:r w:rsidRPr="005554F1">
        <w:rPr>
          <w:i/>
        </w:rPr>
        <w:t>Compare</w:t>
      </w:r>
      <w:r>
        <w:t xml:space="preserve"> WTCPUA Ex. 3, </w:t>
      </w:r>
      <w:r w:rsidRPr="005554F1">
        <w:t xml:space="preserve">attach. F at 202 </w:t>
      </w:r>
      <w:r w:rsidRPr="005554F1">
        <w:rPr>
          <w:i/>
        </w:rPr>
        <w:t>to</w:t>
      </w:r>
      <w:r>
        <w:t xml:space="preserve"> WTCPUA Ex. 3, </w:t>
      </w:r>
      <w:r w:rsidRPr="005554F1">
        <w:t>at</w:t>
      </w:r>
      <w:r>
        <w:t xml:space="preserve">tach. G at 205–06 &amp; </w:t>
      </w:r>
      <w:r w:rsidRPr="005554F1">
        <w:t>TCMUD</w:t>
      </w:r>
      <w:r>
        <w:t> </w:t>
      </w:r>
      <w:r w:rsidRPr="005554F1">
        <w:t>12 Ex. 1 at JAD 13 at 399.</w:t>
      </w:r>
    </w:p>
  </w:footnote>
  <w:footnote w:id="240">
    <w:p w:rsidR="00C1697A" w:rsidRDefault="00C1697A" w:rsidP="00B6294E">
      <w:pPr>
        <w:pStyle w:val="FootnoteText"/>
        <w:spacing w:after="120" w:line="240" w:lineRule="auto"/>
      </w:pPr>
      <w:r>
        <w:rPr>
          <w:rStyle w:val="FootnoteReference"/>
        </w:rPr>
        <w:footnoteRef/>
      </w:r>
      <w:r>
        <w:t xml:space="preserve"> WTCPUA Ex. 3, attach. F at 202.</w:t>
      </w:r>
    </w:p>
  </w:footnote>
  <w:footnote w:id="241">
    <w:p w:rsidR="00C1697A" w:rsidRDefault="00C1697A" w:rsidP="00B6294E">
      <w:pPr>
        <w:pStyle w:val="FootnoteText"/>
        <w:spacing w:after="120" w:line="240" w:lineRule="auto"/>
      </w:pPr>
      <w:r>
        <w:rPr>
          <w:rStyle w:val="FootnoteReference"/>
        </w:rPr>
        <w:footnoteRef/>
      </w:r>
      <w:r>
        <w:t xml:space="preserve"> WTCPUA Ex. 3, </w:t>
      </w:r>
      <w:r w:rsidRPr="005554F1">
        <w:t>at</w:t>
      </w:r>
      <w:r>
        <w:t>tach. G at Bates 205–06.</w:t>
      </w:r>
    </w:p>
  </w:footnote>
  <w:footnote w:id="242">
    <w:p w:rsidR="00C1697A" w:rsidRDefault="00C1697A" w:rsidP="00B6294E">
      <w:pPr>
        <w:pStyle w:val="FootnoteText"/>
        <w:spacing w:after="120" w:line="240" w:lineRule="auto"/>
      </w:pPr>
      <w:r>
        <w:rPr>
          <w:rStyle w:val="FootnoteReference"/>
        </w:rPr>
        <w:footnoteRef/>
      </w:r>
      <w:r>
        <w:t xml:space="preserve"> TCMUD 12 Ex. 2 at 20.</w:t>
      </w:r>
    </w:p>
  </w:footnote>
  <w:footnote w:id="243">
    <w:p w:rsidR="00C1697A" w:rsidRDefault="00C1697A" w:rsidP="00B6294E">
      <w:pPr>
        <w:pStyle w:val="FootnoteText"/>
        <w:spacing w:after="120" w:line="240" w:lineRule="auto"/>
      </w:pPr>
      <w:r>
        <w:rPr>
          <w:rStyle w:val="FootnoteReference"/>
        </w:rPr>
        <w:footnoteRef/>
      </w:r>
      <w:r>
        <w:t xml:space="preserve"> TCMUD 12 Ex. 2 at 18–21, JJJ-12, JJJ-15.</w:t>
      </w:r>
    </w:p>
  </w:footnote>
  <w:footnote w:id="244">
    <w:p w:rsidR="00C1697A" w:rsidRDefault="00C1697A" w:rsidP="00B6294E">
      <w:pPr>
        <w:pStyle w:val="FootnoteText"/>
        <w:spacing w:after="120" w:line="240" w:lineRule="auto"/>
      </w:pPr>
      <w:r>
        <w:rPr>
          <w:rStyle w:val="FootnoteReference"/>
        </w:rPr>
        <w:footnoteRef/>
      </w:r>
      <w:r>
        <w:t xml:space="preserve"> TCMUD 12 Ex. 2 at 19–21, JJJ-12, JJJ-15.</w:t>
      </w:r>
    </w:p>
  </w:footnote>
  <w:footnote w:id="245">
    <w:p w:rsidR="00C1697A" w:rsidRPr="00213124" w:rsidRDefault="00C1697A" w:rsidP="00B6294E">
      <w:pPr>
        <w:pStyle w:val="FootnoteText"/>
        <w:spacing w:after="120" w:line="240" w:lineRule="auto"/>
      </w:pPr>
      <w:r w:rsidRPr="00213124">
        <w:rPr>
          <w:rStyle w:val="FootnoteReference"/>
        </w:rPr>
        <w:footnoteRef/>
      </w:r>
      <w:r>
        <w:t xml:space="preserve"> WTCPUA Ex. 73, ch. I.1 at 4–5.</w:t>
      </w:r>
    </w:p>
  </w:footnote>
  <w:footnote w:id="246">
    <w:p w:rsidR="00C1697A" w:rsidRDefault="00C1697A" w:rsidP="00B6294E">
      <w:pPr>
        <w:pStyle w:val="FootnoteText"/>
        <w:spacing w:after="120" w:line="240" w:lineRule="auto"/>
      </w:pPr>
      <w:r>
        <w:rPr>
          <w:rStyle w:val="FootnoteReference"/>
        </w:rPr>
        <w:footnoteRef/>
      </w:r>
      <w:r>
        <w:t xml:space="preserve"> TCMUD Ex. 3 at JZ Ex. 1.</w:t>
      </w:r>
    </w:p>
  </w:footnote>
  <w:footnote w:id="247">
    <w:p w:rsidR="00C1697A" w:rsidRDefault="00C1697A" w:rsidP="00B6294E">
      <w:pPr>
        <w:pStyle w:val="FootnoteText"/>
        <w:spacing w:after="120" w:line="240" w:lineRule="auto"/>
      </w:pPr>
      <w:r>
        <w:rPr>
          <w:rStyle w:val="FootnoteReference"/>
        </w:rPr>
        <w:footnoteRef/>
      </w:r>
      <w:r>
        <w:t xml:space="preserve"> Emphasis added by ALJ.</w:t>
      </w:r>
    </w:p>
  </w:footnote>
  <w:footnote w:id="248">
    <w:p w:rsidR="00C1697A" w:rsidRDefault="00C1697A" w:rsidP="00B6294E">
      <w:pPr>
        <w:pStyle w:val="FootnoteText"/>
        <w:spacing w:after="120" w:line="240" w:lineRule="auto"/>
      </w:pPr>
      <w:r>
        <w:rPr>
          <w:rStyle w:val="FootnoteReference"/>
        </w:rPr>
        <w:footnoteRef/>
      </w:r>
      <w:r>
        <w:t xml:space="preserve"> TCMUD 12 at 10–11.</w:t>
      </w:r>
    </w:p>
  </w:footnote>
  <w:footnote w:id="249">
    <w:p w:rsidR="00C1697A" w:rsidRDefault="00C1697A" w:rsidP="00B6294E">
      <w:pPr>
        <w:pStyle w:val="FootnoteText"/>
        <w:spacing w:after="120" w:line="240" w:lineRule="auto"/>
      </w:pPr>
      <w:r>
        <w:rPr>
          <w:rStyle w:val="FootnoteReference"/>
        </w:rPr>
        <w:footnoteRef/>
      </w:r>
      <w:r>
        <w:t xml:space="preserve"> TCMUD 12 Ex. 3 at 7–8.</w:t>
      </w:r>
    </w:p>
  </w:footnote>
  <w:footnote w:id="250">
    <w:p w:rsidR="00C1697A" w:rsidRDefault="00C1697A" w:rsidP="00B6294E">
      <w:pPr>
        <w:pStyle w:val="FootnoteText"/>
        <w:spacing w:after="120" w:line="240" w:lineRule="auto"/>
      </w:pPr>
      <w:r>
        <w:rPr>
          <w:rStyle w:val="FootnoteReference"/>
        </w:rPr>
        <w:footnoteRef/>
      </w:r>
      <w:r>
        <w:t xml:space="preserve"> TCMUD 12 Ex. 3 at 6.</w:t>
      </w:r>
    </w:p>
  </w:footnote>
  <w:footnote w:id="251">
    <w:p w:rsidR="00C1697A" w:rsidRDefault="00C1697A" w:rsidP="00B6294E">
      <w:pPr>
        <w:pStyle w:val="FootnoteText"/>
        <w:spacing w:after="120" w:line="240" w:lineRule="auto"/>
      </w:pPr>
      <w:r>
        <w:rPr>
          <w:rStyle w:val="FootnoteReference"/>
        </w:rPr>
        <w:footnoteRef/>
      </w:r>
      <w:r>
        <w:t xml:space="preserve"> TCMUD 12 Ex. 3 at 6.</w:t>
      </w:r>
    </w:p>
  </w:footnote>
  <w:footnote w:id="252">
    <w:p w:rsidR="00C1697A" w:rsidRDefault="00C1697A" w:rsidP="00B6294E">
      <w:pPr>
        <w:pStyle w:val="FootnoteText"/>
        <w:spacing w:after="120" w:line="240" w:lineRule="auto"/>
      </w:pPr>
      <w:r>
        <w:rPr>
          <w:rStyle w:val="FootnoteReference"/>
        </w:rPr>
        <w:footnoteRef/>
      </w:r>
      <w:r>
        <w:t xml:space="preserve"> TCMUD 12 Ex. 3 at 6.</w:t>
      </w:r>
    </w:p>
  </w:footnote>
  <w:footnote w:id="253">
    <w:p w:rsidR="00C1697A" w:rsidRDefault="00C1697A" w:rsidP="00B6294E">
      <w:pPr>
        <w:pStyle w:val="FootnoteText"/>
        <w:spacing w:after="120" w:line="240" w:lineRule="auto"/>
      </w:pPr>
      <w:r>
        <w:rPr>
          <w:rStyle w:val="FootnoteReference"/>
        </w:rPr>
        <w:footnoteRef/>
      </w:r>
      <w:r>
        <w:t xml:space="preserve"> TCMUD 12 Ex. 3 at 12–13.</w:t>
      </w:r>
    </w:p>
  </w:footnote>
  <w:footnote w:id="254">
    <w:p w:rsidR="00C1697A" w:rsidRDefault="00C1697A" w:rsidP="00B6294E">
      <w:pPr>
        <w:pStyle w:val="FootnoteText"/>
        <w:spacing w:after="120" w:line="240" w:lineRule="auto"/>
      </w:pPr>
      <w:r>
        <w:rPr>
          <w:rStyle w:val="FootnoteReference"/>
        </w:rPr>
        <w:footnoteRef/>
      </w:r>
      <w:r>
        <w:t xml:space="preserve"> WTCPUA Ex. 2 at 3 &amp; attach. A.</w:t>
      </w:r>
    </w:p>
  </w:footnote>
  <w:footnote w:id="255">
    <w:p w:rsidR="00C1697A" w:rsidRDefault="00C1697A" w:rsidP="00B6294E">
      <w:pPr>
        <w:pStyle w:val="FootnoteText"/>
        <w:spacing w:after="120" w:line="240" w:lineRule="auto"/>
      </w:pPr>
      <w:r>
        <w:rPr>
          <w:rStyle w:val="FootnoteReference"/>
        </w:rPr>
        <w:footnoteRef/>
      </w:r>
      <w:r>
        <w:t xml:space="preserve"> WTCPUA Ex. 2 at 13–14.</w:t>
      </w:r>
    </w:p>
  </w:footnote>
  <w:footnote w:id="256">
    <w:p w:rsidR="00C1697A" w:rsidRDefault="00C1697A" w:rsidP="00B6294E">
      <w:pPr>
        <w:pStyle w:val="FootnoteText"/>
        <w:spacing w:after="120" w:line="240" w:lineRule="auto"/>
      </w:pPr>
      <w:r>
        <w:rPr>
          <w:rStyle w:val="FootnoteReference"/>
        </w:rPr>
        <w:footnoteRef/>
      </w:r>
      <w:r>
        <w:t xml:space="preserve"> WTCPUA Ex. 2 at 14–23</w:t>
      </w:r>
    </w:p>
  </w:footnote>
  <w:footnote w:id="257">
    <w:p w:rsidR="00C1697A" w:rsidRDefault="00C1697A" w:rsidP="00B6294E">
      <w:pPr>
        <w:pStyle w:val="FootnoteText"/>
        <w:spacing w:after="120" w:line="240" w:lineRule="auto"/>
      </w:pPr>
      <w:r>
        <w:rPr>
          <w:rStyle w:val="FootnoteReference"/>
        </w:rPr>
        <w:footnoteRef/>
      </w:r>
      <w:r>
        <w:t xml:space="preserve"> TCMUD 12 Ex. 3 at 7–8.</w:t>
      </w:r>
    </w:p>
  </w:footnote>
  <w:footnote w:id="258">
    <w:p w:rsidR="00C1697A" w:rsidRDefault="00C1697A" w:rsidP="00B6294E">
      <w:pPr>
        <w:pStyle w:val="FootnoteText"/>
        <w:spacing w:after="120" w:line="240" w:lineRule="auto"/>
      </w:pPr>
      <w:r>
        <w:rPr>
          <w:rStyle w:val="FootnoteReference"/>
        </w:rPr>
        <w:footnoteRef/>
      </w:r>
      <w:r>
        <w:t xml:space="preserve"> 16 Tex. Admin. Code § 24.133 (a)(3)(A).</w:t>
      </w:r>
    </w:p>
  </w:footnote>
  <w:footnote w:id="259">
    <w:p w:rsidR="00C1697A" w:rsidRDefault="00C1697A" w:rsidP="00B6294E">
      <w:pPr>
        <w:pStyle w:val="FootnoteText"/>
        <w:spacing w:after="120" w:line="240" w:lineRule="auto"/>
      </w:pPr>
      <w:r>
        <w:rPr>
          <w:rStyle w:val="FootnoteReference"/>
        </w:rPr>
        <w:footnoteRef/>
      </w:r>
      <w:r>
        <w:t xml:space="preserve"> </w:t>
      </w:r>
      <w:r w:rsidRPr="00891BEC">
        <w:t xml:space="preserve">Tex. Water Code </w:t>
      </w:r>
      <w:r>
        <w:t>§ 54.201(b).</w:t>
      </w:r>
    </w:p>
  </w:footnote>
  <w:footnote w:id="260">
    <w:p w:rsidR="00C1697A" w:rsidRDefault="00C1697A" w:rsidP="00B6294E">
      <w:pPr>
        <w:pStyle w:val="FootnoteText"/>
        <w:spacing w:after="120" w:line="240" w:lineRule="auto"/>
      </w:pPr>
      <w:r>
        <w:rPr>
          <w:rStyle w:val="FootnoteReference"/>
        </w:rPr>
        <w:footnoteRef/>
      </w:r>
      <w:r>
        <w:t xml:space="preserve"> </w:t>
      </w:r>
      <w:r w:rsidRPr="005554F1">
        <w:rPr>
          <w:i/>
        </w:rPr>
        <w:t>Compare</w:t>
      </w:r>
      <w:r>
        <w:t xml:space="preserve"> WTCPUA Ex. 3, </w:t>
      </w:r>
      <w:r w:rsidRPr="005554F1">
        <w:t xml:space="preserve">attach. F at 202 </w:t>
      </w:r>
      <w:r w:rsidRPr="005554F1">
        <w:rPr>
          <w:i/>
        </w:rPr>
        <w:t>to</w:t>
      </w:r>
      <w:r w:rsidRPr="005554F1">
        <w:t xml:space="preserve"> WTCPUA Ex</w:t>
      </w:r>
      <w:r>
        <w:t xml:space="preserve">. 3, </w:t>
      </w:r>
      <w:r w:rsidRPr="005554F1">
        <w:t>at</w:t>
      </w:r>
      <w:r>
        <w:t xml:space="preserve">tach. G at 205–06 &amp; </w:t>
      </w:r>
      <w:r w:rsidRPr="005554F1">
        <w:t>TCMUD</w:t>
      </w:r>
      <w:r>
        <w:t> </w:t>
      </w:r>
      <w:r w:rsidRPr="005554F1">
        <w:t>12 Ex. 1 at JAD 13 at 399.</w:t>
      </w:r>
    </w:p>
  </w:footnote>
  <w:footnote w:id="261">
    <w:p w:rsidR="00C1697A" w:rsidRDefault="00C1697A" w:rsidP="00B6294E">
      <w:pPr>
        <w:pStyle w:val="FootnoteText"/>
        <w:spacing w:after="120" w:line="240" w:lineRule="auto"/>
      </w:pPr>
      <w:r>
        <w:rPr>
          <w:rStyle w:val="FootnoteReference"/>
        </w:rPr>
        <w:footnoteRef/>
      </w:r>
      <w:r>
        <w:t xml:space="preserve"> </w:t>
      </w:r>
      <w:r w:rsidRPr="00E9350F">
        <w:t>TCMUD 12 Ex. 1</w:t>
      </w:r>
      <w:r>
        <w:t xml:space="preserve"> at JAD</w:t>
      </w:r>
      <w:r w:rsidRPr="00E9350F">
        <w:t xml:space="preserve"> Ex. 4 </w:t>
      </w:r>
      <w:r>
        <w:t>at 149–51.</w:t>
      </w:r>
    </w:p>
  </w:footnote>
  <w:footnote w:id="262">
    <w:p w:rsidR="00C1697A" w:rsidRDefault="00C1697A" w:rsidP="00B6294E">
      <w:pPr>
        <w:pStyle w:val="FootnoteText"/>
        <w:spacing w:after="120" w:line="240" w:lineRule="auto"/>
      </w:pPr>
      <w:r>
        <w:rPr>
          <w:rStyle w:val="FootnoteReference"/>
        </w:rPr>
        <w:footnoteRef/>
      </w:r>
      <w:r>
        <w:t xml:space="preserve"> TCMUD 12 Initial Brief, attach. D.  </w:t>
      </w:r>
    </w:p>
  </w:footnote>
  <w:footnote w:id="263">
    <w:p w:rsidR="00C1697A" w:rsidRDefault="00C1697A" w:rsidP="00B6294E">
      <w:pPr>
        <w:pStyle w:val="FootnoteText"/>
        <w:spacing w:after="120" w:line="240" w:lineRule="auto"/>
      </w:pPr>
      <w:r>
        <w:rPr>
          <w:rStyle w:val="FootnoteReference"/>
        </w:rPr>
        <w:footnoteRef/>
      </w:r>
      <w:r>
        <w:t xml:space="preserve"> 16 Tex. Admin. Code § 22.204(b).</w:t>
      </w:r>
    </w:p>
  </w:footnote>
  <w:footnote w:id="264">
    <w:p w:rsidR="00C1697A" w:rsidRDefault="00C1697A" w:rsidP="00B6294E">
      <w:pPr>
        <w:pStyle w:val="FootnoteText"/>
        <w:spacing w:after="120" w:line="240" w:lineRule="auto"/>
      </w:pPr>
      <w:r>
        <w:rPr>
          <w:rStyle w:val="FootnoteReference"/>
        </w:rPr>
        <w:footnoteRef/>
      </w:r>
      <w:r>
        <w:t xml:space="preserve"> 30 Tex. Admin. Code § 80.23.</w:t>
      </w:r>
    </w:p>
  </w:footnote>
  <w:footnote w:id="265">
    <w:p w:rsidR="00C1697A" w:rsidRDefault="00C1697A" w:rsidP="00B6294E">
      <w:pPr>
        <w:pStyle w:val="FootnoteText"/>
        <w:spacing w:after="120" w:line="240" w:lineRule="auto"/>
      </w:pPr>
      <w:r>
        <w:rPr>
          <w:rStyle w:val="FootnoteReference"/>
        </w:rPr>
        <w:footnoteRef/>
      </w:r>
      <w:r>
        <w:t xml:space="preserve"> Tex. Util. Code title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97A" w:rsidRPr="009C23D5" w:rsidRDefault="00C1697A" w:rsidP="00250FD0">
    <w:pPr>
      <w:pStyle w:val="Header"/>
      <w:tabs>
        <w:tab w:val="clear" w:pos="4680"/>
        <w:tab w:val="center" w:pos="5760"/>
      </w:tabs>
      <w:spacing w:line="240" w:lineRule="auto"/>
      <w:rPr>
        <w:rStyle w:val="PageNumber"/>
        <w:b/>
        <w:sz w:val="20"/>
        <w:szCs w:val="20"/>
      </w:rPr>
    </w:pPr>
    <w:r w:rsidRPr="009C23D5">
      <w:rPr>
        <w:b/>
        <w:sz w:val="20"/>
        <w:szCs w:val="20"/>
      </w:rPr>
      <w:t>SOAH Docket No. 473-14-5144.WS</w:t>
    </w:r>
    <w:r w:rsidRPr="009C23D5">
      <w:rPr>
        <w:b/>
        <w:sz w:val="20"/>
        <w:szCs w:val="20"/>
      </w:rPr>
      <w:tab/>
    </w:r>
    <w:r w:rsidR="00C12710">
      <w:rPr>
        <w:b/>
        <w:sz w:val="20"/>
        <w:szCs w:val="20"/>
      </w:rPr>
      <w:t>Table of Contents</w:t>
    </w:r>
    <w:r w:rsidRPr="009C23D5">
      <w:rPr>
        <w:b/>
        <w:sz w:val="20"/>
        <w:szCs w:val="20"/>
      </w:rPr>
      <w:tab/>
      <w:t xml:space="preserve">Page </w:t>
    </w:r>
    <w:r w:rsidRPr="009C23D5">
      <w:rPr>
        <w:rStyle w:val="PageNumber"/>
        <w:b/>
        <w:sz w:val="20"/>
        <w:szCs w:val="20"/>
      </w:rPr>
      <w:fldChar w:fldCharType="begin"/>
    </w:r>
    <w:r w:rsidRPr="009C23D5">
      <w:rPr>
        <w:rStyle w:val="PageNumber"/>
        <w:b/>
        <w:sz w:val="20"/>
        <w:szCs w:val="20"/>
      </w:rPr>
      <w:instrText xml:space="preserve"> PAGE </w:instrText>
    </w:r>
    <w:r w:rsidRPr="009C23D5">
      <w:rPr>
        <w:rStyle w:val="PageNumber"/>
        <w:b/>
        <w:sz w:val="20"/>
        <w:szCs w:val="20"/>
      </w:rPr>
      <w:fldChar w:fldCharType="separate"/>
    </w:r>
    <w:r w:rsidR="00F60082">
      <w:rPr>
        <w:rStyle w:val="PageNumber"/>
        <w:b/>
        <w:noProof/>
        <w:sz w:val="20"/>
        <w:szCs w:val="20"/>
      </w:rPr>
      <w:t>2</w:t>
    </w:r>
    <w:r w:rsidRPr="009C23D5">
      <w:rPr>
        <w:rStyle w:val="PageNumber"/>
        <w:b/>
        <w:sz w:val="20"/>
        <w:szCs w:val="20"/>
      </w:rPr>
      <w:fldChar w:fldCharType="end"/>
    </w:r>
  </w:p>
  <w:p w:rsidR="00C1697A" w:rsidRPr="009C23D5" w:rsidRDefault="00C1697A" w:rsidP="00250FD0">
    <w:pPr>
      <w:pStyle w:val="Header"/>
      <w:spacing w:line="240" w:lineRule="auto"/>
      <w:rPr>
        <w:b/>
        <w:sz w:val="20"/>
        <w:szCs w:val="20"/>
      </w:rPr>
    </w:pPr>
    <w:r w:rsidRPr="009C23D5">
      <w:rPr>
        <w:b/>
        <w:sz w:val="20"/>
        <w:szCs w:val="20"/>
      </w:rPr>
      <w:t>PUC Docket No. 42866</w:t>
    </w:r>
  </w:p>
  <w:p w:rsidR="00C1697A" w:rsidRPr="009C23D5" w:rsidRDefault="00C1697A" w:rsidP="00250FD0">
    <w:pPr>
      <w:pStyle w:val="Header"/>
      <w:spacing w:line="240" w:lineRule="auto"/>
      <w:rPr>
        <w:b/>
        <w:sz w:val="20"/>
        <w:szCs w:val="20"/>
      </w:rPr>
    </w:pPr>
  </w:p>
  <w:p w:rsidR="00C1697A" w:rsidRPr="009C23D5" w:rsidRDefault="00C1697A" w:rsidP="00250FD0">
    <w:pPr>
      <w:pStyle w:val="Header"/>
      <w:spacing w:line="240" w:lineRule="auto"/>
      <w:rPr>
        <w:b/>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10" w:rsidRPr="009C23D5" w:rsidRDefault="00C12710" w:rsidP="00250FD0">
    <w:pPr>
      <w:pStyle w:val="Header"/>
      <w:tabs>
        <w:tab w:val="clear" w:pos="4680"/>
        <w:tab w:val="center" w:pos="5760"/>
      </w:tabs>
      <w:spacing w:line="240" w:lineRule="auto"/>
      <w:rPr>
        <w:rStyle w:val="PageNumber"/>
        <w:b/>
        <w:sz w:val="20"/>
        <w:szCs w:val="20"/>
      </w:rPr>
    </w:pPr>
    <w:r w:rsidRPr="009C23D5">
      <w:rPr>
        <w:b/>
        <w:sz w:val="20"/>
        <w:szCs w:val="20"/>
      </w:rPr>
      <w:t>SOAH Docket No. 473-14-5144.WS</w:t>
    </w:r>
    <w:r w:rsidRPr="009C23D5">
      <w:rPr>
        <w:b/>
        <w:sz w:val="20"/>
        <w:szCs w:val="20"/>
      </w:rPr>
      <w:tab/>
      <w:t>Proposal for Decision</w:t>
    </w:r>
    <w:r w:rsidRPr="009C23D5">
      <w:rPr>
        <w:b/>
        <w:sz w:val="20"/>
        <w:szCs w:val="20"/>
      </w:rPr>
      <w:tab/>
      <w:t xml:space="preserve">Page </w:t>
    </w:r>
    <w:r w:rsidRPr="009C23D5">
      <w:rPr>
        <w:rStyle w:val="PageNumber"/>
        <w:b/>
        <w:sz w:val="20"/>
        <w:szCs w:val="20"/>
      </w:rPr>
      <w:fldChar w:fldCharType="begin"/>
    </w:r>
    <w:r w:rsidRPr="009C23D5">
      <w:rPr>
        <w:rStyle w:val="PageNumber"/>
        <w:b/>
        <w:sz w:val="20"/>
        <w:szCs w:val="20"/>
      </w:rPr>
      <w:instrText xml:space="preserve"> PAGE </w:instrText>
    </w:r>
    <w:r w:rsidRPr="009C23D5">
      <w:rPr>
        <w:rStyle w:val="PageNumber"/>
        <w:b/>
        <w:sz w:val="20"/>
        <w:szCs w:val="20"/>
      </w:rPr>
      <w:fldChar w:fldCharType="separate"/>
    </w:r>
    <w:r w:rsidR="00F60082">
      <w:rPr>
        <w:rStyle w:val="PageNumber"/>
        <w:b/>
        <w:noProof/>
        <w:sz w:val="20"/>
        <w:szCs w:val="20"/>
      </w:rPr>
      <w:t>19</w:t>
    </w:r>
    <w:r w:rsidRPr="009C23D5">
      <w:rPr>
        <w:rStyle w:val="PageNumber"/>
        <w:b/>
        <w:sz w:val="20"/>
        <w:szCs w:val="20"/>
      </w:rPr>
      <w:fldChar w:fldCharType="end"/>
    </w:r>
  </w:p>
  <w:p w:rsidR="00C12710" w:rsidRPr="009C23D5" w:rsidRDefault="00C12710" w:rsidP="00250FD0">
    <w:pPr>
      <w:pStyle w:val="Header"/>
      <w:spacing w:line="240" w:lineRule="auto"/>
      <w:rPr>
        <w:b/>
        <w:sz w:val="20"/>
        <w:szCs w:val="20"/>
      </w:rPr>
    </w:pPr>
    <w:r w:rsidRPr="009C23D5">
      <w:rPr>
        <w:b/>
        <w:sz w:val="20"/>
        <w:szCs w:val="20"/>
      </w:rPr>
      <w:t>PUC Docket No. 42866</w:t>
    </w:r>
  </w:p>
  <w:p w:rsidR="00C12710" w:rsidRPr="009C23D5" w:rsidRDefault="00C12710" w:rsidP="00250FD0">
    <w:pPr>
      <w:pStyle w:val="Header"/>
      <w:spacing w:line="240" w:lineRule="auto"/>
      <w:rPr>
        <w:b/>
        <w:sz w:val="20"/>
        <w:szCs w:val="20"/>
      </w:rPr>
    </w:pPr>
  </w:p>
  <w:p w:rsidR="00C12710" w:rsidRPr="009C23D5" w:rsidRDefault="00C12710" w:rsidP="00250FD0">
    <w:pPr>
      <w:pStyle w:val="Header"/>
      <w:spacing w:line="240" w:lineRule="auto"/>
      <w:rPr>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D12E9"/>
    <w:multiLevelType w:val="hybridMultilevel"/>
    <w:tmpl w:val="43C8B2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F79D2"/>
    <w:multiLevelType w:val="hybridMultilevel"/>
    <w:tmpl w:val="65A0437C"/>
    <w:lvl w:ilvl="0" w:tplc="652EFCA8">
      <w:start w:val="1"/>
      <w:numFmt w:val="decimal"/>
      <w:pStyle w:val="Heading35"/>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51AD8"/>
    <w:multiLevelType w:val="multilevel"/>
    <w:tmpl w:val="5D502AD4"/>
    <w:lvl w:ilvl="0">
      <w:start w:val="1"/>
      <w:numFmt w:val="upperRoman"/>
      <w:pStyle w:val="Heading1"/>
      <w:lvlText w:val="%1."/>
      <w:lvlJc w:val="center"/>
      <w:pPr>
        <w:tabs>
          <w:tab w:val="num" w:pos="216"/>
        </w:tabs>
        <w:ind w:left="-144" w:firstLine="0"/>
      </w:pPr>
      <w:rPr>
        <w:rFonts w:hint="default"/>
      </w:rPr>
    </w:lvl>
    <w:lvl w:ilvl="1">
      <w:start w:val="1"/>
      <w:numFmt w:val="upperLetter"/>
      <w:pStyle w:val="Heading2"/>
      <w:lvlText w:val="%2."/>
      <w:lvlJc w:val="left"/>
      <w:pPr>
        <w:tabs>
          <w:tab w:val="num" w:pos="216"/>
        </w:tabs>
        <w:ind w:left="720" w:hanging="720"/>
      </w:pPr>
      <w:rPr>
        <w:rFonts w:hint="default"/>
      </w:rPr>
    </w:lvl>
    <w:lvl w:ilvl="2">
      <w:start w:val="1"/>
      <w:numFmt w:val="decimal"/>
      <w:pStyle w:val="Heading3"/>
      <w:lvlText w:val="%3."/>
      <w:lvlJc w:val="left"/>
      <w:pPr>
        <w:tabs>
          <w:tab w:val="num" w:pos="720"/>
        </w:tabs>
        <w:ind w:left="720" w:firstLine="0"/>
      </w:pPr>
      <w:rPr>
        <w:rFonts w:hint="default"/>
      </w:rPr>
    </w:lvl>
    <w:lvl w:ilvl="3">
      <w:start w:val="1"/>
      <w:numFmt w:val="lowerLetter"/>
      <w:pStyle w:val="Heading4"/>
      <w:lvlText w:val="%4."/>
      <w:lvlJc w:val="left"/>
      <w:pPr>
        <w:tabs>
          <w:tab w:val="num" w:pos="1440"/>
        </w:tabs>
        <w:ind w:left="1440" w:firstLine="0"/>
      </w:pPr>
      <w:rPr>
        <w:rFonts w:hint="default"/>
      </w:rPr>
    </w:lvl>
    <w:lvl w:ilvl="4">
      <w:start w:val="1"/>
      <w:numFmt w:val="lowerRoman"/>
      <w:pStyle w:val="Heading5"/>
      <w:lvlText w:val="(%5)"/>
      <w:lvlJc w:val="left"/>
      <w:pPr>
        <w:tabs>
          <w:tab w:val="num" w:pos="2160"/>
        </w:tabs>
        <w:ind w:left="2880" w:hanging="720"/>
      </w:pPr>
      <w:rPr>
        <w:rFonts w:ascii="Times New Roman" w:hAnsi="Times New Roman" w:hint="default"/>
        <w:b/>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3600"/>
        </w:tabs>
        <w:ind w:left="4320" w:hanging="1440"/>
      </w:pPr>
      <w:rPr>
        <w:rFonts w:hint="default"/>
      </w:rPr>
    </w:lvl>
    <w:lvl w:ilvl="6">
      <w:start w:val="1"/>
      <w:numFmt w:val="decimal"/>
      <w:pStyle w:val="Heading7"/>
      <w:lvlText w:val="%7."/>
      <w:lvlJc w:val="left"/>
      <w:pPr>
        <w:tabs>
          <w:tab w:val="num" w:pos="4320"/>
        </w:tabs>
        <w:ind w:left="5040" w:hanging="1440"/>
      </w:pPr>
      <w:rPr>
        <w:rFonts w:hint="default"/>
      </w:rPr>
    </w:lvl>
    <w:lvl w:ilvl="7">
      <w:start w:val="1"/>
      <w:numFmt w:val="lowerLetter"/>
      <w:pStyle w:val="Heading8"/>
      <w:lvlText w:val="%8."/>
      <w:lvlJc w:val="left"/>
      <w:pPr>
        <w:tabs>
          <w:tab w:val="num" w:pos="5040"/>
        </w:tabs>
        <w:ind w:left="4320" w:firstLine="0"/>
      </w:pPr>
      <w:rPr>
        <w:rFonts w:ascii="Times New Roman" w:hAnsi="Times New Roman" w:hint="default"/>
        <w:b/>
        <w:i/>
        <w:caps w:val="0"/>
        <w:strike w:val="0"/>
        <w:dstrike w:val="0"/>
        <w:outline w:val="0"/>
        <w:shadow w:val="0"/>
        <w:emboss w:val="0"/>
        <w:imprint w:val="0"/>
        <w:vanish w:val="0"/>
        <w:sz w:val="24"/>
        <w:vertAlign w:val="baseline"/>
      </w:rPr>
    </w:lvl>
    <w:lvl w:ilvl="8">
      <w:start w:val="1"/>
      <w:numFmt w:val="lowerRoman"/>
      <w:pStyle w:val="Heading9"/>
      <w:lvlText w:val="(%9)"/>
      <w:lvlJc w:val="left"/>
      <w:pPr>
        <w:tabs>
          <w:tab w:val="num" w:pos="5400"/>
        </w:tabs>
        <w:ind w:left="5040" w:firstLine="0"/>
      </w:pPr>
      <w:rPr>
        <w:rFonts w:hint="default"/>
      </w:rPr>
    </w:lvl>
  </w:abstractNum>
  <w:abstractNum w:abstractNumId="3" w15:restartNumberingAfterBreak="0">
    <w:nsid w:val="170D79B5"/>
    <w:multiLevelType w:val="hybridMultilevel"/>
    <w:tmpl w:val="D0447E1E"/>
    <w:lvl w:ilvl="0" w:tplc="1EC02BE4">
      <w:start w:val="1"/>
      <w:numFmt w:val="upperRoman"/>
      <w:pStyle w:val="Heading15"/>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1466F"/>
    <w:multiLevelType w:val="hybridMultilevel"/>
    <w:tmpl w:val="43C8B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E5ABF"/>
    <w:multiLevelType w:val="hybridMultilevel"/>
    <w:tmpl w:val="5EF8A320"/>
    <w:lvl w:ilvl="0" w:tplc="9AB0E20E">
      <w:start w:val="1"/>
      <w:numFmt w:val="lowerRoman"/>
      <w:pStyle w:val="Heading55"/>
      <w:lvlText w:val="%1."/>
      <w:lvlJc w:val="right"/>
      <w:pPr>
        <w:tabs>
          <w:tab w:val="num" w:pos="2880"/>
        </w:tabs>
        <w:ind w:left="2880" w:hanging="576"/>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5957C9F"/>
    <w:multiLevelType w:val="hybridMultilevel"/>
    <w:tmpl w:val="4782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336D8"/>
    <w:multiLevelType w:val="multilevel"/>
    <w:tmpl w:val="DC623758"/>
    <w:lvl w:ilvl="0">
      <w:start w:val="1"/>
      <w:numFmt w:val="upperRoman"/>
      <w:lvlText w:val="%1."/>
      <w:lvlJc w:val="left"/>
      <w:pPr>
        <w:tabs>
          <w:tab w:val="num" w:pos="360"/>
        </w:tabs>
        <w:ind w:left="0" w:firstLine="0"/>
      </w:pPr>
      <w:rPr>
        <w:rFonts w:ascii="Times New Roman" w:hAnsi="Times New Roman" w:hint="default"/>
        <w:b/>
        <w:i w:val="0"/>
        <w:sz w:val="24"/>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pStyle w:val="aHeading4"/>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8" w15:restartNumberingAfterBreak="0">
    <w:nsid w:val="2CFA3095"/>
    <w:multiLevelType w:val="hybridMultilevel"/>
    <w:tmpl w:val="F8965A60"/>
    <w:lvl w:ilvl="0" w:tplc="BEAECA88">
      <w:start w:val="1"/>
      <w:numFmt w:val="lowerLetter"/>
      <w:pStyle w:val="Heading45"/>
      <w:lvlText w:val="%1."/>
      <w:lvlJc w:val="left"/>
      <w:pPr>
        <w:tabs>
          <w:tab w:val="num" w:pos="2160"/>
        </w:tabs>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EDD726F"/>
    <w:multiLevelType w:val="multilevel"/>
    <w:tmpl w:val="1F741FE2"/>
    <w:styleLink w:val="StyleNumberedLeft0Hanging05"/>
    <w:lvl w:ilvl="0">
      <w:start w:val="1"/>
      <w:numFmt w:val="decimal"/>
      <w:lvlText w:val="%1."/>
      <w:lvlJc w:val="left"/>
      <w:pPr>
        <w:tabs>
          <w:tab w:val="num" w:pos="720"/>
        </w:tabs>
        <w:ind w:left="720" w:hanging="720"/>
      </w:pPr>
      <w:rPr>
        <w:rFonts w:cs="Times New Roman" w:hint="default"/>
        <w:sz w:val="24"/>
      </w:rPr>
    </w:lvl>
    <w:lvl w:ilvl="1">
      <w:start w:val="1"/>
      <w:numFmt w:val="lowerLetter"/>
      <w:lvlText w:val="%2."/>
      <w:lvlJc w:val="left"/>
      <w:pPr>
        <w:tabs>
          <w:tab w:val="num" w:pos="1440"/>
        </w:tabs>
        <w:ind w:left="1440" w:hanging="72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0" w15:restartNumberingAfterBreak="0">
    <w:nsid w:val="45AC1AC4"/>
    <w:multiLevelType w:val="hybridMultilevel"/>
    <w:tmpl w:val="FBD0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6445E"/>
    <w:multiLevelType w:val="multilevel"/>
    <w:tmpl w:val="6E1CC4C4"/>
    <w:lvl w:ilvl="0">
      <w:start w:val="1"/>
      <w:numFmt w:val="decimal"/>
      <w:pStyle w:val="fof"/>
      <w:lvlText w:val="%1."/>
      <w:lvlJc w:val="left"/>
      <w:pPr>
        <w:tabs>
          <w:tab w:val="num" w:pos="720"/>
        </w:tabs>
        <w:ind w:left="720" w:hanging="720"/>
      </w:pPr>
      <w:rPr>
        <w:rFonts w:cs="Times New Roman" w:hint="default"/>
      </w:rPr>
    </w:lvl>
    <w:lvl w:ilvl="1">
      <w:start w:val="1"/>
      <w:numFmt w:val="lowerLetter"/>
      <w:lvlText w:val="%2."/>
      <w:lvlJc w:val="left"/>
      <w:pPr>
        <w:tabs>
          <w:tab w:val="num" w:pos="720"/>
        </w:tabs>
        <w:ind w:left="144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69622E42"/>
    <w:multiLevelType w:val="hybridMultilevel"/>
    <w:tmpl w:val="5B2C3938"/>
    <w:lvl w:ilvl="0" w:tplc="7922A448">
      <w:start w:val="1"/>
      <w:numFmt w:val="upperLetter"/>
      <w:pStyle w:val="Heading25"/>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7"/>
  </w:num>
  <w:num w:numId="4">
    <w:abstractNumId w:val="3"/>
  </w:num>
  <w:num w:numId="5">
    <w:abstractNumId w:val="12"/>
  </w:num>
  <w:num w:numId="6">
    <w:abstractNumId w:val="1"/>
  </w:num>
  <w:num w:numId="7">
    <w:abstractNumId w:val="8"/>
  </w:num>
  <w:num w:numId="8">
    <w:abstractNumId w:val="5"/>
  </w:num>
  <w:num w:numId="9">
    <w:abstractNumId w:val="2"/>
  </w:num>
  <w:num w:numId="10">
    <w:abstractNumId w:val="10"/>
  </w:num>
  <w:num w:numId="11">
    <w:abstractNumId w:val="0"/>
  </w:num>
  <w:num w:numId="12">
    <w:abstractNumId w:val="4"/>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8D"/>
    <w:rsid w:val="00001D7B"/>
    <w:rsid w:val="00002362"/>
    <w:rsid w:val="00002B48"/>
    <w:rsid w:val="00003380"/>
    <w:rsid w:val="000041AB"/>
    <w:rsid w:val="00007A03"/>
    <w:rsid w:val="000101D3"/>
    <w:rsid w:val="00013753"/>
    <w:rsid w:val="00017947"/>
    <w:rsid w:val="00017F42"/>
    <w:rsid w:val="0002399F"/>
    <w:rsid w:val="0002450D"/>
    <w:rsid w:val="00024AE9"/>
    <w:rsid w:val="0002523F"/>
    <w:rsid w:val="000265DB"/>
    <w:rsid w:val="0002794F"/>
    <w:rsid w:val="000313A9"/>
    <w:rsid w:val="00035B2C"/>
    <w:rsid w:val="00035FD7"/>
    <w:rsid w:val="000439F2"/>
    <w:rsid w:val="000442F8"/>
    <w:rsid w:val="000474AA"/>
    <w:rsid w:val="00052CA0"/>
    <w:rsid w:val="00060AC9"/>
    <w:rsid w:val="00061B22"/>
    <w:rsid w:val="00063186"/>
    <w:rsid w:val="0006536F"/>
    <w:rsid w:val="00066165"/>
    <w:rsid w:val="00066EE7"/>
    <w:rsid w:val="000676B1"/>
    <w:rsid w:val="0006787C"/>
    <w:rsid w:val="000709ED"/>
    <w:rsid w:val="00081AAB"/>
    <w:rsid w:val="00084421"/>
    <w:rsid w:val="00085C5D"/>
    <w:rsid w:val="00091541"/>
    <w:rsid w:val="00092488"/>
    <w:rsid w:val="0009272F"/>
    <w:rsid w:val="00092762"/>
    <w:rsid w:val="00093EAC"/>
    <w:rsid w:val="000A0010"/>
    <w:rsid w:val="000A03FF"/>
    <w:rsid w:val="000A3129"/>
    <w:rsid w:val="000A3353"/>
    <w:rsid w:val="000A4646"/>
    <w:rsid w:val="000A58E3"/>
    <w:rsid w:val="000B1C58"/>
    <w:rsid w:val="000B3110"/>
    <w:rsid w:val="000B7601"/>
    <w:rsid w:val="000C292F"/>
    <w:rsid w:val="000C2C59"/>
    <w:rsid w:val="000C43F6"/>
    <w:rsid w:val="000C5376"/>
    <w:rsid w:val="000D0C4D"/>
    <w:rsid w:val="000D15A4"/>
    <w:rsid w:val="000D1829"/>
    <w:rsid w:val="000D310F"/>
    <w:rsid w:val="000D328B"/>
    <w:rsid w:val="000D406B"/>
    <w:rsid w:val="000D4749"/>
    <w:rsid w:val="000D4FF9"/>
    <w:rsid w:val="000D51BD"/>
    <w:rsid w:val="000E0811"/>
    <w:rsid w:val="000E354F"/>
    <w:rsid w:val="000E4642"/>
    <w:rsid w:val="000E6AB9"/>
    <w:rsid w:val="000F1545"/>
    <w:rsid w:val="000F2AC7"/>
    <w:rsid w:val="000F388E"/>
    <w:rsid w:val="000F39DF"/>
    <w:rsid w:val="000F46F1"/>
    <w:rsid w:val="000F4E71"/>
    <w:rsid w:val="000F795A"/>
    <w:rsid w:val="00101B76"/>
    <w:rsid w:val="00107604"/>
    <w:rsid w:val="001114AC"/>
    <w:rsid w:val="001115AF"/>
    <w:rsid w:val="001227A0"/>
    <w:rsid w:val="0012465E"/>
    <w:rsid w:val="00124CD6"/>
    <w:rsid w:val="00136B06"/>
    <w:rsid w:val="001402AD"/>
    <w:rsid w:val="00141357"/>
    <w:rsid w:val="0014417F"/>
    <w:rsid w:val="00144DC8"/>
    <w:rsid w:val="00145297"/>
    <w:rsid w:val="0015186E"/>
    <w:rsid w:val="00151AFF"/>
    <w:rsid w:val="00152844"/>
    <w:rsid w:val="00154380"/>
    <w:rsid w:val="001554E7"/>
    <w:rsid w:val="001556AD"/>
    <w:rsid w:val="00155CD1"/>
    <w:rsid w:val="00156CC7"/>
    <w:rsid w:val="0015730B"/>
    <w:rsid w:val="0016053C"/>
    <w:rsid w:val="00160F46"/>
    <w:rsid w:val="00161FEB"/>
    <w:rsid w:val="00162360"/>
    <w:rsid w:val="001630BE"/>
    <w:rsid w:val="00166533"/>
    <w:rsid w:val="00166811"/>
    <w:rsid w:val="001723BE"/>
    <w:rsid w:val="00175443"/>
    <w:rsid w:val="00176193"/>
    <w:rsid w:val="00176897"/>
    <w:rsid w:val="0017755F"/>
    <w:rsid w:val="00182639"/>
    <w:rsid w:val="00183A59"/>
    <w:rsid w:val="00183E3E"/>
    <w:rsid w:val="00184966"/>
    <w:rsid w:val="00187CBE"/>
    <w:rsid w:val="001916A4"/>
    <w:rsid w:val="00192020"/>
    <w:rsid w:val="00193160"/>
    <w:rsid w:val="0019669E"/>
    <w:rsid w:val="001971EF"/>
    <w:rsid w:val="00197770"/>
    <w:rsid w:val="001A24F2"/>
    <w:rsid w:val="001A2D7F"/>
    <w:rsid w:val="001A3C72"/>
    <w:rsid w:val="001A5820"/>
    <w:rsid w:val="001A73D4"/>
    <w:rsid w:val="001A7A62"/>
    <w:rsid w:val="001A7DDE"/>
    <w:rsid w:val="001B1081"/>
    <w:rsid w:val="001B3580"/>
    <w:rsid w:val="001B441E"/>
    <w:rsid w:val="001B72EB"/>
    <w:rsid w:val="001B7645"/>
    <w:rsid w:val="001C0364"/>
    <w:rsid w:val="001C112C"/>
    <w:rsid w:val="001C36C1"/>
    <w:rsid w:val="001C5340"/>
    <w:rsid w:val="001C7006"/>
    <w:rsid w:val="001D1EAB"/>
    <w:rsid w:val="001D2301"/>
    <w:rsid w:val="001D2A6F"/>
    <w:rsid w:val="001E0337"/>
    <w:rsid w:val="001E1A77"/>
    <w:rsid w:val="001E63F3"/>
    <w:rsid w:val="001E65C8"/>
    <w:rsid w:val="001F06CE"/>
    <w:rsid w:val="001F0C62"/>
    <w:rsid w:val="001F2194"/>
    <w:rsid w:val="001F6B22"/>
    <w:rsid w:val="00200E0D"/>
    <w:rsid w:val="00202355"/>
    <w:rsid w:val="0020571E"/>
    <w:rsid w:val="0020598B"/>
    <w:rsid w:val="0020721D"/>
    <w:rsid w:val="00207BEB"/>
    <w:rsid w:val="00207BEE"/>
    <w:rsid w:val="002102BD"/>
    <w:rsid w:val="00211C42"/>
    <w:rsid w:val="00211D96"/>
    <w:rsid w:val="00212AF2"/>
    <w:rsid w:val="002136A6"/>
    <w:rsid w:val="00213CC0"/>
    <w:rsid w:val="00214473"/>
    <w:rsid w:val="002155CE"/>
    <w:rsid w:val="002165FE"/>
    <w:rsid w:val="00216CD4"/>
    <w:rsid w:val="0022167E"/>
    <w:rsid w:val="00222F22"/>
    <w:rsid w:val="002248D7"/>
    <w:rsid w:val="00224E36"/>
    <w:rsid w:val="002262AB"/>
    <w:rsid w:val="0022711C"/>
    <w:rsid w:val="00227D27"/>
    <w:rsid w:val="00227F91"/>
    <w:rsid w:val="00233BC6"/>
    <w:rsid w:val="00236127"/>
    <w:rsid w:val="00237792"/>
    <w:rsid w:val="00237A82"/>
    <w:rsid w:val="002459FD"/>
    <w:rsid w:val="00246187"/>
    <w:rsid w:val="002463A2"/>
    <w:rsid w:val="00250FD0"/>
    <w:rsid w:val="002510F0"/>
    <w:rsid w:val="00253459"/>
    <w:rsid w:val="002540E6"/>
    <w:rsid w:val="00255445"/>
    <w:rsid w:val="00255DE6"/>
    <w:rsid w:val="002575DD"/>
    <w:rsid w:val="002575F4"/>
    <w:rsid w:val="002610FC"/>
    <w:rsid w:val="002611C0"/>
    <w:rsid w:val="00261D1C"/>
    <w:rsid w:val="00262B3D"/>
    <w:rsid w:val="00263744"/>
    <w:rsid w:val="00264A9B"/>
    <w:rsid w:val="00267E7A"/>
    <w:rsid w:val="00271836"/>
    <w:rsid w:val="00272FE3"/>
    <w:rsid w:val="00276266"/>
    <w:rsid w:val="00276FD2"/>
    <w:rsid w:val="0028023C"/>
    <w:rsid w:val="002802A6"/>
    <w:rsid w:val="00281881"/>
    <w:rsid w:val="00281CDC"/>
    <w:rsid w:val="00282DD1"/>
    <w:rsid w:val="00284D28"/>
    <w:rsid w:val="0028594A"/>
    <w:rsid w:val="00287091"/>
    <w:rsid w:val="002877A3"/>
    <w:rsid w:val="002905CC"/>
    <w:rsid w:val="0029153E"/>
    <w:rsid w:val="002921D8"/>
    <w:rsid w:val="002924BE"/>
    <w:rsid w:val="00292E13"/>
    <w:rsid w:val="00294747"/>
    <w:rsid w:val="00295D28"/>
    <w:rsid w:val="0029682F"/>
    <w:rsid w:val="00296FF2"/>
    <w:rsid w:val="0029723F"/>
    <w:rsid w:val="002A1872"/>
    <w:rsid w:val="002A2308"/>
    <w:rsid w:val="002A2C2E"/>
    <w:rsid w:val="002A4B22"/>
    <w:rsid w:val="002A5A38"/>
    <w:rsid w:val="002B1439"/>
    <w:rsid w:val="002B14DF"/>
    <w:rsid w:val="002B2A24"/>
    <w:rsid w:val="002B5234"/>
    <w:rsid w:val="002B7959"/>
    <w:rsid w:val="002B7C5B"/>
    <w:rsid w:val="002C0640"/>
    <w:rsid w:val="002C0D33"/>
    <w:rsid w:val="002C163F"/>
    <w:rsid w:val="002C1911"/>
    <w:rsid w:val="002C1D17"/>
    <w:rsid w:val="002C2FF6"/>
    <w:rsid w:val="002C4A55"/>
    <w:rsid w:val="002C50F8"/>
    <w:rsid w:val="002C6A36"/>
    <w:rsid w:val="002C7F40"/>
    <w:rsid w:val="002D2A33"/>
    <w:rsid w:val="002D2FE7"/>
    <w:rsid w:val="002D49AC"/>
    <w:rsid w:val="002D7BC4"/>
    <w:rsid w:val="002E1E39"/>
    <w:rsid w:val="002E24DF"/>
    <w:rsid w:val="002E269B"/>
    <w:rsid w:val="002E2B24"/>
    <w:rsid w:val="002E441C"/>
    <w:rsid w:val="002F1D06"/>
    <w:rsid w:val="002F277E"/>
    <w:rsid w:val="002F3CCB"/>
    <w:rsid w:val="002F5875"/>
    <w:rsid w:val="002F5E3C"/>
    <w:rsid w:val="002F744B"/>
    <w:rsid w:val="002F7D4D"/>
    <w:rsid w:val="00302EAB"/>
    <w:rsid w:val="00302EF0"/>
    <w:rsid w:val="003034E8"/>
    <w:rsid w:val="00304D66"/>
    <w:rsid w:val="00305B31"/>
    <w:rsid w:val="00311471"/>
    <w:rsid w:val="003134A3"/>
    <w:rsid w:val="00314ED1"/>
    <w:rsid w:val="00316796"/>
    <w:rsid w:val="0031683C"/>
    <w:rsid w:val="00322C23"/>
    <w:rsid w:val="00326CCB"/>
    <w:rsid w:val="00326ED5"/>
    <w:rsid w:val="00327827"/>
    <w:rsid w:val="00331123"/>
    <w:rsid w:val="0033179F"/>
    <w:rsid w:val="00331D04"/>
    <w:rsid w:val="003338C0"/>
    <w:rsid w:val="003339C8"/>
    <w:rsid w:val="003431B4"/>
    <w:rsid w:val="003437AC"/>
    <w:rsid w:val="003449FC"/>
    <w:rsid w:val="00345E1D"/>
    <w:rsid w:val="00347DC1"/>
    <w:rsid w:val="00347EE7"/>
    <w:rsid w:val="00351756"/>
    <w:rsid w:val="00352997"/>
    <w:rsid w:val="0035686B"/>
    <w:rsid w:val="0036019F"/>
    <w:rsid w:val="00363C0A"/>
    <w:rsid w:val="003644CC"/>
    <w:rsid w:val="003701E7"/>
    <w:rsid w:val="00371984"/>
    <w:rsid w:val="0037395A"/>
    <w:rsid w:val="003741C2"/>
    <w:rsid w:val="00374EA3"/>
    <w:rsid w:val="00376ED5"/>
    <w:rsid w:val="003772F2"/>
    <w:rsid w:val="00380100"/>
    <w:rsid w:val="003829D5"/>
    <w:rsid w:val="00382BFA"/>
    <w:rsid w:val="0038302A"/>
    <w:rsid w:val="003841C6"/>
    <w:rsid w:val="003853FF"/>
    <w:rsid w:val="00385BC4"/>
    <w:rsid w:val="00386645"/>
    <w:rsid w:val="00387C10"/>
    <w:rsid w:val="0039150E"/>
    <w:rsid w:val="00391BC2"/>
    <w:rsid w:val="003971C8"/>
    <w:rsid w:val="003A15FD"/>
    <w:rsid w:val="003A237D"/>
    <w:rsid w:val="003A2D1E"/>
    <w:rsid w:val="003A4609"/>
    <w:rsid w:val="003A4F3C"/>
    <w:rsid w:val="003A5B5B"/>
    <w:rsid w:val="003A6698"/>
    <w:rsid w:val="003B12BE"/>
    <w:rsid w:val="003B6551"/>
    <w:rsid w:val="003B7DF4"/>
    <w:rsid w:val="003C1D61"/>
    <w:rsid w:val="003C202A"/>
    <w:rsid w:val="003C567D"/>
    <w:rsid w:val="003C5F7A"/>
    <w:rsid w:val="003C6D34"/>
    <w:rsid w:val="003C7058"/>
    <w:rsid w:val="003D12AF"/>
    <w:rsid w:val="003D2513"/>
    <w:rsid w:val="003D29EB"/>
    <w:rsid w:val="003D79C8"/>
    <w:rsid w:val="003E13B6"/>
    <w:rsid w:val="003E35C9"/>
    <w:rsid w:val="003E4BE5"/>
    <w:rsid w:val="003E5917"/>
    <w:rsid w:val="003F025E"/>
    <w:rsid w:val="003F3484"/>
    <w:rsid w:val="003F4BFC"/>
    <w:rsid w:val="003F5A07"/>
    <w:rsid w:val="003F5B6C"/>
    <w:rsid w:val="003F650C"/>
    <w:rsid w:val="00400A0F"/>
    <w:rsid w:val="004066A8"/>
    <w:rsid w:val="00414431"/>
    <w:rsid w:val="00415BF8"/>
    <w:rsid w:val="0041792E"/>
    <w:rsid w:val="004201C9"/>
    <w:rsid w:val="00427589"/>
    <w:rsid w:val="00427D4A"/>
    <w:rsid w:val="0043063C"/>
    <w:rsid w:val="00433120"/>
    <w:rsid w:val="00433962"/>
    <w:rsid w:val="004355FF"/>
    <w:rsid w:val="00435895"/>
    <w:rsid w:val="004360F8"/>
    <w:rsid w:val="0044004D"/>
    <w:rsid w:val="00442522"/>
    <w:rsid w:val="00444B71"/>
    <w:rsid w:val="00444CCC"/>
    <w:rsid w:val="004457BA"/>
    <w:rsid w:val="0045135C"/>
    <w:rsid w:val="00451CD6"/>
    <w:rsid w:val="0045373A"/>
    <w:rsid w:val="0045426A"/>
    <w:rsid w:val="004544D9"/>
    <w:rsid w:val="00456EA9"/>
    <w:rsid w:val="00456F59"/>
    <w:rsid w:val="00457663"/>
    <w:rsid w:val="004604A1"/>
    <w:rsid w:val="00461D2A"/>
    <w:rsid w:val="004633D2"/>
    <w:rsid w:val="004637CE"/>
    <w:rsid w:val="00463A20"/>
    <w:rsid w:val="00464C6D"/>
    <w:rsid w:val="00465200"/>
    <w:rsid w:val="00467E0B"/>
    <w:rsid w:val="00470431"/>
    <w:rsid w:val="00470751"/>
    <w:rsid w:val="00474CB7"/>
    <w:rsid w:val="00474EE0"/>
    <w:rsid w:val="004779AC"/>
    <w:rsid w:val="004813C6"/>
    <w:rsid w:val="00482799"/>
    <w:rsid w:val="00483AA4"/>
    <w:rsid w:val="00483D51"/>
    <w:rsid w:val="00485FBC"/>
    <w:rsid w:val="00486C75"/>
    <w:rsid w:val="00487541"/>
    <w:rsid w:val="004937B3"/>
    <w:rsid w:val="0049528C"/>
    <w:rsid w:val="0049555C"/>
    <w:rsid w:val="004970AB"/>
    <w:rsid w:val="004A0800"/>
    <w:rsid w:val="004A11FC"/>
    <w:rsid w:val="004A17EA"/>
    <w:rsid w:val="004A2F83"/>
    <w:rsid w:val="004A5D20"/>
    <w:rsid w:val="004A64F0"/>
    <w:rsid w:val="004B01F7"/>
    <w:rsid w:val="004B0811"/>
    <w:rsid w:val="004B201E"/>
    <w:rsid w:val="004B32EB"/>
    <w:rsid w:val="004B4310"/>
    <w:rsid w:val="004B7443"/>
    <w:rsid w:val="004B79BA"/>
    <w:rsid w:val="004C395A"/>
    <w:rsid w:val="004C6040"/>
    <w:rsid w:val="004C6F53"/>
    <w:rsid w:val="004D0366"/>
    <w:rsid w:val="004D138C"/>
    <w:rsid w:val="004D16D9"/>
    <w:rsid w:val="004D63D0"/>
    <w:rsid w:val="004D7F13"/>
    <w:rsid w:val="004E2B9E"/>
    <w:rsid w:val="004E44CF"/>
    <w:rsid w:val="004E5E94"/>
    <w:rsid w:val="004E778D"/>
    <w:rsid w:val="004F12C9"/>
    <w:rsid w:val="004F2ACA"/>
    <w:rsid w:val="004F41F5"/>
    <w:rsid w:val="004F7AA0"/>
    <w:rsid w:val="005007A4"/>
    <w:rsid w:val="00501B3B"/>
    <w:rsid w:val="005026B6"/>
    <w:rsid w:val="00503377"/>
    <w:rsid w:val="00507482"/>
    <w:rsid w:val="005078B5"/>
    <w:rsid w:val="00507A1A"/>
    <w:rsid w:val="00511432"/>
    <w:rsid w:val="0051153F"/>
    <w:rsid w:val="00512070"/>
    <w:rsid w:val="00514706"/>
    <w:rsid w:val="005155E9"/>
    <w:rsid w:val="00515F15"/>
    <w:rsid w:val="005160DC"/>
    <w:rsid w:val="0051784E"/>
    <w:rsid w:val="00520159"/>
    <w:rsid w:val="0052270B"/>
    <w:rsid w:val="005241DD"/>
    <w:rsid w:val="0052477F"/>
    <w:rsid w:val="0052665A"/>
    <w:rsid w:val="005326A3"/>
    <w:rsid w:val="00537728"/>
    <w:rsid w:val="005377CB"/>
    <w:rsid w:val="00541EDB"/>
    <w:rsid w:val="00541F0A"/>
    <w:rsid w:val="00543812"/>
    <w:rsid w:val="00552CFF"/>
    <w:rsid w:val="005533C0"/>
    <w:rsid w:val="00554C0C"/>
    <w:rsid w:val="005554F1"/>
    <w:rsid w:val="00555771"/>
    <w:rsid w:val="00556258"/>
    <w:rsid w:val="00556CD4"/>
    <w:rsid w:val="005605BE"/>
    <w:rsid w:val="00560AE5"/>
    <w:rsid w:val="00561CE3"/>
    <w:rsid w:val="00562FC6"/>
    <w:rsid w:val="005647EF"/>
    <w:rsid w:val="00564BC8"/>
    <w:rsid w:val="005652BD"/>
    <w:rsid w:val="00572A63"/>
    <w:rsid w:val="00572B76"/>
    <w:rsid w:val="0057716E"/>
    <w:rsid w:val="00577602"/>
    <w:rsid w:val="00577C9E"/>
    <w:rsid w:val="00581708"/>
    <w:rsid w:val="00581C5F"/>
    <w:rsid w:val="00586716"/>
    <w:rsid w:val="0059197A"/>
    <w:rsid w:val="00593571"/>
    <w:rsid w:val="0059421B"/>
    <w:rsid w:val="0059584C"/>
    <w:rsid w:val="005A39A3"/>
    <w:rsid w:val="005A59C0"/>
    <w:rsid w:val="005A716D"/>
    <w:rsid w:val="005A72FB"/>
    <w:rsid w:val="005A790D"/>
    <w:rsid w:val="005A7F22"/>
    <w:rsid w:val="005B07EF"/>
    <w:rsid w:val="005B571B"/>
    <w:rsid w:val="005B6D84"/>
    <w:rsid w:val="005C13A1"/>
    <w:rsid w:val="005C3C79"/>
    <w:rsid w:val="005C4291"/>
    <w:rsid w:val="005C6235"/>
    <w:rsid w:val="005D06F0"/>
    <w:rsid w:val="005D0DBE"/>
    <w:rsid w:val="005D3EC4"/>
    <w:rsid w:val="005D7438"/>
    <w:rsid w:val="005E000B"/>
    <w:rsid w:val="005E0D1B"/>
    <w:rsid w:val="005E10AA"/>
    <w:rsid w:val="005E1C9A"/>
    <w:rsid w:val="005E265A"/>
    <w:rsid w:val="005E5712"/>
    <w:rsid w:val="005E5C30"/>
    <w:rsid w:val="005E679E"/>
    <w:rsid w:val="005E6FDA"/>
    <w:rsid w:val="005F14C0"/>
    <w:rsid w:val="005F2483"/>
    <w:rsid w:val="005F3899"/>
    <w:rsid w:val="005F58F4"/>
    <w:rsid w:val="005F69B7"/>
    <w:rsid w:val="006011E1"/>
    <w:rsid w:val="00601341"/>
    <w:rsid w:val="00605A70"/>
    <w:rsid w:val="00605DBD"/>
    <w:rsid w:val="00606F0D"/>
    <w:rsid w:val="006070D9"/>
    <w:rsid w:val="00610C05"/>
    <w:rsid w:val="00613750"/>
    <w:rsid w:val="0061467B"/>
    <w:rsid w:val="00614AAB"/>
    <w:rsid w:val="006155DA"/>
    <w:rsid w:val="006203E2"/>
    <w:rsid w:val="00621B1E"/>
    <w:rsid w:val="00621B85"/>
    <w:rsid w:val="006237DA"/>
    <w:rsid w:val="00623920"/>
    <w:rsid w:val="0062471D"/>
    <w:rsid w:val="0063140D"/>
    <w:rsid w:val="006353C3"/>
    <w:rsid w:val="00635448"/>
    <w:rsid w:val="006365E8"/>
    <w:rsid w:val="00636EF3"/>
    <w:rsid w:val="00637314"/>
    <w:rsid w:val="0064020D"/>
    <w:rsid w:val="00640213"/>
    <w:rsid w:val="00641714"/>
    <w:rsid w:val="00642033"/>
    <w:rsid w:val="006421FF"/>
    <w:rsid w:val="006428F2"/>
    <w:rsid w:val="0064348E"/>
    <w:rsid w:val="0064491C"/>
    <w:rsid w:val="00644E28"/>
    <w:rsid w:val="00647A0C"/>
    <w:rsid w:val="00650BDD"/>
    <w:rsid w:val="00651124"/>
    <w:rsid w:val="006512C1"/>
    <w:rsid w:val="00654135"/>
    <w:rsid w:val="006542EF"/>
    <w:rsid w:val="00655E12"/>
    <w:rsid w:val="00657DF6"/>
    <w:rsid w:val="006666D2"/>
    <w:rsid w:val="00671013"/>
    <w:rsid w:val="006748CB"/>
    <w:rsid w:val="00674968"/>
    <w:rsid w:val="00674B15"/>
    <w:rsid w:val="006763CC"/>
    <w:rsid w:val="0068574B"/>
    <w:rsid w:val="00685C81"/>
    <w:rsid w:val="00687E68"/>
    <w:rsid w:val="00691441"/>
    <w:rsid w:val="00693C4F"/>
    <w:rsid w:val="006943C9"/>
    <w:rsid w:val="006950E6"/>
    <w:rsid w:val="00695442"/>
    <w:rsid w:val="00695DF1"/>
    <w:rsid w:val="00695E60"/>
    <w:rsid w:val="006963F0"/>
    <w:rsid w:val="0069694D"/>
    <w:rsid w:val="006A1CFE"/>
    <w:rsid w:val="006A353E"/>
    <w:rsid w:val="006B1703"/>
    <w:rsid w:val="006B62A0"/>
    <w:rsid w:val="006B6610"/>
    <w:rsid w:val="006B6634"/>
    <w:rsid w:val="006B68FD"/>
    <w:rsid w:val="006B77E7"/>
    <w:rsid w:val="006B7FBA"/>
    <w:rsid w:val="006C51CE"/>
    <w:rsid w:val="006C672A"/>
    <w:rsid w:val="006C67AF"/>
    <w:rsid w:val="006C6FAD"/>
    <w:rsid w:val="006D1650"/>
    <w:rsid w:val="006D177C"/>
    <w:rsid w:val="006D3DDF"/>
    <w:rsid w:val="006D4453"/>
    <w:rsid w:val="006D457B"/>
    <w:rsid w:val="006D4AF5"/>
    <w:rsid w:val="006D5BB5"/>
    <w:rsid w:val="006D6C09"/>
    <w:rsid w:val="006D6F7C"/>
    <w:rsid w:val="006E3EC7"/>
    <w:rsid w:val="006E49D2"/>
    <w:rsid w:val="006F066A"/>
    <w:rsid w:val="006F14B4"/>
    <w:rsid w:val="006F5689"/>
    <w:rsid w:val="006F5AE5"/>
    <w:rsid w:val="0070079F"/>
    <w:rsid w:val="00704AC3"/>
    <w:rsid w:val="00705CAB"/>
    <w:rsid w:val="0071048E"/>
    <w:rsid w:val="007112AC"/>
    <w:rsid w:val="00711D94"/>
    <w:rsid w:val="00712F39"/>
    <w:rsid w:val="00714482"/>
    <w:rsid w:val="00717134"/>
    <w:rsid w:val="00717762"/>
    <w:rsid w:val="00717BDA"/>
    <w:rsid w:val="0072160E"/>
    <w:rsid w:val="00723847"/>
    <w:rsid w:val="00727BC0"/>
    <w:rsid w:val="00731751"/>
    <w:rsid w:val="007336AA"/>
    <w:rsid w:val="00733C05"/>
    <w:rsid w:val="00733EBE"/>
    <w:rsid w:val="00734C2A"/>
    <w:rsid w:val="0073582A"/>
    <w:rsid w:val="00736A75"/>
    <w:rsid w:val="00736EC1"/>
    <w:rsid w:val="00740822"/>
    <w:rsid w:val="007422E6"/>
    <w:rsid w:val="00742529"/>
    <w:rsid w:val="00742C61"/>
    <w:rsid w:val="00743B97"/>
    <w:rsid w:val="00746A58"/>
    <w:rsid w:val="00754219"/>
    <w:rsid w:val="007575F7"/>
    <w:rsid w:val="007616BA"/>
    <w:rsid w:val="00766553"/>
    <w:rsid w:val="00770181"/>
    <w:rsid w:val="00771C14"/>
    <w:rsid w:val="00776769"/>
    <w:rsid w:val="0077714E"/>
    <w:rsid w:val="00780073"/>
    <w:rsid w:val="00780B30"/>
    <w:rsid w:val="007825A9"/>
    <w:rsid w:val="00783D5A"/>
    <w:rsid w:val="00790C2E"/>
    <w:rsid w:val="00792FBE"/>
    <w:rsid w:val="00793009"/>
    <w:rsid w:val="0079377A"/>
    <w:rsid w:val="00794B60"/>
    <w:rsid w:val="00796BDC"/>
    <w:rsid w:val="007A1B1E"/>
    <w:rsid w:val="007A244C"/>
    <w:rsid w:val="007A5F31"/>
    <w:rsid w:val="007B5034"/>
    <w:rsid w:val="007B7062"/>
    <w:rsid w:val="007B7E54"/>
    <w:rsid w:val="007C526B"/>
    <w:rsid w:val="007C5C42"/>
    <w:rsid w:val="007E01B6"/>
    <w:rsid w:val="007E26F0"/>
    <w:rsid w:val="007E7ECA"/>
    <w:rsid w:val="007F116A"/>
    <w:rsid w:val="007F2551"/>
    <w:rsid w:val="007F4E82"/>
    <w:rsid w:val="008006A6"/>
    <w:rsid w:val="008016F1"/>
    <w:rsid w:val="008017E2"/>
    <w:rsid w:val="00801CCF"/>
    <w:rsid w:val="00801FD3"/>
    <w:rsid w:val="00805191"/>
    <w:rsid w:val="00807772"/>
    <w:rsid w:val="00810B1D"/>
    <w:rsid w:val="0081178C"/>
    <w:rsid w:val="00811FF9"/>
    <w:rsid w:val="00821E39"/>
    <w:rsid w:val="008229BA"/>
    <w:rsid w:val="00824D06"/>
    <w:rsid w:val="00825D34"/>
    <w:rsid w:val="008263BC"/>
    <w:rsid w:val="00826C2A"/>
    <w:rsid w:val="00827F53"/>
    <w:rsid w:val="0083126F"/>
    <w:rsid w:val="008317D8"/>
    <w:rsid w:val="0083376F"/>
    <w:rsid w:val="008366AE"/>
    <w:rsid w:val="00836D0A"/>
    <w:rsid w:val="00837C8C"/>
    <w:rsid w:val="00843332"/>
    <w:rsid w:val="00843DF2"/>
    <w:rsid w:val="00845237"/>
    <w:rsid w:val="0084588F"/>
    <w:rsid w:val="00850D69"/>
    <w:rsid w:val="00851387"/>
    <w:rsid w:val="0085551D"/>
    <w:rsid w:val="00855AFA"/>
    <w:rsid w:val="00856CD1"/>
    <w:rsid w:val="00862EBB"/>
    <w:rsid w:val="0086309C"/>
    <w:rsid w:val="0086366A"/>
    <w:rsid w:val="00863E2B"/>
    <w:rsid w:val="0086477B"/>
    <w:rsid w:val="00865336"/>
    <w:rsid w:val="00867519"/>
    <w:rsid w:val="00867D65"/>
    <w:rsid w:val="00877F3A"/>
    <w:rsid w:val="0088015C"/>
    <w:rsid w:val="00882217"/>
    <w:rsid w:val="00885B8D"/>
    <w:rsid w:val="008863F0"/>
    <w:rsid w:val="00886849"/>
    <w:rsid w:val="00887983"/>
    <w:rsid w:val="008910FE"/>
    <w:rsid w:val="00893357"/>
    <w:rsid w:val="00894D84"/>
    <w:rsid w:val="0089516F"/>
    <w:rsid w:val="00896508"/>
    <w:rsid w:val="00897992"/>
    <w:rsid w:val="00897F28"/>
    <w:rsid w:val="00897F90"/>
    <w:rsid w:val="008A1A7D"/>
    <w:rsid w:val="008A1F31"/>
    <w:rsid w:val="008A221E"/>
    <w:rsid w:val="008A2C2B"/>
    <w:rsid w:val="008A3D7A"/>
    <w:rsid w:val="008A41CF"/>
    <w:rsid w:val="008A5164"/>
    <w:rsid w:val="008A589F"/>
    <w:rsid w:val="008A5DEE"/>
    <w:rsid w:val="008B15C3"/>
    <w:rsid w:val="008B34FC"/>
    <w:rsid w:val="008B44C6"/>
    <w:rsid w:val="008B5CF6"/>
    <w:rsid w:val="008C279E"/>
    <w:rsid w:val="008C37FE"/>
    <w:rsid w:val="008C3AD1"/>
    <w:rsid w:val="008D07D1"/>
    <w:rsid w:val="008D26B4"/>
    <w:rsid w:val="008D3B4D"/>
    <w:rsid w:val="008D4D06"/>
    <w:rsid w:val="008E20AD"/>
    <w:rsid w:val="008E247F"/>
    <w:rsid w:val="008E2A32"/>
    <w:rsid w:val="008E370D"/>
    <w:rsid w:val="008E4C08"/>
    <w:rsid w:val="008E69F5"/>
    <w:rsid w:val="008F137F"/>
    <w:rsid w:val="008F1566"/>
    <w:rsid w:val="008F1A26"/>
    <w:rsid w:val="008F1CD5"/>
    <w:rsid w:val="008F3462"/>
    <w:rsid w:val="008F46A5"/>
    <w:rsid w:val="0090165F"/>
    <w:rsid w:val="00913641"/>
    <w:rsid w:val="00915C6A"/>
    <w:rsid w:val="0091730E"/>
    <w:rsid w:val="0092024F"/>
    <w:rsid w:val="00922C37"/>
    <w:rsid w:val="0092528C"/>
    <w:rsid w:val="00925883"/>
    <w:rsid w:val="00925F2C"/>
    <w:rsid w:val="00926E06"/>
    <w:rsid w:val="009405FF"/>
    <w:rsid w:val="00943031"/>
    <w:rsid w:val="00944829"/>
    <w:rsid w:val="0094568E"/>
    <w:rsid w:val="009512B2"/>
    <w:rsid w:val="00951A8F"/>
    <w:rsid w:val="00954B48"/>
    <w:rsid w:val="009578F5"/>
    <w:rsid w:val="00960BBC"/>
    <w:rsid w:val="00963A88"/>
    <w:rsid w:val="009641FA"/>
    <w:rsid w:val="00970968"/>
    <w:rsid w:val="00970FC1"/>
    <w:rsid w:val="0097568E"/>
    <w:rsid w:val="0097613A"/>
    <w:rsid w:val="00977162"/>
    <w:rsid w:val="009820F9"/>
    <w:rsid w:val="00982F5E"/>
    <w:rsid w:val="009832B3"/>
    <w:rsid w:val="00984601"/>
    <w:rsid w:val="00991EBC"/>
    <w:rsid w:val="00992D4C"/>
    <w:rsid w:val="0099656F"/>
    <w:rsid w:val="009A07FF"/>
    <w:rsid w:val="009A3A82"/>
    <w:rsid w:val="009A4B5F"/>
    <w:rsid w:val="009A593B"/>
    <w:rsid w:val="009A634E"/>
    <w:rsid w:val="009B0C44"/>
    <w:rsid w:val="009B3B6D"/>
    <w:rsid w:val="009B3BB7"/>
    <w:rsid w:val="009B78C2"/>
    <w:rsid w:val="009C02CF"/>
    <w:rsid w:val="009C20F5"/>
    <w:rsid w:val="009C23D5"/>
    <w:rsid w:val="009C2EF3"/>
    <w:rsid w:val="009C30AF"/>
    <w:rsid w:val="009C36BB"/>
    <w:rsid w:val="009C3BFD"/>
    <w:rsid w:val="009C49DF"/>
    <w:rsid w:val="009C7E31"/>
    <w:rsid w:val="009D51B7"/>
    <w:rsid w:val="009D713C"/>
    <w:rsid w:val="009D714D"/>
    <w:rsid w:val="009E0FDB"/>
    <w:rsid w:val="009E25C8"/>
    <w:rsid w:val="009E2FD6"/>
    <w:rsid w:val="009E35E5"/>
    <w:rsid w:val="009E54AF"/>
    <w:rsid w:val="009F0B90"/>
    <w:rsid w:val="009F4837"/>
    <w:rsid w:val="009F4F48"/>
    <w:rsid w:val="009F5CA1"/>
    <w:rsid w:val="009F76CE"/>
    <w:rsid w:val="00A01548"/>
    <w:rsid w:val="00A0155F"/>
    <w:rsid w:val="00A01BB9"/>
    <w:rsid w:val="00A02312"/>
    <w:rsid w:val="00A02D4A"/>
    <w:rsid w:val="00A060C8"/>
    <w:rsid w:val="00A13CE4"/>
    <w:rsid w:val="00A1551F"/>
    <w:rsid w:val="00A215D0"/>
    <w:rsid w:val="00A32243"/>
    <w:rsid w:val="00A3328F"/>
    <w:rsid w:val="00A344D6"/>
    <w:rsid w:val="00A410DB"/>
    <w:rsid w:val="00A41524"/>
    <w:rsid w:val="00A455B6"/>
    <w:rsid w:val="00A46F90"/>
    <w:rsid w:val="00A46FB8"/>
    <w:rsid w:val="00A47937"/>
    <w:rsid w:val="00A50634"/>
    <w:rsid w:val="00A507B4"/>
    <w:rsid w:val="00A50E39"/>
    <w:rsid w:val="00A5479B"/>
    <w:rsid w:val="00A552E3"/>
    <w:rsid w:val="00A60791"/>
    <w:rsid w:val="00A67DCA"/>
    <w:rsid w:val="00A70850"/>
    <w:rsid w:val="00A73A95"/>
    <w:rsid w:val="00A74E63"/>
    <w:rsid w:val="00A838CD"/>
    <w:rsid w:val="00A84326"/>
    <w:rsid w:val="00A869BC"/>
    <w:rsid w:val="00A87283"/>
    <w:rsid w:val="00A91BB1"/>
    <w:rsid w:val="00A92D23"/>
    <w:rsid w:val="00A93C72"/>
    <w:rsid w:val="00A95514"/>
    <w:rsid w:val="00A967A6"/>
    <w:rsid w:val="00AA0A13"/>
    <w:rsid w:val="00AA0F45"/>
    <w:rsid w:val="00AA27C1"/>
    <w:rsid w:val="00AA69B4"/>
    <w:rsid w:val="00AA706D"/>
    <w:rsid w:val="00AA7C08"/>
    <w:rsid w:val="00AB5D4E"/>
    <w:rsid w:val="00AB65C0"/>
    <w:rsid w:val="00AC183E"/>
    <w:rsid w:val="00AC294F"/>
    <w:rsid w:val="00AC49C7"/>
    <w:rsid w:val="00AC52EA"/>
    <w:rsid w:val="00AC53D0"/>
    <w:rsid w:val="00AC5937"/>
    <w:rsid w:val="00AC631F"/>
    <w:rsid w:val="00AD21C6"/>
    <w:rsid w:val="00AD38C2"/>
    <w:rsid w:val="00AD4CCD"/>
    <w:rsid w:val="00AE0120"/>
    <w:rsid w:val="00AE2603"/>
    <w:rsid w:val="00AE288D"/>
    <w:rsid w:val="00AE6F02"/>
    <w:rsid w:val="00AF3CD9"/>
    <w:rsid w:val="00AF4ABA"/>
    <w:rsid w:val="00AF5366"/>
    <w:rsid w:val="00AF68CE"/>
    <w:rsid w:val="00B00D7B"/>
    <w:rsid w:val="00B039E9"/>
    <w:rsid w:val="00B03C57"/>
    <w:rsid w:val="00B05B4F"/>
    <w:rsid w:val="00B064BE"/>
    <w:rsid w:val="00B06DF9"/>
    <w:rsid w:val="00B0735D"/>
    <w:rsid w:val="00B075DA"/>
    <w:rsid w:val="00B1028D"/>
    <w:rsid w:val="00B13768"/>
    <w:rsid w:val="00B146FE"/>
    <w:rsid w:val="00B14DDD"/>
    <w:rsid w:val="00B1575D"/>
    <w:rsid w:val="00B1771A"/>
    <w:rsid w:val="00B20781"/>
    <w:rsid w:val="00B218E7"/>
    <w:rsid w:val="00B22401"/>
    <w:rsid w:val="00B2398C"/>
    <w:rsid w:val="00B23C21"/>
    <w:rsid w:val="00B25CBB"/>
    <w:rsid w:val="00B3214A"/>
    <w:rsid w:val="00B35FFC"/>
    <w:rsid w:val="00B40F06"/>
    <w:rsid w:val="00B4698F"/>
    <w:rsid w:val="00B47B26"/>
    <w:rsid w:val="00B512FB"/>
    <w:rsid w:val="00B513AB"/>
    <w:rsid w:val="00B53C0C"/>
    <w:rsid w:val="00B604DF"/>
    <w:rsid w:val="00B613BF"/>
    <w:rsid w:val="00B6294E"/>
    <w:rsid w:val="00B62E04"/>
    <w:rsid w:val="00B67116"/>
    <w:rsid w:val="00B677EA"/>
    <w:rsid w:val="00B706EB"/>
    <w:rsid w:val="00B714C6"/>
    <w:rsid w:val="00B71573"/>
    <w:rsid w:val="00B756BD"/>
    <w:rsid w:val="00B76921"/>
    <w:rsid w:val="00B827F0"/>
    <w:rsid w:val="00B8340C"/>
    <w:rsid w:val="00B874CB"/>
    <w:rsid w:val="00B87A43"/>
    <w:rsid w:val="00B91A0D"/>
    <w:rsid w:val="00B9340C"/>
    <w:rsid w:val="00B94220"/>
    <w:rsid w:val="00B94679"/>
    <w:rsid w:val="00B95DF8"/>
    <w:rsid w:val="00BA15FE"/>
    <w:rsid w:val="00BA25C5"/>
    <w:rsid w:val="00BA50EF"/>
    <w:rsid w:val="00BA732F"/>
    <w:rsid w:val="00BB0156"/>
    <w:rsid w:val="00BB0ED9"/>
    <w:rsid w:val="00BB7ABF"/>
    <w:rsid w:val="00BC0823"/>
    <w:rsid w:val="00BC087E"/>
    <w:rsid w:val="00BC163F"/>
    <w:rsid w:val="00BC1907"/>
    <w:rsid w:val="00BC40C0"/>
    <w:rsid w:val="00BC59A2"/>
    <w:rsid w:val="00BC72BA"/>
    <w:rsid w:val="00BC7E41"/>
    <w:rsid w:val="00BD142F"/>
    <w:rsid w:val="00BD33A8"/>
    <w:rsid w:val="00BD5F30"/>
    <w:rsid w:val="00BE467B"/>
    <w:rsid w:val="00BE4FB3"/>
    <w:rsid w:val="00BE6A8F"/>
    <w:rsid w:val="00BF29BA"/>
    <w:rsid w:val="00BF571D"/>
    <w:rsid w:val="00BF647B"/>
    <w:rsid w:val="00BF7474"/>
    <w:rsid w:val="00BF7661"/>
    <w:rsid w:val="00C03F43"/>
    <w:rsid w:val="00C0445F"/>
    <w:rsid w:val="00C05B3B"/>
    <w:rsid w:val="00C06647"/>
    <w:rsid w:val="00C10C33"/>
    <w:rsid w:val="00C12710"/>
    <w:rsid w:val="00C154B1"/>
    <w:rsid w:val="00C1697A"/>
    <w:rsid w:val="00C21167"/>
    <w:rsid w:val="00C21253"/>
    <w:rsid w:val="00C23A1D"/>
    <w:rsid w:val="00C26C1A"/>
    <w:rsid w:val="00C26D2C"/>
    <w:rsid w:val="00C35C35"/>
    <w:rsid w:val="00C37380"/>
    <w:rsid w:val="00C45B82"/>
    <w:rsid w:val="00C47495"/>
    <w:rsid w:val="00C5176B"/>
    <w:rsid w:val="00C51AF9"/>
    <w:rsid w:val="00C522E5"/>
    <w:rsid w:val="00C545CC"/>
    <w:rsid w:val="00C57EAF"/>
    <w:rsid w:val="00C60338"/>
    <w:rsid w:val="00C6101F"/>
    <w:rsid w:val="00C61A69"/>
    <w:rsid w:val="00C71CB5"/>
    <w:rsid w:val="00C71F01"/>
    <w:rsid w:val="00C72B05"/>
    <w:rsid w:val="00C72DF4"/>
    <w:rsid w:val="00C75591"/>
    <w:rsid w:val="00C7770D"/>
    <w:rsid w:val="00C80089"/>
    <w:rsid w:val="00C801F6"/>
    <w:rsid w:val="00C8476A"/>
    <w:rsid w:val="00C8728F"/>
    <w:rsid w:val="00C9021E"/>
    <w:rsid w:val="00C90332"/>
    <w:rsid w:val="00C9093C"/>
    <w:rsid w:val="00CA7CD9"/>
    <w:rsid w:val="00CB0B76"/>
    <w:rsid w:val="00CB35EB"/>
    <w:rsid w:val="00CB3C44"/>
    <w:rsid w:val="00CC2C4B"/>
    <w:rsid w:val="00CC39D0"/>
    <w:rsid w:val="00CC4E1C"/>
    <w:rsid w:val="00CC5916"/>
    <w:rsid w:val="00CC7FC0"/>
    <w:rsid w:val="00CD1669"/>
    <w:rsid w:val="00CD4112"/>
    <w:rsid w:val="00CD554E"/>
    <w:rsid w:val="00CD6D7D"/>
    <w:rsid w:val="00CD72CA"/>
    <w:rsid w:val="00CE056B"/>
    <w:rsid w:val="00CE198C"/>
    <w:rsid w:val="00CE25A9"/>
    <w:rsid w:val="00CE3400"/>
    <w:rsid w:val="00CE40FA"/>
    <w:rsid w:val="00CE70EA"/>
    <w:rsid w:val="00CE7537"/>
    <w:rsid w:val="00CE7FDE"/>
    <w:rsid w:val="00CF0EEA"/>
    <w:rsid w:val="00CF3362"/>
    <w:rsid w:val="00CF58B7"/>
    <w:rsid w:val="00D000E5"/>
    <w:rsid w:val="00D00499"/>
    <w:rsid w:val="00D00E5B"/>
    <w:rsid w:val="00D021AA"/>
    <w:rsid w:val="00D02C1B"/>
    <w:rsid w:val="00D04AE4"/>
    <w:rsid w:val="00D055D1"/>
    <w:rsid w:val="00D0605F"/>
    <w:rsid w:val="00D075F9"/>
    <w:rsid w:val="00D109E7"/>
    <w:rsid w:val="00D114FF"/>
    <w:rsid w:val="00D12930"/>
    <w:rsid w:val="00D12B62"/>
    <w:rsid w:val="00D12D63"/>
    <w:rsid w:val="00D14AE5"/>
    <w:rsid w:val="00D17EF6"/>
    <w:rsid w:val="00D20CE3"/>
    <w:rsid w:val="00D21CDF"/>
    <w:rsid w:val="00D252B6"/>
    <w:rsid w:val="00D25A14"/>
    <w:rsid w:val="00D26621"/>
    <w:rsid w:val="00D266EA"/>
    <w:rsid w:val="00D303A3"/>
    <w:rsid w:val="00D32078"/>
    <w:rsid w:val="00D32756"/>
    <w:rsid w:val="00D35E41"/>
    <w:rsid w:val="00D36C76"/>
    <w:rsid w:val="00D420BB"/>
    <w:rsid w:val="00D43258"/>
    <w:rsid w:val="00D47076"/>
    <w:rsid w:val="00D47C82"/>
    <w:rsid w:val="00D51373"/>
    <w:rsid w:val="00D55068"/>
    <w:rsid w:val="00D5528A"/>
    <w:rsid w:val="00D56AB1"/>
    <w:rsid w:val="00D60039"/>
    <w:rsid w:val="00D6024E"/>
    <w:rsid w:val="00D61D65"/>
    <w:rsid w:val="00D64F92"/>
    <w:rsid w:val="00D6699B"/>
    <w:rsid w:val="00D67246"/>
    <w:rsid w:val="00D67253"/>
    <w:rsid w:val="00D67C85"/>
    <w:rsid w:val="00D702AD"/>
    <w:rsid w:val="00D70AEA"/>
    <w:rsid w:val="00D7562D"/>
    <w:rsid w:val="00D778AA"/>
    <w:rsid w:val="00D80AE7"/>
    <w:rsid w:val="00D8286C"/>
    <w:rsid w:val="00D843B4"/>
    <w:rsid w:val="00D86B4C"/>
    <w:rsid w:val="00D87867"/>
    <w:rsid w:val="00D94104"/>
    <w:rsid w:val="00D94225"/>
    <w:rsid w:val="00D94B3C"/>
    <w:rsid w:val="00D967B0"/>
    <w:rsid w:val="00D97E90"/>
    <w:rsid w:val="00DA0D67"/>
    <w:rsid w:val="00DA31D5"/>
    <w:rsid w:val="00DA4EFD"/>
    <w:rsid w:val="00DA5AC5"/>
    <w:rsid w:val="00DA6095"/>
    <w:rsid w:val="00DB3225"/>
    <w:rsid w:val="00DB3CB3"/>
    <w:rsid w:val="00DB414C"/>
    <w:rsid w:val="00DB4EF8"/>
    <w:rsid w:val="00DB4FCD"/>
    <w:rsid w:val="00DB50B9"/>
    <w:rsid w:val="00DB6F2E"/>
    <w:rsid w:val="00DB7919"/>
    <w:rsid w:val="00DC024A"/>
    <w:rsid w:val="00DC17A8"/>
    <w:rsid w:val="00DC1864"/>
    <w:rsid w:val="00DC2CA3"/>
    <w:rsid w:val="00DD0370"/>
    <w:rsid w:val="00DD0AE4"/>
    <w:rsid w:val="00DD260D"/>
    <w:rsid w:val="00DD30C9"/>
    <w:rsid w:val="00DD3C14"/>
    <w:rsid w:val="00DD451A"/>
    <w:rsid w:val="00DD6015"/>
    <w:rsid w:val="00DD60BF"/>
    <w:rsid w:val="00DE0DC6"/>
    <w:rsid w:val="00DE11A6"/>
    <w:rsid w:val="00DE3C79"/>
    <w:rsid w:val="00DE5524"/>
    <w:rsid w:val="00DF0D15"/>
    <w:rsid w:val="00DF1D4C"/>
    <w:rsid w:val="00DF26DC"/>
    <w:rsid w:val="00DF31FC"/>
    <w:rsid w:val="00DF456E"/>
    <w:rsid w:val="00DF54AC"/>
    <w:rsid w:val="00DF5D95"/>
    <w:rsid w:val="00DF6BB1"/>
    <w:rsid w:val="00DF7CA6"/>
    <w:rsid w:val="00E00651"/>
    <w:rsid w:val="00E0115E"/>
    <w:rsid w:val="00E01BF2"/>
    <w:rsid w:val="00E02D3D"/>
    <w:rsid w:val="00E03281"/>
    <w:rsid w:val="00E11C86"/>
    <w:rsid w:val="00E1244A"/>
    <w:rsid w:val="00E1382E"/>
    <w:rsid w:val="00E235D0"/>
    <w:rsid w:val="00E249E4"/>
    <w:rsid w:val="00E267D2"/>
    <w:rsid w:val="00E26B35"/>
    <w:rsid w:val="00E308B2"/>
    <w:rsid w:val="00E31F3C"/>
    <w:rsid w:val="00E3787E"/>
    <w:rsid w:val="00E37F27"/>
    <w:rsid w:val="00E4123A"/>
    <w:rsid w:val="00E41C43"/>
    <w:rsid w:val="00E435A8"/>
    <w:rsid w:val="00E44D45"/>
    <w:rsid w:val="00E455CE"/>
    <w:rsid w:val="00E52552"/>
    <w:rsid w:val="00E545D1"/>
    <w:rsid w:val="00E56223"/>
    <w:rsid w:val="00E570B1"/>
    <w:rsid w:val="00E61ACD"/>
    <w:rsid w:val="00E624CA"/>
    <w:rsid w:val="00E63DF4"/>
    <w:rsid w:val="00E72C7B"/>
    <w:rsid w:val="00E73DB8"/>
    <w:rsid w:val="00E741C5"/>
    <w:rsid w:val="00E74A24"/>
    <w:rsid w:val="00E74C2D"/>
    <w:rsid w:val="00E75422"/>
    <w:rsid w:val="00E75D60"/>
    <w:rsid w:val="00E77273"/>
    <w:rsid w:val="00E81275"/>
    <w:rsid w:val="00E82318"/>
    <w:rsid w:val="00E83096"/>
    <w:rsid w:val="00E87D71"/>
    <w:rsid w:val="00E91673"/>
    <w:rsid w:val="00E9272A"/>
    <w:rsid w:val="00E9350F"/>
    <w:rsid w:val="00E939B0"/>
    <w:rsid w:val="00E96FC5"/>
    <w:rsid w:val="00E97E8E"/>
    <w:rsid w:val="00EA0A3A"/>
    <w:rsid w:val="00EA180B"/>
    <w:rsid w:val="00EA18D7"/>
    <w:rsid w:val="00EA1EB6"/>
    <w:rsid w:val="00EA2080"/>
    <w:rsid w:val="00EA3ECD"/>
    <w:rsid w:val="00EA46AD"/>
    <w:rsid w:val="00EA5243"/>
    <w:rsid w:val="00EA616C"/>
    <w:rsid w:val="00EA7156"/>
    <w:rsid w:val="00EA7AE0"/>
    <w:rsid w:val="00EB0B92"/>
    <w:rsid w:val="00EB462B"/>
    <w:rsid w:val="00EB77B1"/>
    <w:rsid w:val="00EC05A1"/>
    <w:rsid w:val="00EC2CFC"/>
    <w:rsid w:val="00EC5441"/>
    <w:rsid w:val="00EC6CA8"/>
    <w:rsid w:val="00ED34E2"/>
    <w:rsid w:val="00ED795F"/>
    <w:rsid w:val="00EE0D6F"/>
    <w:rsid w:val="00EE260A"/>
    <w:rsid w:val="00EE3EEF"/>
    <w:rsid w:val="00EE3F34"/>
    <w:rsid w:val="00EE40F7"/>
    <w:rsid w:val="00EE4B88"/>
    <w:rsid w:val="00EF02D6"/>
    <w:rsid w:val="00EF1215"/>
    <w:rsid w:val="00EF2157"/>
    <w:rsid w:val="00EF407D"/>
    <w:rsid w:val="00EF48E7"/>
    <w:rsid w:val="00EF49BE"/>
    <w:rsid w:val="00EF53E6"/>
    <w:rsid w:val="00F00095"/>
    <w:rsid w:val="00F004AE"/>
    <w:rsid w:val="00F0425E"/>
    <w:rsid w:val="00F0527F"/>
    <w:rsid w:val="00F058CF"/>
    <w:rsid w:val="00F066C8"/>
    <w:rsid w:val="00F07981"/>
    <w:rsid w:val="00F1104A"/>
    <w:rsid w:val="00F14F7D"/>
    <w:rsid w:val="00F158A8"/>
    <w:rsid w:val="00F20191"/>
    <w:rsid w:val="00F20E41"/>
    <w:rsid w:val="00F23167"/>
    <w:rsid w:val="00F237B9"/>
    <w:rsid w:val="00F24790"/>
    <w:rsid w:val="00F2546E"/>
    <w:rsid w:val="00F27EB2"/>
    <w:rsid w:val="00F314D8"/>
    <w:rsid w:val="00F3253F"/>
    <w:rsid w:val="00F32A83"/>
    <w:rsid w:val="00F34453"/>
    <w:rsid w:val="00F34878"/>
    <w:rsid w:val="00F354B4"/>
    <w:rsid w:val="00F413EC"/>
    <w:rsid w:val="00F4276A"/>
    <w:rsid w:val="00F42D8D"/>
    <w:rsid w:val="00F448DD"/>
    <w:rsid w:val="00F455DB"/>
    <w:rsid w:val="00F45D2D"/>
    <w:rsid w:val="00F4788B"/>
    <w:rsid w:val="00F533ED"/>
    <w:rsid w:val="00F5708B"/>
    <w:rsid w:val="00F60082"/>
    <w:rsid w:val="00F6207D"/>
    <w:rsid w:val="00F64BE6"/>
    <w:rsid w:val="00F64DF3"/>
    <w:rsid w:val="00F65ECA"/>
    <w:rsid w:val="00F66BE6"/>
    <w:rsid w:val="00F7212A"/>
    <w:rsid w:val="00F728A4"/>
    <w:rsid w:val="00F8211B"/>
    <w:rsid w:val="00F82BD5"/>
    <w:rsid w:val="00F8377D"/>
    <w:rsid w:val="00F85459"/>
    <w:rsid w:val="00F85EB6"/>
    <w:rsid w:val="00F87CD9"/>
    <w:rsid w:val="00F959B5"/>
    <w:rsid w:val="00FA0CC5"/>
    <w:rsid w:val="00FA1CD7"/>
    <w:rsid w:val="00FA4258"/>
    <w:rsid w:val="00FA5902"/>
    <w:rsid w:val="00FA76A8"/>
    <w:rsid w:val="00FA7C69"/>
    <w:rsid w:val="00FB18D6"/>
    <w:rsid w:val="00FB40B2"/>
    <w:rsid w:val="00FB57C1"/>
    <w:rsid w:val="00FB72D3"/>
    <w:rsid w:val="00FC0C69"/>
    <w:rsid w:val="00FC2C14"/>
    <w:rsid w:val="00FC4E7F"/>
    <w:rsid w:val="00FC4FEF"/>
    <w:rsid w:val="00FC706D"/>
    <w:rsid w:val="00FD0712"/>
    <w:rsid w:val="00FD1B0D"/>
    <w:rsid w:val="00FD40A0"/>
    <w:rsid w:val="00FD4654"/>
    <w:rsid w:val="00FD5FD9"/>
    <w:rsid w:val="00FD62E0"/>
    <w:rsid w:val="00FD6647"/>
    <w:rsid w:val="00FD795B"/>
    <w:rsid w:val="00FE061D"/>
    <w:rsid w:val="00FE06BD"/>
    <w:rsid w:val="00FE27CD"/>
    <w:rsid w:val="00FE2B05"/>
    <w:rsid w:val="00FE2C4A"/>
    <w:rsid w:val="00FE3F8E"/>
    <w:rsid w:val="00FE4A7F"/>
    <w:rsid w:val="00FF09FC"/>
    <w:rsid w:val="00FF1E90"/>
    <w:rsid w:val="00FF3A33"/>
    <w:rsid w:val="00FF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F31DF-C846-4818-94AF-61449BD4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locked="1" w:semiHidden="1" w:unhideWhenUsed="1"/>
    <w:lsdException w:name="footnote text" w:semiHidden="1" w:unhideWhenUsed="1" w:qFormat="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lsdException w:name="List 2" w:locked="1" w:semiHidden="1" w:unhideWhenUsed="1"/>
    <w:lsdException w:name="List 3" w:locked="1" w:semiHidden="1" w:unhideWhenUsed="1"/>
    <w:lsdException w:name="List 4" w:locked="1" w:semiHidden="1"/>
    <w:lsdException w:name="List 5" w:locked="1" w:semiHidden="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lsdException w:name="Date" w:locked="1" w:semiHidden="1"/>
    <w:lsdException w:name="Body Text First Indent" w:locked="1" w:semiHidden="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iPriority="0"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0" w:unhideWhenUsed="1"/>
    <w:lsdException w:name="Table Grid"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D69"/>
    <w:pPr>
      <w:spacing w:line="360" w:lineRule="auto"/>
      <w:jc w:val="both"/>
    </w:pPr>
    <w:rPr>
      <w:sz w:val="24"/>
      <w:szCs w:val="24"/>
    </w:rPr>
  </w:style>
  <w:style w:type="paragraph" w:styleId="Heading1">
    <w:name w:val="heading 1"/>
    <w:basedOn w:val="Normal"/>
    <w:next w:val="Normal"/>
    <w:link w:val="Heading1Char"/>
    <w:qFormat/>
    <w:rsid w:val="005B571B"/>
    <w:pPr>
      <w:keepNext/>
      <w:numPr>
        <w:numId w:val="9"/>
      </w:numPr>
      <w:tabs>
        <w:tab w:val="left" w:pos="720"/>
      </w:tabs>
      <w:autoSpaceDE w:val="0"/>
      <w:autoSpaceDN w:val="0"/>
      <w:adjustRightInd w:val="0"/>
      <w:spacing w:before="240" w:after="60"/>
      <w:jc w:val="center"/>
      <w:outlineLvl w:val="0"/>
    </w:pPr>
    <w:rPr>
      <w:rFonts w:cs="Arial"/>
      <w:b/>
      <w:bCs/>
      <w:caps/>
      <w:kern w:val="32"/>
      <w:szCs w:val="32"/>
    </w:rPr>
  </w:style>
  <w:style w:type="paragraph" w:styleId="Heading2">
    <w:name w:val="heading 2"/>
    <w:basedOn w:val="Normal"/>
    <w:next w:val="Normal"/>
    <w:link w:val="Heading2Char"/>
    <w:qFormat/>
    <w:rsid w:val="005B571B"/>
    <w:pPr>
      <w:keepNext/>
      <w:numPr>
        <w:ilvl w:val="1"/>
        <w:numId w:val="9"/>
      </w:numPr>
      <w:autoSpaceDE w:val="0"/>
      <w:autoSpaceDN w:val="0"/>
      <w:adjustRightInd w:val="0"/>
      <w:spacing w:before="240" w:after="60"/>
      <w:ind w:right="720"/>
      <w:outlineLvl w:val="1"/>
    </w:pPr>
    <w:rPr>
      <w:rFonts w:cs="Arial"/>
      <w:b/>
      <w:bCs/>
      <w:iCs/>
      <w:szCs w:val="28"/>
    </w:rPr>
  </w:style>
  <w:style w:type="paragraph" w:styleId="Heading3">
    <w:name w:val="heading 3"/>
    <w:basedOn w:val="Normal"/>
    <w:next w:val="Normal"/>
    <w:link w:val="Heading3Char"/>
    <w:qFormat/>
    <w:rsid w:val="005B571B"/>
    <w:pPr>
      <w:keepNext/>
      <w:numPr>
        <w:ilvl w:val="2"/>
        <w:numId w:val="9"/>
      </w:numPr>
      <w:autoSpaceDE w:val="0"/>
      <w:autoSpaceDN w:val="0"/>
      <w:adjustRightInd w:val="0"/>
      <w:spacing w:before="240" w:after="60"/>
      <w:ind w:right="720"/>
      <w:outlineLvl w:val="2"/>
    </w:pPr>
    <w:rPr>
      <w:rFonts w:cs="Arial"/>
      <w:b/>
      <w:bCs/>
      <w:szCs w:val="26"/>
    </w:rPr>
  </w:style>
  <w:style w:type="paragraph" w:styleId="Heading4">
    <w:name w:val="heading 4"/>
    <w:basedOn w:val="Normal"/>
    <w:next w:val="Normal"/>
    <w:link w:val="Heading4Char"/>
    <w:qFormat/>
    <w:rsid w:val="005B571B"/>
    <w:pPr>
      <w:keepNext/>
      <w:numPr>
        <w:ilvl w:val="3"/>
        <w:numId w:val="9"/>
      </w:numPr>
      <w:tabs>
        <w:tab w:val="left" w:pos="720"/>
      </w:tabs>
      <w:autoSpaceDE w:val="0"/>
      <w:autoSpaceDN w:val="0"/>
      <w:adjustRightInd w:val="0"/>
      <w:spacing w:before="240" w:after="60"/>
      <w:ind w:right="720"/>
      <w:outlineLvl w:val="3"/>
    </w:pPr>
    <w:rPr>
      <w:b/>
      <w:bCs/>
      <w:szCs w:val="28"/>
    </w:rPr>
  </w:style>
  <w:style w:type="paragraph" w:styleId="Heading5">
    <w:name w:val="heading 5"/>
    <w:basedOn w:val="Normal"/>
    <w:next w:val="Normal"/>
    <w:link w:val="Heading5Char"/>
    <w:qFormat/>
    <w:rsid w:val="005B571B"/>
    <w:pPr>
      <w:numPr>
        <w:ilvl w:val="4"/>
        <w:numId w:val="9"/>
      </w:numPr>
      <w:tabs>
        <w:tab w:val="left" w:pos="720"/>
      </w:tabs>
      <w:autoSpaceDE w:val="0"/>
      <w:autoSpaceDN w:val="0"/>
      <w:adjustRightInd w:val="0"/>
      <w:spacing w:before="240" w:after="60"/>
      <w:ind w:right="720"/>
      <w:outlineLvl w:val="4"/>
    </w:pPr>
    <w:rPr>
      <w:b/>
      <w:bCs/>
      <w:iCs/>
      <w:szCs w:val="26"/>
    </w:rPr>
  </w:style>
  <w:style w:type="paragraph" w:styleId="Heading6">
    <w:name w:val="heading 6"/>
    <w:basedOn w:val="Normal"/>
    <w:next w:val="Normal"/>
    <w:link w:val="Heading6Char"/>
    <w:qFormat/>
    <w:rsid w:val="005B571B"/>
    <w:pPr>
      <w:numPr>
        <w:ilvl w:val="5"/>
        <w:numId w:val="9"/>
      </w:numPr>
      <w:tabs>
        <w:tab w:val="left" w:pos="720"/>
      </w:tabs>
      <w:autoSpaceDE w:val="0"/>
      <w:autoSpaceDN w:val="0"/>
      <w:adjustRightInd w:val="0"/>
      <w:spacing w:before="240" w:after="60"/>
      <w:ind w:right="720"/>
      <w:outlineLvl w:val="5"/>
    </w:pPr>
    <w:rPr>
      <w:b/>
      <w:bCs/>
      <w:szCs w:val="22"/>
    </w:rPr>
  </w:style>
  <w:style w:type="paragraph" w:styleId="Heading7">
    <w:name w:val="heading 7"/>
    <w:basedOn w:val="Normal"/>
    <w:next w:val="Normal"/>
    <w:link w:val="Heading7Char"/>
    <w:qFormat/>
    <w:rsid w:val="005B571B"/>
    <w:pPr>
      <w:numPr>
        <w:ilvl w:val="6"/>
        <w:numId w:val="9"/>
      </w:numPr>
      <w:tabs>
        <w:tab w:val="left" w:pos="720"/>
      </w:tabs>
      <w:autoSpaceDE w:val="0"/>
      <w:autoSpaceDN w:val="0"/>
      <w:adjustRightInd w:val="0"/>
      <w:spacing w:before="240" w:after="60"/>
      <w:ind w:right="720"/>
      <w:outlineLvl w:val="6"/>
    </w:pPr>
    <w:rPr>
      <w:b/>
      <w:i/>
    </w:rPr>
  </w:style>
  <w:style w:type="paragraph" w:styleId="Heading8">
    <w:name w:val="heading 8"/>
    <w:basedOn w:val="Normal"/>
    <w:next w:val="Normal"/>
    <w:link w:val="Heading8Char"/>
    <w:qFormat/>
    <w:rsid w:val="005B571B"/>
    <w:pPr>
      <w:numPr>
        <w:ilvl w:val="7"/>
        <w:numId w:val="9"/>
      </w:numPr>
      <w:autoSpaceDE w:val="0"/>
      <w:autoSpaceDN w:val="0"/>
      <w:adjustRightInd w:val="0"/>
      <w:spacing w:before="240" w:after="60"/>
      <w:outlineLvl w:val="7"/>
    </w:pPr>
    <w:rPr>
      <w:b/>
      <w:i/>
      <w:iCs/>
    </w:rPr>
  </w:style>
  <w:style w:type="paragraph" w:styleId="Heading9">
    <w:name w:val="heading 9"/>
    <w:basedOn w:val="Normal"/>
    <w:next w:val="Normal"/>
    <w:link w:val="Heading9Char"/>
    <w:qFormat/>
    <w:rsid w:val="005B571B"/>
    <w:pPr>
      <w:numPr>
        <w:ilvl w:val="8"/>
        <w:numId w:val="9"/>
      </w:numPr>
      <w:autoSpaceDE w:val="0"/>
      <w:autoSpaceDN w:val="0"/>
      <w:adjustRightInd w:val="0"/>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F42D8D"/>
    <w:pPr>
      <w:ind w:left="720" w:right="720"/>
    </w:pPr>
  </w:style>
  <w:style w:type="character" w:customStyle="1" w:styleId="QuoteChar">
    <w:name w:val="Quote Char"/>
    <w:basedOn w:val="DefaultParagraphFont"/>
    <w:link w:val="Quote"/>
    <w:uiPriority w:val="29"/>
    <w:rsid w:val="00F42D8D"/>
    <w:rPr>
      <w:rFonts w:eastAsia="Times New Roman"/>
      <w:sz w:val="24"/>
      <w:szCs w:val="24"/>
    </w:rPr>
  </w:style>
  <w:style w:type="paragraph" w:styleId="FootnoteText">
    <w:name w:val="footnote text"/>
    <w:aliases w:val="Char2,Char,Footnote Text MAH,Footnote Text Char2,Footnote Text Char Char,Footnote Text Char2 Char Char,Footnote Text Char Char Char1 Char,Footnote Text Char2 Char Char Char1 Char,Footnote Text Char Char Char1 Char Char Char1"/>
    <w:basedOn w:val="Normal"/>
    <w:link w:val="FootnoteTextChar"/>
    <w:uiPriority w:val="99"/>
    <w:qFormat/>
    <w:rsid w:val="00F42D8D"/>
    <w:rPr>
      <w:sz w:val="20"/>
      <w:szCs w:val="20"/>
    </w:rPr>
  </w:style>
  <w:style w:type="character" w:customStyle="1" w:styleId="FootnoteTextChar">
    <w:name w:val="Footnote Text Char"/>
    <w:aliases w:val="Char2 Char,Char Char,Footnote Text MAH Char,Footnote Text Char2 Char,Footnote Text Char Char Char,Footnote Text Char2 Char Char Char,Footnote Text Char Char Char1 Char Char,Footnote Text Char2 Char Char Char1 Char Char"/>
    <w:basedOn w:val="DefaultParagraphFont"/>
    <w:link w:val="FootnoteText"/>
    <w:uiPriority w:val="99"/>
    <w:rsid w:val="00F42D8D"/>
    <w:rPr>
      <w:rFonts w:eastAsia="Times New Roman"/>
    </w:rPr>
  </w:style>
  <w:style w:type="character" w:customStyle="1" w:styleId="Heading1Char">
    <w:name w:val="Heading 1 Char"/>
    <w:basedOn w:val="DefaultParagraphFont"/>
    <w:link w:val="Heading1"/>
    <w:rsid w:val="00F42D8D"/>
    <w:rPr>
      <w:rFonts w:cs="Arial"/>
      <w:b/>
      <w:bCs/>
      <w:caps/>
      <w:kern w:val="32"/>
      <w:sz w:val="24"/>
      <w:szCs w:val="32"/>
    </w:rPr>
  </w:style>
  <w:style w:type="character" w:customStyle="1" w:styleId="Heading2Char">
    <w:name w:val="Heading 2 Char"/>
    <w:basedOn w:val="DefaultParagraphFont"/>
    <w:link w:val="Heading2"/>
    <w:rsid w:val="00F42D8D"/>
    <w:rPr>
      <w:rFonts w:cs="Arial"/>
      <w:b/>
      <w:bCs/>
      <w:iCs/>
      <w:sz w:val="24"/>
      <w:szCs w:val="28"/>
    </w:rPr>
  </w:style>
  <w:style w:type="character" w:customStyle="1" w:styleId="Heading3Char">
    <w:name w:val="Heading 3 Char"/>
    <w:basedOn w:val="DefaultParagraphFont"/>
    <w:link w:val="Heading3"/>
    <w:rsid w:val="00F42D8D"/>
    <w:rPr>
      <w:rFonts w:cs="Arial"/>
      <w:b/>
      <w:bCs/>
      <w:sz w:val="24"/>
      <w:szCs w:val="26"/>
    </w:rPr>
  </w:style>
  <w:style w:type="character" w:customStyle="1" w:styleId="Heading4Char">
    <w:name w:val="Heading 4 Char"/>
    <w:basedOn w:val="DefaultParagraphFont"/>
    <w:link w:val="Heading4"/>
    <w:rsid w:val="00F42D8D"/>
    <w:rPr>
      <w:b/>
      <w:bCs/>
      <w:sz w:val="24"/>
      <w:szCs w:val="28"/>
    </w:rPr>
  </w:style>
  <w:style w:type="character" w:customStyle="1" w:styleId="Heading5Char">
    <w:name w:val="Heading 5 Char"/>
    <w:basedOn w:val="DefaultParagraphFont"/>
    <w:link w:val="Heading5"/>
    <w:rsid w:val="00F42D8D"/>
    <w:rPr>
      <w:b/>
      <w:bCs/>
      <w:iCs/>
      <w:sz w:val="24"/>
      <w:szCs w:val="26"/>
    </w:rPr>
  </w:style>
  <w:style w:type="character" w:customStyle="1" w:styleId="Heading6Char">
    <w:name w:val="Heading 6 Char"/>
    <w:basedOn w:val="DefaultParagraphFont"/>
    <w:link w:val="Heading6"/>
    <w:rsid w:val="00F42D8D"/>
    <w:rPr>
      <w:b/>
      <w:bCs/>
      <w:sz w:val="24"/>
      <w:szCs w:val="22"/>
    </w:rPr>
  </w:style>
  <w:style w:type="character" w:customStyle="1" w:styleId="Heading7Char">
    <w:name w:val="Heading 7 Char"/>
    <w:basedOn w:val="DefaultParagraphFont"/>
    <w:link w:val="Heading7"/>
    <w:rsid w:val="00F42D8D"/>
    <w:rPr>
      <w:b/>
      <w:i/>
      <w:sz w:val="24"/>
      <w:szCs w:val="24"/>
    </w:rPr>
  </w:style>
  <w:style w:type="character" w:customStyle="1" w:styleId="Heading8Char">
    <w:name w:val="Heading 8 Char"/>
    <w:basedOn w:val="DefaultParagraphFont"/>
    <w:link w:val="Heading8"/>
    <w:rsid w:val="00F42D8D"/>
    <w:rPr>
      <w:b/>
      <w:i/>
      <w:iCs/>
      <w:sz w:val="24"/>
      <w:szCs w:val="24"/>
    </w:rPr>
  </w:style>
  <w:style w:type="character" w:customStyle="1" w:styleId="Heading9Char">
    <w:name w:val="Heading 9 Char"/>
    <w:basedOn w:val="DefaultParagraphFont"/>
    <w:link w:val="Heading9"/>
    <w:rsid w:val="00F42D8D"/>
    <w:rPr>
      <w:rFonts w:ascii="Arial" w:hAnsi="Arial" w:cs="Arial"/>
      <w:sz w:val="22"/>
      <w:szCs w:val="22"/>
    </w:rPr>
  </w:style>
  <w:style w:type="paragraph" w:styleId="Caption">
    <w:name w:val="caption"/>
    <w:basedOn w:val="Normal"/>
    <w:next w:val="Normal"/>
    <w:semiHidden/>
    <w:unhideWhenUsed/>
    <w:qFormat/>
    <w:rsid w:val="00A967A6"/>
    <w:rPr>
      <w:b/>
      <w:bCs/>
      <w:sz w:val="20"/>
    </w:rPr>
  </w:style>
  <w:style w:type="paragraph" w:styleId="ListParagraph">
    <w:name w:val="List Paragraph"/>
    <w:basedOn w:val="Normal"/>
    <w:uiPriority w:val="34"/>
    <w:qFormat/>
    <w:rsid w:val="00F42D8D"/>
    <w:pPr>
      <w:ind w:left="720"/>
      <w:contextualSpacing/>
    </w:pPr>
  </w:style>
  <w:style w:type="character" w:styleId="BookTitle">
    <w:name w:val="Book Title"/>
    <w:uiPriority w:val="33"/>
    <w:qFormat/>
    <w:rsid w:val="00A967A6"/>
    <w:rPr>
      <w:b/>
      <w:bCs/>
      <w:smallCaps/>
      <w:spacing w:val="5"/>
    </w:rPr>
  </w:style>
  <w:style w:type="paragraph" w:customStyle="1" w:styleId="Quote1">
    <w:name w:val="Quote1"/>
    <w:basedOn w:val="Normal"/>
    <w:rsid w:val="00F42D8D"/>
    <w:pPr>
      <w:ind w:left="720" w:right="720"/>
    </w:pPr>
  </w:style>
  <w:style w:type="paragraph" w:styleId="Header">
    <w:name w:val="header"/>
    <w:basedOn w:val="Normal"/>
    <w:link w:val="HeaderChar"/>
    <w:unhideWhenUsed/>
    <w:rsid w:val="00F42D8D"/>
    <w:pPr>
      <w:tabs>
        <w:tab w:val="center" w:pos="4680"/>
        <w:tab w:val="right" w:pos="9360"/>
      </w:tabs>
      <w:jc w:val="left"/>
    </w:pPr>
    <w:rPr>
      <w:rFonts w:eastAsiaTheme="minorHAnsi" w:cstheme="minorBidi"/>
    </w:rPr>
  </w:style>
  <w:style w:type="character" w:customStyle="1" w:styleId="HeaderChar">
    <w:name w:val="Header Char"/>
    <w:basedOn w:val="DefaultParagraphFont"/>
    <w:link w:val="Header"/>
    <w:rsid w:val="00F42D8D"/>
    <w:rPr>
      <w:rFonts w:eastAsiaTheme="minorHAnsi" w:cstheme="minorBidi"/>
      <w:sz w:val="24"/>
      <w:szCs w:val="24"/>
    </w:rPr>
  </w:style>
  <w:style w:type="paragraph" w:styleId="Footer">
    <w:name w:val="footer"/>
    <w:basedOn w:val="Normal"/>
    <w:link w:val="FooterChar"/>
    <w:rsid w:val="00F42D8D"/>
    <w:pPr>
      <w:tabs>
        <w:tab w:val="center" w:pos="4320"/>
        <w:tab w:val="right" w:pos="8640"/>
      </w:tabs>
    </w:pPr>
  </w:style>
  <w:style w:type="character" w:customStyle="1" w:styleId="FooterChar">
    <w:name w:val="Footer Char"/>
    <w:link w:val="Footer"/>
    <w:rsid w:val="00A967A6"/>
    <w:rPr>
      <w:rFonts w:eastAsia="Times New Roman"/>
      <w:sz w:val="24"/>
      <w:szCs w:val="24"/>
    </w:rPr>
  </w:style>
  <w:style w:type="character" w:styleId="FootnoteReference">
    <w:name w:val="footnote reference"/>
    <w:aliases w:val="o,fr,Style 3,Style 21,Style 12"/>
    <w:basedOn w:val="DefaultParagraphFont"/>
    <w:uiPriority w:val="99"/>
    <w:rsid w:val="00F42D8D"/>
    <w:rPr>
      <w:vertAlign w:val="superscript"/>
    </w:rPr>
  </w:style>
  <w:style w:type="character" w:styleId="PageNumber">
    <w:name w:val="page number"/>
    <w:basedOn w:val="DefaultParagraphFont"/>
    <w:rsid w:val="00F42D8D"/>
  </w:style>
  <w:style w:type="paragraph" w:styleId="BalloonText">
    <w:name w:val="Balloon Text"/>
    <w:basedOn w:val="Normal"/>
    <w:link w:val="BalloonTextChar"/>
    <w:rsid w:val="00F42D8D"/>
    <w:rPr>
      <w:rFonts w:ascii="Tahoma" w:hAnsi="Tahoma" w:cs="Tahoma"/>
      <w:sz w:val="16"/>
      <w:szCs w:val="16"/>
    </w:rPr>
  </w:style>
  <w:style w:type="character" w:customStyle="1" w:styleId="BalloonTextChar">
    <w:name w:val="Balloon Text Char"/>
    <w:basedOn w:val="DefaultParagraphFont"/>
    <w:link w:val="BalloonText"/>
    <w:rsid w:val="00F42D8D"/>
    <w:rPr>
      <w:rFonts w:ascii="Tahoma" w:eastAsia="Times New Roman" w:hAnsi="Tahoma" w:cs="Tahoma"/>
      <w:sz w:val="16"/>
      <w:szCs w:val="16"/>
    </w:rPr>
  </w:style>
  <w:style w:type="table" w:styleId="TableGrid">
    <w:name w:val="Table Grid"/>
    <w:basedOn w:val="TableNormal"/>
    <w:rsid w:val="00F42D8D"/>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rsid w:val="00A967A6"/>
    <w:rPr>
      <w:b/>
      <w:bCs/>
    </w:rPr>
  </w:style>
  <w:style w:type="paragraph" w:customStyle="1" w:styleId="Blockquote">
    <w:name w:val="Block quote"/>
    <w:basedOn w:val="Normal"/>
    <w:rsid w:val="00A967A6"/>
    <w:pPr>
      <w:ind w:left="720" w:right="720"/>
    </w:pPr>
  </w:style>
  <w:style w:type="character" w:customStyle="1" w:styleId="Document1">
    <w:name w:val="Document[1]"/>
    <w:uiPriority w:val="99"/>
    <w:rsid w:val="00A967A6"/>
    <w:rPr>
      <w:b/>
      <w:sz w:val="36"/>
    </w:rPr>
  </w:style>
  <w:style w:type="paragraph" w:customStyle="1" w:styleId="Level1">
    <w:name w:val="Level 1"/>
    <w:basedOn w:val="Normal"/>
    <w:rsid w:val="00A967A6"/>
    <w:pPr>
      <w:tabs>
        <w:tab w:val="num" w:pos="360"/>
      </w:tabs>
      <w:ind w:right="720"/>
      <w:outlineLvl w:val="0"/>
    </w:pPr>
  </w:style>
  <w:style w:type="paragraph" w:customStyle="1" w:styleId="fof">
    <w:name w:val="fof"/>
    <w:basedOn w:val="Normal"/>
    <w:uiPriority w:val="99"/>
    <w:rsid w:val="00A967A6"/>
    <w:pPr>
      <w:numPr>
        <w:numId w:val="2"/>
      </w:numPr>
    </w:pPr>
  </w:style>
  <w:style w:type="numbering" w:customStyle="1" w:styleId="StyleNumberedLeft0Hanging05">
    <w:name w:val="Style Numbered Left:  0&quot; Hanging:  0.5&quot;"/>
    <w:rsid w:val="00A967A6"/>
    <w:pPr>
      <w:numPr>
        <w:numId w:val="1"/>
      </w:numPr>
    </w:pPr>
  </w:style>
  <w:style w:type="character" w:styleId="Hyperlink">
    <w:name w:val="Hyperlink"/>
    <w:basedOn w:val="DefaultParagraphFont"/>
    <w:uiPriority w:val="99"/>
    <w:rsid w:val="00F42D8D"/>
    <w:rPr>
      <w:color w:val="0000FF" w:themeColor="hyperlink"/>
      <w:u w:val="single"/>
    </w:rPr>
  </w:style>
  <w:style w:type="paragraph" w:customStyle="1" w:styleId="aHeading4">
    <w:name w:val="a) Heading 4"/>
    <w:basedOn w:val="Heading3"/>
    <w:rsid w:val="00F42D8D"/>
    <w:pPr>
      <w:numPr>
        <w:ilvl w:val="3"/>
        <w:numId w:val="3"/>
      </w:numPr>
      <w:spacing w:after="0"/>
    </w:pPr>
    <w:rPr>
      <w:rFonts w:cs="Times New Roman"/>
      <w:bCs w:val="0"/>
    </w:rPr>
  </w:style>
  <w:style w:type="paragraph" w:styleId="List">
    <w:name w:val="List"/>
    <w:basedOn w:val="Normal"/>
    <w:locked/>
    <w:rsid w:val="00F42D8D"/>
    <w:pPr>
      <w:ind w:left="360" w:hanging="360"/>
      <w:contextualSpacing/>
    </w:pPr>
  </w:style>
  <w:style w:type="paragraph" w:customStyle="1" w:styleId="Heading15">
    <w:name w:val="Heading 1.5"/>
    <w:basedOn w:val="List"/>
    <w:link w:val="Heading15Char"/>
    <w:qFormat/>
    <w:rsid w:val="00F42D8D"/>
    <w:pPr>
      <w:numPr>
        <w:numId w:val="4"/>
      </w:numPr>
      <w:spacing w:after="120"/>
      <w:outlineLvl w:val="0"/>
    </w:pPr>
    <w:rPr>
      <w:rFonts w:eastAsiaTheme="minorHAnsi" w:cstheme="minorBidi"/>
      <w:b/>
    </w:rPr>
  </w:style>
  <w:style w:type="character" w:customStyle="1" w:styleId="Heading15Char">
    <w:name w:val="Heading 1.5 Char"/>
    <w:basedOn w:val="DefaultParagraphFont"/>
    <w:link w:val="Heading15"/>
    <w:rsid w:val="00F42D8D"/>
    <w:rPr>
      <w:rFonts w:eastAsiaTheme="minorHAnsi" w:cstheme="minorBidi"/>
      <w:b/>
      <w:sz w:val="24"/>
      <w:szCs w:val="24"/>
    </w:rPr>
  </w:style>
  <w:style w:type="paragraph" w:customStyle="1" w:styleId="Heading25">
    <w:name w:val="Heading 2.5"/>
    <w:basedOn w:val="ListParagraph"/>
    <w:link w:val="Heading25Char"/>
    <w:qFormat/>
    <w:rsid w:val="00F42D8D"/>
    <w:pPr>
      <w:numPr>
        <w:numId w:val="5"/>
      </w:numPr>
      <w:spacing w:after="120"/>
      <w:jc w:val="left"/>
      <w:outlineLvl w:val="1"/>
    </w:pPr>
    <w:rPr>
      <w:rFonts w:eastAsiaTheme="minorHAnsi" w:cstheme="minorBidi"/>
      <w:b/>
    </w:rPr>
  </w:style>
  <w:style w:type="character" w:customStyle="1" w:styleId="Heading25Char">
    <w:name w:val="Heading 2.5 Char"/>
    <w:basedOn w:val="DefaultParagraphFont"/>
    <w:link w:val="Heading25"/>
    <w:rsid w:val="00F42D8D"/>
    <w:rPr>
      <w:rFonts w:eastAsiaTheme="minorHAnsi" w:cstheme="minorBidi"/>
      <w:b/>
      <w:sz w:val="24"/>
      <w:szCs w:val="24"/>
    </w:rPr>
  </w:style>
  <w:style w:type="paragraph" w:customStyle="1" w:styleId="Heading35">
    <w:name w:val="Heading 3.5"/>
    <w:basedOn w:val="ListParagraph"/>
    <w:link w:val="Heading35Char"/>
    <w:qFormat/>
    <w:rsid w:val="00F42D8D"/>
    <w:pPr>
      <w:numPr>
        <w:numId w:val="6"/>
      </w:numPr>
      <w:spacing w:after="120"/>
      <w:jc w:val="left"/>
      <w:outlineLvl w:val="2"/>
    </w:pPr>
    <w:rPr>
      <w:rFonts w:eastAsiaTheme="minorHAnsi" w:cstheme="minorBidi"/>
      <w:b/>
    </w:rPr>
  </w:style>
  <w:style w:type="character" w:customStyle="1" w:styleId="Heading35Char">
    <w:name w:val="Heading 3.5 Char"/>
    <w:basedOn w:val="DefaultParagraphFont"/>
    <w:link w:val="Heading35"/>
    <w:rsid w:val="00F42D8D"/>
    <w:rPr>
      <w:rFonts w:eastAsiaTheme="minorHAnsi" w:cstheme="minorBidi"/>
      <w:b/>
      <w:sz w:val="24"/>
      <w:szCs w:val="24"/>
    </w:rPr>
  </w:style>
  <w:style w:type="paragraph" w:customStyle="1" w:styleId="Heading45">
    <w:name w:val="Heading 4.5"/>
    <w:basedOn w:val="Heading35"/>
    <w:link w:val="Heading45Char"/>
    <w:qFormat/>
    <w:rsid w:val="00F42D8D"/>
    <w:pPr>
      <w:numPr>
        <w:numId w:val="7"/>
      </w:numPr>
      <w:jc w:val="both"/>
      <w:outlineLvl w:val="3"/>
    </w:pPr>
  </w:style>
  <w:style w:type="character" w:customStyle="1" w:styleId="Heading45Char">
    <w:name w:val="Heading 4.5 Char"/>
    <w:basedOn w:val="Heading35Char"/>
    <w:link w:val="Heading45"/>
    <w:rsid w:val="00F42D8D"/>
    <w:rPr>
      <w:rFonts w:eastAsiaTheme="minorHAnsi" w:cstheme="minorBidi"/>
      <w:b/>
      <w:sz w:val="24"/>
      <w:szCs w:val="24"/>
    </w:rPr>
  </w:style>
  <w:style w:type="paragraph" w:customStyle="1" w:styleId="Heading55">
    <w:name w:val="Heading 5.5"/>
    <w:basedOn w:val="Heading45"/>
    <w:link w:val="Heading55Char"/>
    <w:qFormat/>
    <w:rsid w:val="00F42D8D"/>
    <w:pPr>
      <w:numPr>
        <w:numId w:val="8"/>
      </w:numPr>
      <w:outlineLvl w:val="4"/>
    </w:pPr>
  </w:style>
  <w:style w:type="character" w:customStyle="1" w:styleId="Heading55Char">
    <w:name w:val="Heading 5.5 Char"/>
    <w:basedOn w:val="Heading45Char"/>
    <w:link w:val="Heading55"/>
    <w:rsid w:val="00F42D8D"/>
    <w:rPr>
      <w:rFonts w:eastAsiaTheme="minorHAnsi" w:cstheme="minorBidi"/>
      <w:b/>
      <w:sz w:val="24"/>
      <w:szCs w:val="24"/>
    </w:rPr>
  </w:style>
  <w:style w:type="paragraph" w:styleId="HTMLPreformatted">
    <w:name w:val="HTML Preformatted"/>
    <w:basedOn w:val="Normal"/>
    <w:link w:val="HTMLPreformattedChar"/>
    <w:uiPriority w:val="99"/>
    <w:unhideWhenUsed/>
    <w:locked/>
    <w:rsid w:val="00F42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42D8D"/>
    <w:rPr>
      <w:rFonts w:ascii="Courier New" w:eastAsia="Times New Roman" w:hAnsi="Courier New" w:cs="Courier New"/>
    </w:rPr>
  </w:style>
  <w:style w:type="paragraph" w:customStyle="1" w:styleId="left">
    <w:name w:val="left"/>
    <w:basedOn w:val="Normal"/>
    <w:rsid w:val="00F42D8D"/>
    <w:pPr>
      <w:spacing w:line="360" w:lineRule="atLeast"/>
      <w:jc w:val="left"/>
    </w:pPr>
    <w:rPr>
      <w:rFonts w:ascii="Courier New" w:hAnsi="Courier New" w:cs="Courier New"/>
    </w:rPr>
  </w:style>
  <w:style w:type="paragraph" w:styleId="TOC6">
    <w:name w:val="toc 6"/>
    <w:basedOn w:val="Normal"/>
    <w:next w:val="Normal"/>
    <w:autoRedefine/>
    <w:uiPriority w:val="39"/>
    <w:unhideWhenUsed/>
    <w:rsid w:val="00F42D8D"/>
    <w:pPr>
      <w:tabs>
        <w:tab w:val="left" w:pos="3960"/>
        <w:tab w:val="right" w:leader="dot" w:pos="9350"/>
      </w:tabs>
      <w:spacing w:after="100"/>
      <w:ind w:left="3960" w:hanging="720"/>
      <w:jc w:val="left"/>
    </w:pPr>
    <w:rPr>
      <w:rFonts w:eastAsiaTheme="minorHAnsi" w:cstheme="minorBidi"/>
      <w:b/>
    </w:rPr>
  </w:style>
  <w:style w:type="paragraph" w:customStyle="1" w:styleId="StyleTOC6">
    <w:name w:val="Style TOC 6"/>
    <w:basedOn w:val="TOC6"/>
    <w:rsid w:val="00F42D8D"/>
    <w:pPr>
      <w:ind w:left="4230" w:hanging="990"/>
    </w:pPr>
    <w:rPr>
      <w:rFonts w:eastAsia="Times New Roman" w:cs="Times New Roman"/>
      <w:bCs/>
      <w:szCs w:val="20"/>
    </w:rPr>
  </w:style>
  <w:style w:type="paragraph" w:customStyle="1" w:styleId="Style1">
    <w:name w:val="Style1"/>
    <w:basedOn w:val="Normal"/>
    <w:rsid w:val="00F42D8D"/>
    <w:rPr>
      <w:b/>
    </w:rPr>
  </w:style>
  <w:style w:type="paragraph" w:customStyle="1" w:styleId="Style2">
    <w:name w:val="Style2"/>
    <w:basedOn w:val="Normal"/>
    <w:rsid w:val="00F42D8D"/>
    <w:rPr>
      <w:b/>
    </w:rPr>
  </w:style>
  <w:style w:type="paragraph" w:customStyle="1" w:styleId="Style3">
    <w:name w:val="Style3"/>
    <w:basedOn w:val="Normal"/>
    <w:rsid w:val="00F42D8D"/>
    <w:rPr>
      <w:b/>
    </w:rPr>
  </w:style>
  <w:style w:type="paragraph" w:customStyle="1" w:styleId="Style4">
    <w:name w:val="Style4"/>
    <w:basedOn w:val="Normal"/>
    <w:rsid w:val="00F42D8D"/>
    <w:rPr>
      <w:b/>
    </w:rPr>
  </w:style>
  <w:style w:type="table" w:styleId="TableGrid1">
    <w:name w:val="Table Grid 1"/>
    <w:basedOn w:val="TableNormal"/>
    <w:locked/>
    <w:rsid w:val="00F42D8D"/>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OC1">
    <w:name w:val="toc 1"/>
    <w:basedOn w:val="Normal"/>
    <w:next w:val="Normal"/>
    <w:autoRedefine/>
    <w:uiPriority w:val="39"/>
    <w:unhideWhenUsed/>
    <w:qFormat/>
    <w:rsid w:val="00F42D8D"/>
    <w:pPr>
      <w:tabs>
        <w:tab w:val="right" w:leader="dot" w:pos="9350"/>
      </w:tabs>
      <w:spacing w:after="240"/>
      <w:ind w:left="450" w:hanging="450"/>
    </w:pPr>
    <w:rPr>
      <w:rFonts w:eastAsiaTheme="minorHAnsi" w:cstheme="minorBidi"/>
      <w:b/>
      <w:noProof/>
    </w:rPr>
  </w:style>
  <w:style w:type="paragraph" w:styleId="TOC2">
    <w:name w:val="toc 2"/>
    <w:basedOn w:val="Normal"/>
    <w:next w:val="Normal"/>
    <w:autoRedefine/>
    <w:uiPriority w:val="39"/>
    <w:unhideWhenUsed/>
    <w:qFormat/>
    <w:rsid w:val="00F42D8D"/>
    <w:pPr>
      <w:tabs>
        <w:tab w:val="right" w:leader="dot" w:pos="9350"/>
      </w:tabs>
      <w:spacing w:after="240"/>
      <w:ind w:left="1152" w:hanging="720"/>
    </w:pPr>
    <w:rPr>
      <w:rFonts w:eastAsiaTheme="minorHAnsi" w:cstheme="minorBidi"/>
      <w:b/>
      <w:noProof/>
    </w:rPr>
  </w:style>
  <w:style w:type="paragraph" w:styleId="TOC3">
    <w:name w:val="toc 3"/>
    <w:basedOn w:val="Normal"/>
    <w:next w:val="Normal"/>
    <w:autoRedefine/>
    <w:uiPriority w:val="39"/>
    <w:unhideWhenUsed/>
    <w:qFormat/>
    <w:rsid w:val="00F42D8D"/>
    <w:pPr>
      <w:tabs>
        <w:tab w:val="left" w:pos="1980"/>
        <w:tab w:val="right" w:leader="dot" w:pos="9350"/>
      </w:tabs>
      <w:spacing w:after="240"/>
      <w:ind w:left="1980" w:hanging="810"/>
      <w:contextualSpacing/>
    </w:pPr>
    <w:rPr>
      <w:rFonts w:eastAsiaTheme="minorHAnsi" w:cstheme="minorBidi"/>
      <w:b/>
    </w:rPr>
  </w:style>
  <w:style w:type="paragraph" w:styleId="TOC4">
    <w:name w:val="toc 4"/>
    <w:basedOn w:val="Normal"/>
    <w:next w:val="Normal"/>
    <w:autoRedefine/>
    <w:uiPriority w:val="39"/>
    <w:unhideWhenUsed/>
    <w:qFormat/>
    <w:rsid w:val="00F42D8D"/>
    <w:pPr>
      <w:tabs>
        <w:tab w:val="left" w:pos="2610"/>
        <w:tab w:val="right" w:leader="dot" w:pos="9350"/>
      </w:tabs>
      <w:spacing w:after="240"/>
      <w:ind w:left="2610" w:hanging="630"/>
      <w:contextualSpacing/>
      <w:jc w:val="left"/>
    </w:pPr>
    <w:rPr>
      <w:rFonts w:eastAsiaTheme="minorHAnsi" w:cstheme="minorBidi"/>
      <w:b/>
      <w:noProof/>
    </w:rPr>
  </w:style>
  <w:style w:type="paragraph" w:styleId="TOC5">
    <w:name w:val="toc 5"/>
    <w:basedOn w:val="Normal"/>
    <w:next w:val="Normal"/>
    <w:autoRedefine/>
    <w:uiPriority w:val="39"/>
    <w:unhideWhenUsed/>
    <w:qFormat/>
    <w:rsid w:val="00F42D8D"/>
    <w:pPr>
      <w:tabs>
        <w:tab w:val="right" w:leader="dot" w:pos="9350"/>
      </w:tabs>
      <w:spacing w:after="240"/>
      <w:ind w:left="3240" w:hanging="720"/>
      <w:contextualSpacing/>
    </w:pPr>
    <w:rPr>
      <w:rFonts w:eastAsiaTheme="minorHAnsi" w:cstheme="minorBidi"/>
      <w:b/>
      <w:noProof/>
    </w:rPr>
  </w:style>
  <w:style w:type="paragraph" w:styleId="TOC7">
    <w:name w:val="toc 7"/>
    <w:basedOn w:val="Normal"/>
    <w:next w:val="Normal"/>
    <w:autoRedefine/>
    <w:uiPriority w:val="39"/>
    <w:unhideWhenUsed/>
    <w:rsid w:val="00F42D8D"/>
    <w:pPr>
      <w:spacing w:after="100" w:line="276"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42D8D"/>
    <w:pPr>
      <w:spacing w:after="100" w:line="276" w:lineRule="auto"/>
      <w:ind w:left="1540"/>
      <w:jc w:val="left"/>
    </w:pPr>
    <w:rPr>
      <w:rFonts w:asciiTheme="minorHAnsi" w:eastAsiaTheme="minorEastAsia" w:hAnsiTheme="minorHAnsi" w:cstheme="minorBidi"/>
      <w:sz w:val="22"/>
      <w:szCs w:val="22"/>
    </w:rPr>
  </w:style>
  <w:style w:type="paragraph" w:customStyle="1" w:styleId="LGBodyTextDD">
    <w:name w:val="LG BodyTextDD"/>
    <w:basedOn w:val="BodyText"/>
    <w:qFormat/>
    <w:rsid w:val="004A0800"/>
    <w:pPr>
      <w:tabs>
        <w:tab w:val="left" w:pos="720"/>
      </w:tabs>
      <w:spacing w:after="0" w:line="520" w:lineRule="exact"/>
      <w:ind w:firstLine="720"/>
    </w:pPr>
    <w:rPr>
      <w:rFonts w:eastAsia="Calibri"/>
      <w:color w:val="000000" w:themeColor="text1"/>
      <w:szCs w:val="20"/>
    </w:rPr>
  </w:style>
  <w:style w:type="paragraph" w:styleId="BodyText">
    <w:name w:val="Body Text"/>
    <w:basedOn w:val="Normal"/>
    <w:link w:val="BodyTextChar"/>
    <w:uiPriority w:val="99"/>
    <w:semiHidden/>
    <w:locked/>
    <w:rsid w:val="004A0800"/>
    <w:pPr>
      <w:spacing w:after="120"/>
    </w:pPr>
  </w:style>
  <w:style w:type="character" w:customStyle="1" w:styleId="BodyTextChar">
    <w:name w:val="Body Text Char"/>
    <w:basedOn w:val="DefaultParagraphFont"/>
    <w:link w:val="BodyText"/>
    <w:uiPriority w:val="99"/>
    <w:semiHidden/>
    <w:rsid w:val="004A0800"/>
    <w:rPr>
      <w:sz w:val="24"/>
      <w:szCs w:val="24"/>
    </w:rPr>
  </w:style>
  <w:style w:type="paragraph" w:customStyle="1" w:styleId="LGPUCFootnote">
    <w:name w:val="LG PUC Footnote"/>
    <w:basedOn w:val="Normal"/>
    <w:qFormat/>
    <w:rsid w:val="00FE4A7F"/>
    <w:pPr>
      <w:tabs>
        <w:tab w:val="left" w:pos="720"/>
        <w:tab w:val="left" w:pos="1080"/>
      </w:tabs>
      <w:spacing w:before="120" w:line="240" w:lineRule="exact"/>
      <w:ind w:firstLine="288"/>
    </w:pPr>
    <w:rPr>
      <w:color w:val="000000"/>
      <w:sz w:val="20"/>
      <w:szCs w:val="20"/>
    </w:rPr>
  </w:style>
  <w:style w:type="character" w:styleId="PlaceholderText">
    <w:name w:val="Placeholder Text"/>
    <w:basedOn w:val="DefaultParagraphFont"/>
    <w:uiPriority w:val="99"/>
    <w:semiHidden/>
    <w:rsid w:val="004A2F83"/>
    <w:rPr>
      <w:color w:val="808080"/>
    </w:rPr>
  </w:style>
  <w:style w:type="paragraph" w:styleId="TOCHeading">
    <w:name w:val="TOC Heading"/>
    <w:basedOn w:val="Heading1"/>
    <w:next w:val="Normal"/>
    <w:uiPriority w:val="39"/>
    <w:unhideWhenUsed/>
    <w:qFormat/>
    <w:rsid w:val="00C1697A"/>
    <w:pPr>
      <w:keepLines/>
      <w:numPr>
        <w:numId w:val="0"/>
      </w:numPr>
      <w:tabs>
        <w:tab w:val="clear" w:pos="720"/>
      </w:tabs>
      <w:autoSpaceDE/>
      <w:autoSpaceDN/>
      <w:adjustRightInd/>
      <w:spacing w:before="480" w:after="0" w:line="276" w:lineRule="auto"/>
      <w:jc w:val="left"/>
      <w:outlineLvl w:val="9"/>
    </w:pPr>
    <w:rPr>
      <w:rFonts w:asciiTheme="majorHAnsi" w:eastAsiaTheme="majorEastAsia" w:hAnsiTheme="majorHAnsi" w:cstheme="majorBidi"/>
      <w:caps w:val="0"/>
      <w:color w:val="365F91" w:themeColor="accent1" w:themeShade="BF"/>
      <w:kern w:val="0"/>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460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15D65-A74A-438F-8360-BB458B21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17252</Words>
  <Characters>98337</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115359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Newchurch</dc:creator>
  <cp:lastModifiedBy>Hicks, Ruby</cp:lastModifiedBy>
  <cp:revision>3</cp:revision>
  <cp:lastPrinted>2015-09-30T14:37:00Z</cp:lastPrinted>
  <dcterms:created xsi:type="dcterms:W3CDTF">2015-09-30T14:38:00Z</dcterms:created>
  <dcterms:modified xsi:type="dcterms:W3CDTF">2015-09-30T14:38:00Z</dcterms:modified>
</cp:coreProperties>
</file>