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533D" w:rsidRPr="003C35B5" w:rsidRDefault="00EB533D" w:rsidP="00EB533D">
      <w:pPr>
        <w:spacing w:before="0" w:line="240" w:lineRule="auto"/>
        <w:jc w:val="center"/>
        <w:rPr>
          <w:b/>
        </w:rPr>
      </w:pPr>
      <w:proofErr w:type="gramStart"/>
      <w:r>
        <w:rPr>
          <w:b/>
        </w:rPr>
        <w:t>SOAH DOCKET NO.</w:t>
      </w:r>
      <w:proofErr w:type="gramEnd"/>
      <w:r>
        <w:rPr>
          <w:b/>
        </w:rPr>
        <w:t xml:space="preserve"> 473-11-9468</w:t>
      </w:r>
    </w:p>
    <w:p w:rsidR="00EB533D" w:rsidRPr="003C35B5" w:rsidRDefault="00EB533D" w:rsidP="00EB533D">
      <w:pPr>
        <w:spacing w:before="0" w:line="240" w:lineRule="auto"/>
        <w:jc w:val="center"/>
        <w:rPr>
          <w:b/>
        </w:rPr>
      </w:pPr>
      <w:proofErr w:type="gramStart"/>
      <w:r>
        <w:rPr>
          <w:b/>
        </w:rPr>
        <w:t>PUC DOCKET NO.</w:t>
      </w:r>
      <w:proofErr w:type="gramEnd"/>
      <w:r>
        <w:rPr>
          <w:b/>
        </w:rPr>
        <w:t xml:space="preserve"> 39590</w:t>
      </w:r>
    </w:p>
    <w:p w:rsidR="00EB533D" w:rsidRPr="003C35B5" w:rsidRDefault="00EB533D" w:rsidP="00EB533D">
      <w:pPr>
        <w:spacing w:before="0" w:line="240" w:lineRule="auto"/>
        <w:jc w:val="center"/>
        <w:rPr>
          <w:b/>
        </w:rPr>
      </w:pPr>
    </w:p>
    <w:p w:rsidR="00EB533D" w:rsidRPr="003C35B5" w:rsidRDefault="00EB533D" w:rsidP="00EB533D">
      <w:pPr>
        <w:spacing w:before="0" w:line="240" w:lineRule="auto"/>
        <w:jc w:val="center"/>
        <w:rPr>
          <w:b/>
        </w:rPr>
      </w:pPr>
      <w:r w:rsidRPr="003C35B5">
        <w:rPr>
          <w:b/>
        </w:rPr>
        <w:tab/>
      </w:r>
    </w:p>
    <w:tbl>
      <w:tblPr>
        <w:tblW w:w="0" w:type="auto"/>
        <w:tblLayout w:type="fixed"/>
        <w:tblLook w:val="0000" w:firstRow="0" w:lastRow="0" w:firstColumn="0" w:lastColumn="0" w:noHBand="0" w:noVBand="0"/>
      </w:tblPr>
      <w:tblGrid>
        <w:gridCol w:w="4698"/>
        <w:gridCol w:w="360"/>
        <w:gridCol w:w="4518"/>
      </w:tblGrid>
      <w:tr w:rsidR="00EB533D" w:rsidRPr="00EB533D" w:rsidTr="00EB533D">
        <w:tc>
          <w:tcPr>
            <w:tcW w:w="4698" w:type="dxa"/>
          </w:tcPr>
          <w:p w:rsidR="00EB533D" w:rsidRPr="00EB533D" w:rsidRDefault="00EB533D" w:rsidP="00EB533D">
            <w:pPr>
              <w:spacing w:before="0" w:line="240" w:lineRule="auto"/>
              <w:jc w:val="left"/>
              <w:rPr>
                <w:b/>
              </w:rPr>
            </w:pPr>
            <w:r w:rsidRPr="00EB533D">
              <w:rPr>
                <w:b/>
              </w:rPr>
              <w:t xml:space="preserve">PETITION OF </w:t>
            </w:r>
            <w:r>
              <w:rPr>
                <w:b/>
              </w:rPr>
              <w:t xml:space="preserve">EL PASO ELECTRIC COMPANY FOR APPROVAL TO REVISE MILITARY BASE DISCOUNT RECOVERY FACTOR TARIFF PURSUANT TO PURA </w:t>
            </w:r>
            <w:r w:rsidRPr="00EB533D">
              <w:rPr>
                <w:b/>
              </w:rPr>
              <w:t>§</w:t>
            </w:r>
            <w:r>
              <w:rPr>
                <w:b/>
              </w:rPr>
              <w:t xml:space="preserve"> 36.354</w:t>
            </w:r>
          </w:p>
        </w:tc>
        <w:tc>
          <w:tcPr>
            <w:tcW w:w="360" w:type="dxa"/>
          </w:tcPr>
          <w:p w:rsidR="00EB533D" w:rsidRPr="00EB533D" w:rsidRDefault="00EB533D" w:rsidP="00EB533D">
            <w:pPr>
              <w:spacing w:before="0" w:line="240" w:lineRule="auto"/>
              <w:ind w:right="576"/>
              <w:rPr>
                <w:b/>
              </w:rPr>
            </w:pPr>
            <w:r w:rsidRPr="00EB533D">
              <w:rPr>
                <w:b/>
              </w:rPr>
              <w:t>§§§</w:t>
            </w:r>
          </w:p>
        </w:tc>
        <w:tc>
          <w:tcPr>
            <w:tcW w:w="4518" w:type="dxa"/>
          </w:tcPr>
          <w:p w:rsidR="00EB533D" w:rsidRPr="00EB533D" w:rsidRDefault="00EB533D" w:rsidP="00EB533D">
            <w:pPr>
              <w:spacing w:before="0" w:line="240" w:lineRule="auto"/>
              <w:jc w:val="center"/>
              <w:rPr>
                <w:b/>
              </w:rPr>
            </w:pPr>
            <w:r w:rsidRPr="00EB533D">
              <w:rPr>
                <w:b/>
              </w:rPr>
              <w:t>PUBLIC UTILITY COMMISSION</w:t>
            </w:r>
          </w:p>
          <w:p w:rsidR="00EB533D" w:rsidRPr="00EB533D" w:rsidRDefault="00EB533D" w:rsidP="00EB533D">
            <w:pPr>
              <w:spacing w:before="0" w:line="240" w:lineRule="auto"/>
              <w:jc w:val="center"/>
              <w:rPr>
                <w:b/>
              </w:rPr>
            </w:pPr>
          </w:p>
          <w:p w:rsidR="00EB533D" w:rsidRPr="00EB533D" w:rsidRDefault="00EB533D" w:rsidP="00EB533D">
            <w:pPr>
              <w:spacing w:before="0" w:line="240" w:lineRule="auto"/>
              <w:jc w:val="center"/>
              <w:rPr>
                <w:b/>
              </w:rPr>
            </w:pPr>
            <w:r w:rsidRPr="00EB533D">
              <w:rPr>
                <w:b/>
              </w:rPr>
              <w:t>OF TEXAS</w:t>
            </w:r>
          </w:p>
        </w:tc>
      </w:tr>
    </w:tbl>
    <w:p w:rsidR="00EB533D" w:rsidRPr="003C35B5" w:rsidRDefault="00EB533D" w:rsidP="00EB533D">
      <w:pPr>
        <w:spacing w:before="0" w:line="240" w:lineRule="auto"/>
        <w:jc w:val="center"/>
        <w:rPr>
          <w:b/>
        </w:rPr>
      </w:pPr>
    </w:p>
    <w:p w:rsidR="00EB533D" w:rsidRPr="003C35B5" w:rsidRDefault="00EB533D" w:rsidP="00EB533D">
      <w:pPr>
        <w:spacing w:before="0" w:line="240" w:lineRule="auto"/>
        <w:jc w:val="center"/>
        <w:rPr>
          <w:b/>
        </w:rPr>
      </w:pPr>
    </w:p>
    <w:p w:rsidR="00EB533D" w:rsidRPr="003C35B5" w:rsidRDefault="00EB533D" w:rsidP="00EB533D">
      <w:pPr>
        <w:spacing w:before="0" w:line="240" w:lineRule="auto"/>
        <w:jc w:val="center"/>
        <w:rPr>
          <w:b/>
        </w:rPr>
      </w:pPr>
    </w:p>
    <w:p w:rsidR="00EB533D" w:rsidRPr="003C35B5" w:rsidRDefault="00EB533D" w:rsidP="00EB533D">
      <w:pPr>
        <w:spacing w:before="0"/>
        <w:jc w:val="center"/>
      </w:pPr>
      <w:r>
        <w:rPr>
          <w:b/>
        </w:rPr>
        <w:t xml:space="preserve">DRAFT </w:t>
      </w:r>
      <w:r w:rsidRPr="003C35B5">
        <w:rPr>
          <w:b/>
        </w:rPr>
        <w:t>PRELIMINARY ORDER</w:t>
      </w:r>
    </w:p>
    <w:p w:rsidR="00EB533D" w:rsidRPr="003C35B5" w:rsidRDefault="00EB533D" w:rsidP="00EB533D">
      <w:pPr>
        <w:spacing w:before="0"/>
        <w:jc w:val="center"/>
        <w:rPr>
          <w:b/>
        </w:rPr>
      </w:pPr>
    </w:p>
    <w:p w:rsidR="00EB533D" w:rsidRDefault="00EB533D" w:rsidP="00EB533D">
      <w:pPr>
        <w:spacing w:before="0"/>
      </w:pPr>
      <w:r w:rsidRPr="003C35B5">
        <w:rPr>
          <w:b/>
        </w:rPr>
        <w:tab/>
      </w:r>
      <w:r w:rsidRPr="00EB533D">
        <w:t xml:space="preserve">On July 15, 2011, El Paso Electric Company filed a petition for approval to revise its Military Base Discount Recovery Factor (MBDRF) tariff pursuant to § </w:t>
      </w:r>
      <w:r>
        <w:t>36.354</w:t>
      </w:r>
      <w:r w:rsidR="00C945BD">
        <w:t xml:space="preserve"> of the </w:t>
      </w:r>
      <w:r w:rsidR="00145809">
        <w:t>Public</w:t>
      </w:r>
      <w:r w:rsidR="00C945BD">
        <w:t xml:space="preserve"> Utility Regulatory Act (PURA)</w:t>
      </w:r>
      <w:r>
        <w:t>.</w:t>
      </w:r>
      <w:r w:rsidR="00C945BD">
        <w:rPr>
          <w:rStyle w:val="FootnoteReference"/>
        </w:rPr>
        <w:footnoteReference w:id="1"/>
      </w:r>
      <w:r>
        <w:t xml:space="preserve"> </w:t>
      </w:r>
      <w:r w:rsidR="00677A74">
        <w:t xml:space="preserve">  </w:t>
      </w:r>
      <w:r w:rsidR="00487AF6">
        <w:t>In El Paso Electric’s last rate case, Docket No. 37690,</w:t>
      </w:r>
      <w:r w:rsidR="00C945BD">
        <w:rPr>
          <w:rStyle w:val="FootnoteReference"/>
        </w:rPr>
        <w:footnoteReference w:id="2"/>
      </w:r>
      <w:r w:rsidR="00487AF6">
        <w:t xml:space="preserve"> </w:t>
      </w:r>
      <w:r w:rsidR="00677A74">
        <w:t xml:space="preserve">El Paso Electric implemented two rate schedules pursuant to PURA § 36.354: Rate Schedule </w:t>
      </w:r>
      <w:r w:rsidR="00145809">
        <w:br/>
      </w:r>
      <w:r w:rsidR="00677A74">
        <w:t>No</w:t>
      </w:r>
      <w:r w:rsidR="00D53066">
        <w:t>. 95</w:t>
      </w:r>
      <w:r w:rsidR="00677A74">
        <w:t xml:space="preserve">, </w:t>
      </w:r>
      <w:r w:rsidR="00D53066">
        <w:t>which provides a discount of 20% of the base commercial rate</w:t>
      </w:r>
      <w:r w:rsidR="00622BDB">
        <w:t xml:space="preserve"> that</w:t>
      </w:r>
      <w:r w:rsidR="00D53066">
        <w:t xml:space="preserve"> El Paso Electric would otherwi</w:t>
      </w:r>
      <w:r w:rsidR="00487AF6">
        <w:t xml:space="preserve">se charge military installations, </w:t>
      </w:r>
      <w:r w:rsidR="00677A74">
        <w:t>and Rate Schedule</w:t>
      </w:r>
      <w:r w:rsidR="00145809">
        <w:t xml:space="preserve"> No.</w:t>
      </w:r>
      <w:r w:rsidR="00677A74">
        <w:t xml:space="preserve"> 96,</w:t>
      </w:r>
      <w:r w:rsidR="00487AF6">
        <w:t xml:space="preserve"> which as</w:t>
      </w:r>
      <w:r w:rsidR="00BD0668">
        <w:t>sesses a surcharge to all of</w:t>
      </w:r>
      <w:r w:rsidR="00487AF6">
        <w:t xml:space="preserve"> El Paso Electric’s retail customers to recover the </w:t>
      </w:r>
      <w:r w:rsidR="00BD0668">
        <w:t>discount provided to military installations resulting from Rate Schedule No. 95</w:t>
      </w:r>
      <w:r w:rsidR="00487AF6">
        <w:t xml:space="preserve">.  </w:t>
      </w:r>
      <w:r w:rsidR="00677A74">
        <w:t xml:space="preserve">Rate Schedule </w:t>
      </w:r>
      <w:r w:rsidR="00145809">
        <w:t xml:space="preserve">No. </w:t>
      </w:r>
      <w:r w:rsidR="00677A74">
        <w:t xml:space="preserve">96 </w:t>
      </w:r>
      <w:r w:rsidR="00487AF6">
        <w:t xml:space="preserve">also </w:t>
      </w:r>
      <w:r w:rsidR="00677A74">
        <w:t xml:space="preserve">provides that El Paso Electric’s MBDRF surcharge shall be based on actual historic usage and adjusted in September of each year to include any over- or under-recovery from the previous year.  </w:t>
      </w:r>
      <w:r w:rsidR="00487AF6">
        <w:t xml:space="preserve">Both Rate Schedule Nos. 95 and 96 had an effective date of July 1, 2010.  </w:t>
      </w:r>
      <w:r w:rsidR="00677A74">
        <w:t xml:space="preserve">In its application, El Paso Electric requests </w:t>
      </w:r>
      <w:r w:rsidR="00145809">
        <w:t xml:space="preserve">that </w:t>
      </w:r>
      <w:r w:rsidR="00677A74">
        <w:t xml:space="preserve">its MBDRF be adjusted to reconcile an under-recovery of $761,274 from calendar year 2010 and to recover revenue equal to an expected discount of $3,515,390 for calendar year 2011, for a total requested recovery of $4,276,664. </w:t>
      </w:r>
    </w:p>
    <w:p w:rsidR="00677A74" w:rsidRDefault="00677A74" w:rsidP="00677A74">
      <w:pPr>
        <w:spacing w:before="0"/>
        <w:ind w:firstLine="720"/>
      </w:pPr>
      <w:r>
        <w:t xml:space="preserve">This case was referred to </w:t>
      </w:r>
      <w:r w:rsidRPr="000C39AB">
        <w:t xml:space="preserve">the State Office of Administrative Hearings (SOAH) on </w:t>
      </w:r>
      <w:r>
        <w:t xml:space="preserve">       August 29</w:t>
      </w:r>
      <w:r w:rsidRPr="000C39AB">
        <w:t>, 20</w:t>
      </w:r>
      <w:r>
        <w:t>11</w:t>
      </w:r>
      <w:r w:rsidRPr="000C39AB">
        <w:t>.</w:t>
      </w:r>
      <w:r>
        <w:t xml:space="preserve"> </w:t>
      </w:r>
      <w:r w:rsidRPr="000C39AB">
        <w:t xml:space="preserve"> </w:t>
      </w:r>
      <w:r>
        <w:t>El Paso Electric and the City of El Paso filed lists of</w:t>
      </w:r>
      <w:r w:rsidRPr="004708FD">
        <w:t xml:space="preserve"> issues on </w:t>
      </w:r>
      <w:r>
        <w:br/>
        <w:t>September 13</w:t>
      </w:r>
      <w:r w:rsidRPr="004708FD">
        <w:t>, 201</w:t>
      </w:r>
      <w:r>
        <w:t>1</w:t>
      </w:r>
      <w:r w:rsidRPr="004708FD">
        <w:t>.</w:t>
      </w:r>
    </w:p>
    <w:p w:rsidR="00487AF6" w:rsidRDefault="00487AF6" w:rsidP="00677A74">
      <w:pPr>
        <w:spacing w:before="0"/>
        <w:ind w:firstLine="720"/>
      </w:pPr>
    </w:p>
    <w:p w:rsidR="00EB533D" w:rsidRPr="003C35B5" w:rsidRDefault="00C945BD" w:rsidP="00EB533D">
      <w:pPr>
        <w:spacing w:before="0"/>
        <w:jc w:val="center"/>
      </w:pPr>
      <w:r>
        <w:rPr>
          <w:b/>
        </w:rPr>
        <w:t>I</w:t>
      </w:r>
      <w:r w:rsidR="00EB533D" w:rsidRPr="003C35B5">
        <w:rPr>
          <w:b/>
        </w:rPr>
        <w:t xml:space="preserve">.  Issues to be </w:t>
      </w:r>
      <w:proofErr w:type="gramStart"/>
      <w:r w:rsidR="00EB533D" w:rsidRPr="003C35B5">
        <w:rPr>
          <w:b/>
        </w:rPr>
        <w:t>Addressed</w:t>
      </w:r>
      <w:proofErr w:type="gramEnd"/>
    </w:p>
    <w:p w:rsidR="00EB533D" w:rsidRPr="003C35B5" w:rsidRDefault="00EB533D" w:rsidP="00EB533D">
      <w:pPr>
        <w:spacing w:before="0"/>
      </w:pPr>
      <w:r w:rsidRPr="003C35B5">
        <w:tab/>
        <w:t xml:space="preserve">The Commission must provide to the administrative law judge (ALJ) a list of issues or areas to be addressed in any proceeding referred </w:t>
      </w:r>
      <w:r w:rsidR="00145809">
        <w:t>to SOAH</w:t>
      </w:r>
      <w:r w:rsidRPr="003C35B5">
        <w:t>.</w:t>
      </w:r>
      <w:r w:rsidRPr="003C35B5">
        <w:rPr>
          <w:rStyle w:val="FootnoteReference"/>
        </w:rPr>
        <w:footnoteReference w:id="3"/>
      </w:r>
      <w:r w:rsidRPr="003C35B5">
        <w:t xml:space="preserve">  After reviewing the pleadings submitted by the parties, the Commission identifies the following issues that must be addressed in this docket:</w:t>
      </w:r>
    </w:p>
    <w:p w:rsidR="00EB533D" w:rsidRPr="003C35B5" w:rsidRDefault="00D53066" w:rsidP="00EB533D">
      <w:pPr>
        <w:pStyle w:val="ItemList"/>
        <w:numPr>
          <w:ilvl w:val="0"/>
          <w:numId w:val="1"/>
        </w:numPr>
        <w:spacing w:before="240"/>
        <w:ind w:left="720" w:hanging="720"/>
      </w:pPr>
      <w:r>
        <w:t xml:space="preserve">Did El Paso Electric correctly calculate its 2010 under-recovery resulting from the difference between the actual </w:t>
      </w:r>
      <w:proofErr w:type="gramStart"/>
      <w:r>
        <w:t>discount</w:t>
      </w:r>
      <w:proofErr w:type="gramEnd"/>
      <w:r>
        <w:t xml:space="preserve"> provided under Rate Schedule No. 95 and the actual revenues collected under Rate Schedule No. 96? </w:t>
      </w:r>
    </w:p>
    <w:p w:rsidR="00EB533D" w:rsidRPr="003C35B5" w:rsidRDefault="00D53066" w:rsidP="00EB533D">
      <w:pPr>
        <w:pStyle w:val="ItemList"/>
        <w:numPr>
          <w:ilvl w:val="0"/>
          <w:numId w:val="1"/>
        </w:numPr>
        <w:spacing w:before="240"/>
        <w:ind w:left="720" w:hanging="720"/>
      </w:pPr>
      <w:r>
        <w:t xml:space="preserve">Is El Paso Electric’s 2011 Military Base Discount reasonably calculated? </w:t>
      </w:r>
    </w:p>
    <w:p w:rsidR="00EB533D" w:rsidRPr="003C35B5" w:rsidRDefault="00D53066" w:rsidP="00EB533D">
      <w:pPr>
        <w:pStyle w:val="ItemList"/>
        <w:numPr>
          <w:ilvl w:val="0"/>
          <w:numId w:val="1"/>
        </w:numPr>
        <w:spacing w:before="240"/>
        <w:ind w:left="720" w:hanging="720"/>
      </w:pPr>
      <w:r>
        <w:t xml:space="preserve">Has El Paso Electric correctly calculated its MBDRF? </w:t>
      </w:r>
    </w:p>
    <w:p w:rsidR="00EB533D" w:rsidRPr="003C35B5" w:rsidRDefault="00EB533D" w:rsidP="00EB533D">
      <w:pPr>
        <w:spacing w:before="0"/>
        <w:jc w:val="left"/>
      </w:pPr>
    </w:p>
    <w:p w:rsidR="00C945BD" w:rsidRPr="00C945BD" w:rsidRDefault="00EB533D" w:rsidP="00C945BD">
      <w:r w:rsidRPr="003C35B5">
        <w:tab/>
      </w:r>
      <w:r w:rsidR="00C945BD" w:rsidRPr="00C945BD">
        <w:t>This list of issues is not intended to be exhaustive.  The parties and the ALJ are free to raise and address any issues relevant in this docket that they deem necessary, subject to any limitations imposed by this order, by the ALJ, or by the Commission in future orders issued in this docket.  The Commission reserves the right to identify and provide to the ALJ in the future any additional issues or areas that must be addressed, as permitted under</w:t>
      </w:r>
      <w:r w:rsidR="00C945BD" w:rsidRPr="00C945BD">
        <w:rPr>
          <w:smallCaps/>
        </w:rPr>
        <w:t xml:space="preserve"> Tex. </w:t>
      </w:r>
      <w:proofErr w:type="gramStart"/>
      <w:r w:rsidR="00C945BD" w:rsidRPr="00C945BD">
        <w:rPr>
          <w:smallCaps/>
        </w:rPr>
        <w:t>Gov’t Code Ann.</w:t>
      </w:r>
      <w:r w:rsidR="00C945BD" w:rsidRPr="00C945BD">
        <w:t xml:space="preserve"> § 2003.049(e).</w:t>
      </w:r>
      <w:proofErr w:type="gramEnd"/>
    </w:p>
    <w:p w:rsidR="00EB533D" w:rsidRPr="003C35B5" w:rsidRDefault="00EB533D" w:rsidP="00EB533D">
      <w:pPr>
        <w:spacing w:before="0"/>
        <w:jc w:val="center"/>
        <w:rPr>
          <w:b/>
        </w:rPr>
      </w:pPr>
    </w:p>
    <w:p w:rsidR="00EB533D" w:rsidRPr="003C35B5" w:rsidRDefault="00EB533D" w:rsidP="00EB533D">
      <w:pPr>
        <w:spacing w:before="0"/>
        <w:jc w:val="center"/>
      </w:pPr>
      <w:r w:rsidRPr="003C35B5">
        <w:rPr>
          <w:b/>
        </w:rPr>
        <w:t>II</w:t>
      </w:r>
      <w:r w:rsidR="00A26EF5" w:rsidRPr="003C35B5">
        <w:rPr>
          <w:b/>
        </w:rPr>
        <w:t>. Issues</w:t>
      </w:r>
      <w:r w:rsidRPr="003C35B5">
        <w:rPr>
          <w:b/>
        </w:rPr>
        <w:t xml:space="preserve"> </w:t>
      </w:r>
      <w:proofErr w:type="gramStart"/>
      <w:r w:rsidRPr="003C35B5">
        <w:rPr>
          <w:b/>
        </w:rPr>
        <w:t>Not</w:t>
      </w:r>
      <w:proofErr w:type="gramEnd"/>
      <w:r w:rsidRPr="003C35B5">
        <w:rPr>
          <w:b/>
        </w:rPr>
        <w:t xml:space="preserve"> to be Addressed</w:t>
      </w:r>
    </w:p>
    <w:p w:rsidR="00EB533D" w:rsidRPr="003C35B5" w:rsidRDefault="00EB533D" w:rsidP="00EB533D">
      <w:pPr>
        <w:spacing w:before="0"/>
      </w:pPr>
      <w:r w:rsidRPr="003C35B5">
        <w:tab/>
        <w:t xml:space="preserve">The Commission takes the position that the following issues need not be addressed in this proceeding for the reasons stated.  </w:t>
      </w:r>
    </w:p>
    <w:p w:rsidR="00EB533D" w:rsidRDefault="006B58F3" w:rsidP="00C945BD">
      <w:pPr>
        <w:pStyle w:val="ItemList"/>
        <w:numPr>
          <w:ilvl w:val="0"/>
          <w:numId w:val="3"/>
        </w:numPr>
        <w:spacing w:before="240"/>
      </w:pPr>
      <w:r>
        <w:t>Does</w:t>
      </w:r>
      <w:r w:rsidR="00D06CA5">
        <w:t xml:space="preserve"> the </w:t>
      </w:r>
      <w:r w:rsidR="00EA1411">
        <w:t>Commission have primary</w:t>
      </w:r>
      <w:r w:rsidR="00D06CA5">
        <w:t xml:space="preserve"> jurisdiction</w:t>
      </w:r>
      <w:r>
        <w:t xml:space="preserve"> in this docket?</w:t>
      </w:r>
    </w:p>
    <w:p w:rsidR="00C945BD" w:rsidRPr="003C35B5" w:rsidRDefault="00C945BD" w:rsidP="00C945BD">
      <w:pPr>
        <w:pStyle w:val="ItemList"/>
        <w:spacing w:before="240"/>
        <w:ind w:firstLine="0"/>
      </w:pPr>
    </w:p>
    <w:p w:rsidR="00EB533D" w:rsidRDefault="00133ECF" w:rsidP="00133ECF">
      <w:pPr>
        <w:spacing w:before="0"/>
        <w:ind w:firstLine="360"/>
      </w:pPr>
      <w:r>
        <w:lastRenderedPageBreak/>
        <w:t xml:space="preserve">PURA </w:t>
      </w:r>
      <w:r w:rsidRPr="00EB533D">
        <w:t>§</w:t>
      </w:r>
      <w:r>
        <w:t xml:space="preserve"> 33.001 states that the governing body of a municipality has exclusive jurisdiction over the rates, operations, and services of an electric utility in areas in the municipality, subject to the limitations imposed by </w:t>
      </w:r>
      <w:r w:rsidR="008C3446">
        <w:t>PURA</w:t>
      </w:r>
      <w:r>
        <w:t>.</w:t>
      </w:r>
      <w:r w:rsidR="00281BF2">
        <w:rPr>
          <w:rStyle w:val="FootnoteReference"/>
        </w:rPr>
        <w:footnoteReference w:id="4"/>
      </w:r>
      <w:r>
        <w:t xml:space="preserve">  </w:t>
      </w:r>
      <w:r w:rsidR="00281BF2">
        <w:t xml:space="preserve">However, </w:t>
      </w:r>
      <w:r w:rsidRPr="00EB533D">
        <w:t xml:space="preserve">PURA § </w:t>
      </w:r>
      <w:r w:rsidR="00A26EF5">
        <w:t>36.354 requires</w:t>
      </w:r>
      <w:r>
        <w:t xml:space="preserve"> El Paso Electric </w:t>
      </w:r>
      <w:r w:rsidR="00A26EF5">
        <w:t>to discount</w:t>
      </w:r>
      <w:r>
        <w:t xml:space="preserve"> charges for electric service provided to a military base</w:t>
      </w:r>
      <w:r w:rsidR="00A26EF5">
        <w:rPr>
          <w:rStyle w:val="FootnoteReference"/>
        </w:rPr>
        <w:footnoteReference w:id="5"/>
      </w:r>
      <w:r>
        <w:t xml:space="preserve"> and </w:t>
      </w:r>
      <w:r w:rsidR="00281BF2">
        <w:t>to “file a tariff with the c</w:t>
      </w:r>
      <w:r>
        <w:t>ommission reflecting the discount.”</w:t>
      </w:r>
      <w:r w:rsidRPr="00133ECF">
        <w:rPr>
          <w:vertAlign w:val="superscript"/>
        </w:rPr>
        <w:footnoteReference w:id="6"/>
      </w:r>
      <w:r>
        <w:t xml:space="preserve">  </w:t>
      </w:r>
      <w:r w:rsidR="008C3446">
        <w:t>Additionally, the Commission is directed to approve the tariff.</w:t>
      </w:r>
      <w:r w:rsidR="008C3446">
        <w:rPr>
          <w:rStyle w:val="FootnoteReference"/>
        </w:rPr>
        <w:footnoteReference w:id="7"/>
      </w:r>
      <w:r w:rsidR="008C3446">
        <w:t xml:space="preserve">  Use of the term Commission</w:t>
      </w:r>
      <w:r>
        <w:t xml:space="preserve"> in PURA </w:t>
      </w:r>
      <w:r w:rsidRPr="00EB533D">
        <w:t xml:space="preserve">§ </w:t>
      </w:r>
      <w:r w:rsidR="008C3446">
        <w:t>36.354 rather than regulatory authority</w:t>
      </w:r>
      <w:r>
        <w:t xml:space="preserve"> </w:t>
      </w:r>
      <w:r w:rsidR="00281BF2">
        <w:t>(</w:t>
      </w:r>
      <w:r>
        <w:t>defined as either the Commission or the g</w:t>
      </w:r>
      <w:r w:rsidR="00281BF2">
        <w:t>overning body of a municipality</w:t>
      </w:r>
      <w:r>
        <w:rPr>
          <w:rStyle w:val="FootnoteReference"/>
        </w:rPr>
        <w:footnoteReference w:id="8"/>
      </w:r>
      <w:r w:rsidR="00281BF2">
        <w:t>)</w:t>
      </w:r>
      <w:r>
        <w:t xml:space="preserve"> </w:t>
      </w:r>
      <w:r w:rsidR="00281BF2">
        <w:t xml:space="preserve">shows the clear </w:t>
      </w:r>
      <w:r w:rsidR="008C3446">
        <w:t xml:space="preserve">legislative </w:t>
      </w:r>
      <w:r w:rsidR="00281BF2">
        <w:t xml:space="preserve">intent that </w:t>
      </w:r>
      <w:r w:rsidR="00EA1411">
        <w:t>jurisdiction</w:t>
      </w:r>
      <w:r w:rsidR="00C945BD">
        <w:t xml:space="preserve"> under </w:t>
      </w:r>
      <w:r w:rsidR="00C945BD" w:rsidRPr="00EB533D">
        <w:t xml:space="preserve">PURA </w:t>
      </w:r>
      <w:r w:rsidR="00281BF2">
        <w:t xml:space="preserve">§ </w:t>
      </w:r>
      <w:r w:rsidR="00C945BD">
        <w:t xml:space="preserve">36.354 over MBDRF </w:t>
      </w:r>
      <w:r w:rsidR="008C3446">
        <w:t>is reserved exclusively in</w:t>
      </w:r>
      <w:r w:rsidR="00281BF2">
        <w:t xml:space="preserve"> the Commission</w:t>
      </w:r>
      <w:r w:rsidR="00C945BD">
        <w:t xml:space="preserve">. </w:t>
      </w:r>
      <w:r w:rsidR="006B58F3">
        <w:t xml:space="preserve"> </w:t>
      </w:r>
      <w:r w:rsidR="00281BF2">
        <w:t xml:space="preserve">Further, </w:t>
      </w:r>
      <w:r w:rsidR="00281BF2" w:rsidRPr="00EB533D">
        <w:t xml:space="preserve">PURA § </w:t>
      </w:r>
      <w:r w:rsidR="00281BF2">
        <w:t>36.354 (d) specifically states that a MBDRF proceeding is not a rate change f</w:t>
      </w:r>
      <w:r w:rsidR="008C3446">
        <w:t>or purposes of subchapter C of c</w:t>
      </w:r>
      <w:r w:rsidR="00281BF2">
        <w:t xml:space="preserve">hapter 36 of the </w:t>
      </w:r>
      <w:r w:rsidR="008C3446">
        <w:t>PURA</w:t>
      </w:r>
      <w:r w:rsidR="00281BF2">
        <w:t xml:space="preserve">.  </w:t>
      </w:r>
      <w:r w:rsidR="00BD0668">
        <w:t xml:space="preserve">Thus, whether El Paso Electric’s action to revise its tariff must first be filed with the municipalities with original jurisdiction within El Paso Electric’s service area shall not be addressed. </w:t>
      </w:r>
    </w:p>
    <w:p w:rsidR="00C945BD" w:rsidRPr="003C35B5" w:rsidRDefault="00C945BD" w:rsidP="00C945BD">
      <w:pPr>
        <w:spacing w:before="0"/>
      </w:pPr>
    </w:p>
    <w:p w:rsidR="00EB533D" w:rsidRPr="003C35B5" w:rsidRDefault="00C945BD" w:rsidP="00C945BD">
      <w:pPr>
        <w:spacing w:before="0"/>
        <w:jc w:val="center"/>
        <w:rPr>
          <w:i/>
        </w:rPr>
      </w:pPr>
      <w:r>
        <w:rPr>
          <w:b/>
        </w:rPr>
        <w:t>III</w:t>
      </w:r>
      <w:r w:rsidR="00A26EF5" w:rsidRPr="003C35B5">
        <w:rPr>
          <w:b/>
        </w:rPr>
        <w:t>. Effect</w:t>
      </w:r>
      <w:r w:rsidR="00EB533D" w:rsidRPr="003C35B5">
        <w:rPr>
          <w:b/>
        </w:rPr>
        <w:t xml:space="preserve"> of Preliminary Order</w:t>
      </w:r>
    </w:p>
    <w:p w:rsidR="00EB533D" w:rsidRPr="003C35B5" w:rsidRDefault="00EB533D" w:rsidP="00EB533D">
      <w:r w:rsidRPr="003C35B5">
        <w:tab/>
        <w:t xml:space="preserve">The Commission’s discussion and conclusions in this Order regarding issues that are not to be addressed should be considered dispositive of those matters.  Questions, if any, regarding issues that are not to be addressed may be certified to the Commission for clarification if the SOAH ALJ determines that such clarification is necessary.  As to all other issues, this Order is preliminary in nature and is entered without prejudice to any party expressing views contrary to this Order before the SOAH ALJ at hearing.  The SOAH ALJ, upon his or her own motion or upon the motion of any party, may deviate from the non-dispositive rulings of this Order when circumstances dictate that it is reasonable to do so.  Any ruling by the SOAH ALJ that deviates from this Order may be appealed to the Commission.  The Commission will not address whether </w:t>
      </w:r>
      <w:r w:rsidRPr="003C35B5">
        <w:lastRenderedPageBreak/>
        <w:t>this Order should be modified except upon its own motion or the appeal of a SOAH ALJ’s order.  Furthermore, this Order is not subject to motions for rehearing or reconsideration.</w:t>
      </w:r>
    </w:p>
    <w:p w:rsidR="00EB533D" w:rsidRPr="003C35B5" w:rsidRDefault="00EB533D" w:rsidP="00EB533D">
      <w:pPr>
        <w:spacing w:before="0" w:line="240" w:lineRule="auto"/>
      </w:pPr>
    </w:p>
    <w:p w:rsidR="008C3446" w:rsidRDefault="008C3446" w:rsidP="00EB533D">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EB533D" w:rsidRPr="003C35B5" w:rsidRDefault="00EB533D" w:rsidP="00EB533D">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bookmarkStart w:id="0" w:name="_GoBack"/>
      <w:bookmarkEnd w:id="0"/>
      <w:r w:rsidRPr="003C35B5">
        <w:rPr>
          <w:b/>
        </w:rPr>
        <w:t xml:space="preserve">SIGNED AT AUSTIN, TEXAS the ______ day of </w:t>
      </w:r>
      <w:r>
        <w:rPr>
          <w:b/>
        </w:rPr>
        <w:t>September 2011</w:t>
      </w:r>
      <w:r w:rsidRPr="003C35B5">
        <w:rPr>
          <w:b/>
        </w:rPr>
        <w:t>.</w:t>
      </w:r>
    </w:p>
    <w:p w:rsidR="00EB533D" w:rsidRPr="003C35B5" w:rsidRDefault="00EB533D" w:rsidP="00EB533D">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EB533D" w:rsidRPr="003C35B5" w:rsidRDefault="00EB533D" w:rsidP="00EB533D">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EB533D" w:rsidRPr="003C35B5" w:rsidRDefault="00EB533D" w:rsidP="00EB533D">
      <w:pPr>
        <w:tabs>
          <w:tab w:val="left" w:pos="720"/>
          <w:tab w:val="left" w:pos="1440"/>
          <w:tab w:val="left" w:pos="2160"/>
          <w:tab w:val="left" w:pos="4140"/>
          <w:tab w:val="left" w:pos="5760"/>
          <w:tab w:val="left" w:pos="6912"/>
          <w:tab w:val="left" w:pos="7200"/>
          <w:tab w:val="left" w:pos="7920"/>
          <w:tab w:val="left" w:pos="9360"/>
        </w:tabs>
        <w:spacing w:before="0" w:line="240" w:lineRule="auto"/>
        <w:ind w:firstLine="3600"/>
        <w:rPr>
          <w:b/>
        </w:rPr>
      </w:pPr>
      <w:r w:rsidRPr="003C35B5">
        <w:rPr>
          <w:b/>
        </w:rPr>
        <w:t xml:space="preserve">PUBLIC UTILITY COMMISSION OF </w:t>
      </w:r>
      <w:smartTag w:uri="urn:schemas-microsoft-com:office:smarttags" w:element="place">
        <w:smartTag w:uri="urn:schemas-microsoft-com:office:smarttags" w:element="State">
          <w:r w:rsidRPr="003C35B5">
            <w:rPr>
              <w:b/>
            </w:rPr>
            <w:t>TEXAS</w:t>
          </w:r>
        </w:smartTag>
      </w:smartTag>
    </w:p>
    <w:p w:rsidR="00EB533D" w:rsidRDefault="00EB533D" w:rsidP="00EB533D">
      <w:pPr>
        <w:tabs>
          <w:tab w:val="left" w:pos="720"/>
          <w:tab w:val="left" w:pos="1440"/>
          <w:tab w:val="left" w:pos="2160"/>
          <w:tab w:val="left" w:pos="4140"/>
          <w:tab w:val="left" w:pos="5760"/>
          <w:tab w:val="left" w:pos="6912"/>
          <w:tab w:val="left" w:pos="7200"/>
          <w:tab w:val="left" w:pos="7920"/>
          <w:tab w:val="left" w:pos="9360"/>
        </w:tabs>
        <w:spacing w:before="0" w:line="240" w:lineRule="auto"/>
        <w:ind w:firstLine="3600"/>
        <w:rPr>
          <w:b/>
        </w:rPr>
      </w:pPr>
    </w:p>
    <w:p w:rsidR="00EB533D" w:rsidRPr="003C35B5" w:rsidRDefault="00EB533D" w:rsidP="00EB533D">
      <w:pPr>
        <w:tabs>
          <w:tab w:val="left" w:pos="720"/>
          <w:tab w:val="left" w:pos="1440"/>
          <w:tab w:val="left" w:pos="2160"/>
          <w:tab w:val="left" w:pos="4140"/>
          <w:tab w:val="left" w:pos="5760"/>
          <w:tab w:val="left" w:pos="6912"/>
          <w:tab w:val="left" w:pos="7200"/>
          <w:tab w:val="left" w:pos="7920"/>
          <w:tab w:val="left" w:pos="9360"/>
        </w:tabs>
        <w:spacing w:before="0" w:line="240" w:lineRule="auto"/>
        <w:ind w:firstLine="3600"/>
        <w:rPr>
          <w:b/>
        </w:rPr>
      </w:pPr>
    </w:p>
    <w:p w:rsidR="00EB533D" w:rsidRPr="003C35B5" w:rsidRDefault="00EB533D" w:rsidP="00EB533D">
      <w:pPr>
        <w:tabs>
          <w:tab w:val="left" w:pos="720"/>
          <w:tab w:val="left" w:pos="1440"/>
          <w:tab w:val="left" w:pos="2160"/>
          <w:tab w:val="left" w:pos="4140"/>
          <w:tab w:val="left" w:pos="5760"/>
          <w:tab w:val="left" w:pos="6912"/>
          <w:tab w:val="left" w:pos="7200"/>
          <w:tab w:val="left" w:pos="7920"/>
          <w:tab w:val="left" w:pos="9360"/>
        </w:tabs>
        <w:spacing w:before="0" w:line="240" w:lineRule="auto"/>
        <w:ind w:firstLine="3600"/>
        <w:rPr>
          <w:b/>
        </w:rPr>
      </w:pPr>
    </w:p>
    <w:p w:rsidR="00EB533D" w:rsidRPr="003C35B5" w:rsidRDefault="00EB533D" w:rsidP="00EB533D">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Pr>
          <w:b/>
        </w:rPr>
        <w:t>______</w:t>
      </w:r>
    </w:p>
    <w:p w:rsidR="00EB533D" w:rsidRPr="003C35B5" w:rsidRDefault="00EB533D" w:rsidP="00EB533D">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DONNA L. NELSON</w:t>
      </w:r>
      <w:r w:rsidRPr="003C35B5">
        <w:rPr>
          <w:b/>
        </w:rPr>
        <w:t>, C</w:t>
      </w:r>
      <w:r>
        <w:rPr>
          <w:b/>
        </w:rPr>
        <w:t>HAIRMAN</w:t>
      </w:r>
      <w:r w:rsidRPr="003C35B5">
        <w:rPr>
          <w:b/>
        </w:rPr>
        <w:t xml:space="preserve"> </w:t>
      </w:r>
    </w:p>
    <w:p w:rsidR="00EB533D" w:rsidRDefault="00EB533D" w:rsidP="00EB533D">
      <w:pPr>
        <w:spacing w:before="0" w:line="240" w:lineRule="auto"/>
        <w:ind w:firstLine="3780"/>
        <w:rPr>
          <w:b/>
        </w:rPr>
      </w:pPr>
    </w:p>
    <w:p w:rsidR="00EB533D" w:rsidRPr="003C35B5" w:rsidRDefault="00EB533D" w:rsidP="00EB533D">
      <w:pPr>
        <w:spacing w:before="0" w:line="240" w:lineRule="auto"/>
        <w:ind w:firstLine="3780"/>
        <w:rPr>
          <w:b/>
        </w:rPr>
      </w:pPr>
    </w:p>
    <w:p w:rsidR="00EB533D" w:rsidRPr="003C35B5" w:rsidRDefault="00EB533D" w:rsidP="00EB533D">
      <w:pPr>
        <w:spacing w:before="0" w:line="240" w:lineRule="auto"/>
        <w:ind w:firstLine="3780"/>
        <w:rPr>
          <w:b/>
        </w:rPr>
      </w:pPr>
    </w:p>
    <w:p w:rsidR="00EB533D" w:rsidRPr="003C35B5" w:rsidRDefault="00EB533D" w:rsidP="00EB533D">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Pr>
          <w:b/>
        </w:rPr>
        <w:t>______</w:t>
      </w:r>
    </w:p>
    <w:p w:rsidR="00EB533D" w:rsidRDefault="00EB533D" w:rsidP="00EB533D">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KENNETH W. ANDERSON, JR.</w:t>
      </w:r>
      <w:r w:rsidRPr="003C35B5">
        <w:rPr>
          <w:b/>
        </w:rPr>
        <w:t xml:space="preserve">, COMMISSIONER </w:t>
      </w:r>
    </w:p>
    <w:p w:rsidR="00EB533D" w:rsidRDefault="00EB533D" w:rsidP="00EB533D">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EB533D" w:rsidRPr="003C35B5" w:rsidRDefault="00EB533D" w:rsidP="00EB533D">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15538E" w:rsidRDefault="00EB533D">
      <w:r w:rsidRPr="003C35B5">
        <w:rPr>
          <w:sz w:val="16"/>
        </w:rPr>
        <w:fldChar w:fldCharType="begin"/>
      </w:r>
      <w:r w:rsidRPr="003C35B5">
        <w:rPr>
          <w:sz w:val="16"/>
        </w:rPr>
        <w:instrText xml:space="preserve"> FILENAME \* Lower\p \* MERGEFORMAT </w:instrText>
      </w:r>
      <w:r w:rsidRPr="003C35B5">
        <w:rPr>
          <w:sz w:val="16"/>
        </w:rPr>
        <w:fldChar w:fldCharType="separate"/>
      </w:r>
      <w:r>
        <w:rPr>
          <w:noProof/>
          <w:sz w:val="16"/>
        </w:rPr>
        <w:t>q:\cadm\orders\prelim\39000\39590dpo.docx</w:t>
      </w:r>
      <w:r w:rsidRPr="003C35B5">
        <w:rPr>
          <w:sz w:val="16"/>
        </w:rPr>
        <w:fldChar w:fldCharType="end"/>
      </w:r>
      <w:r>
        <w:rPr>
          <w:sz w:val="16"/>
        </w:rPr>
        <w:t xml:space="preserve"> </w:t>
      </w:r>
    </w:p>
    <w:sectPr w:rsidR="0015538E" w:rsidSect="00C945BD">
      <w:headerReference w:type="default" r:id="rId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15B8" w:rsidRDefault="007615B8" w:rsidP="00EB533D">
      <w:pPr>
        <w:spacing w:before="0" w:line="240" w:lineRule="auto"/>
      </w:pPr>
      <w:r>
        <w:separator/>
      </w:r>
    </w:p>
  </w:endnote>
  <w:endnote w:type="continuationSeparator" w:id="0">
    <w:p w:rsidR="007615B8" w:rsidRDefault="007615B8" w:rsidP="00EB533D">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15B8" w:rsidRDefault="007615B8" w:rsidP="00EB533D">
      <w:pPr>
        <w:spacing w:before="0" w:line="240" w:lineRule="auto"/>
      </w:pPr>
      <w:r>
        <w:separator/>
      </w:r>
    </w:p>
  </w:footnote>
  <w:footnote w:type="continuationSeparator" w:id="0">
    <w:p w:rsidR="007615B8" w:rsidRDefault="007615B8" w:rsidP="00EB533D">
      <w:pPr>
        <w:spacing w:before="0" w:line="240" w:lineRule="auto"/>
      </w:pPr>
      <w:r>
        <w:continuationSeparator/>
      </w:r>
    </w:p>
  </w:footnote>
  <w:footnote w:id="1">
    <w:p w:rsidR="007615B8" w:rsidRDefault="007615B8">
      <w:pPr>
        <w:pStyle w:val="FootnoteText"/>
      </w:pPr>
      <w:r>
        <w:rPr>
          <w:rStyle w:val="FootnoteReference"/>
        </w:rPr>
        <w:footnoteRef/>
      </w:r>
      <w:r>
        <w:t xml:space="preserve"> </w:t>
      </w:r>
      <w:proofErr w:type="gramStart"/>
      <w:r>
        <w:t>Public Utility Regulatory Act, T</w:t>
      </w:r>
      <w:r>
        <w:rPr>
          <w:smallCaps/>
        </w:rPr>
        <w:t>ex.</w:t>
      </w:r>
      <w:proofErr w:type="gramEnd"/>
      <w:r>
        <w:rPr>
          <w:smallCaps/>
        </w:rPr>
        <w:t xml:space="preserve"> </w:t>
      </w:r>
      <w:proofErr w:type="gramStart"/>
      <w:r>
        <w:rPr>
          <w:smallCaps/>
        </w:rPr>
        <w:t xml:space="preserve">Util. Code Ann. </w:t>
      </w:r>
      <w:r w:rsidRPr="00B71054">
        <w:t>§§ 11.001 –</w:t>
      </w:r>
      <w:r>
        <w:t xml:space="preserve"> 66.016 (Vernon 2007 &amp; Supp. 2010)</w:t>
      </w:r>
      <w:r w:rsidRPr="00B71054">
        <w:t>.</w:t>
      </w:r>
      <w:proofErr w:type="gramEnd"/>
    </w:p>
  </w:footnote>
  <w:footnote w:id="2">
    <w:p w:rsidR="007615B8" w:rsidRDefault="007615B8">
      <w:pPr>
        <w:pStyle w:val="FootnoteText"/>
      </w:pPr>
      <w:r>
        <w:rPr>
          <w:rStyle w:val="FootnoteReference"/>
        </w:rPr>
        <w:footnoteRef/>
      </w:r>
      <w:r>
        <w:t xml:space="preserve"> </w:t>
      </w:r>
      <w:r w:rsidRPr="00C945BD">
        <w:rPr>
          <w:i/>
        </w:rPr>
        <w:t>Application of El Paso Electric Company to Change Rates, to Reconcile Fuel Costs, to Establish Formula-Based Fuel Factors, and to Establish an Energy Efficiency Cost Recovery Factor</w:t>
      </w:r>
      <w:r>
        <w:t xml:space="preserve">, Docket No. 37690 </w:t>
      </w:r>
      <w:r>
        <w:br/>
        <w:t xml:space="preserve">(July 30, 2010). </w:t>
      </w:r>
    </w:p>
  </w:footnote>
  <w:footnote w:id="3">
    <w:p w:rsidR="007615B8" w:rsidRPr="002133F3" w:rsidRDefault="007615B8" w:rsidP="00EB533D">
      <w:pPr>
        <w:pStyle w:val="FootnoteText"/>
        <w:rPr>
          <w:lang w:val="pt-BR"/>
        </w:rPr>
      </w:pPr>
      <w:r>
        <w:rPr>
          <w:rStyle w:val="FootnoteReference"/>
        </w:rPr>
        <w:footnoteRef/>
      </w:r>
      <w:r w:rsidRPr="002133F3">
        <w:rPr>
          <w:lang w:val="pt-BR"/>
        </w:rPr>
        <w:t xml:space="preserve">  </w:t>
      </w:r>
      <w:r w:rsidRPr="002133F3">
        <w:rPr>
          <w:smallCaps/>
          <w:lang w:val="pt-BR"/>
        </w:rPr>
        <w:t>Tex. Gov’t Code Ann.</w:t>
      </w:r>
      <w:r>
        <w:rPr>
          <w:lang w:val="pt-BR"/>
        </w:rPr>
        <w:t xml:space="preserve"> § 2003.049(e) (Vernon 2008</w:t>
      </w:r>
      <w:r w:rsidRPr="002133F3">
        <w:rPr>
          <w:lang w:val="pt-BR"/>
        </w:rPr>
        <w:t xml:space="preserve">).  </w:t>
      </w:r>
    </w:p>
  </w:footnote>
  <w:footnote w:id="4">
    <w:p w:rsidR="007615B8" w:rsidRDefault="007615B8">
      <w:pPr>
        <w:pStyle w:val="FootnoteText"/>
      </w:pPr>
      <w:r>
        <w:rPr>
          <w:rStyle w:val="FootnoteReference"/>
        </w:rPr>
        <w:footnoteRef/>
      </w:r>
      <w:r>
        <w:t xml:space="preserve"> </w:t>
      </w:r>
      <w:proofErr w:type="gramStart"/>
      <w:r w:rsidRPr="00EB533D">
        <w:t xml:space="preserve">PURA § </w:t>
      </w:r>
      <w:r>
        <w:t>33.001(a).</w:t>
      </w:r>
      <w:proofErr w:type="gramEnd"/>
      <w:r>
        <w:t xml:space="preserve"> </w:t>
      </w:r>
    </w:p>
  </w:footnote>
  <w:footnote w:id="5">
    <w:p w:rsidR="007615B8" w:rsidRDefault="007615B8">
      <w:pPr>
        <w:pStyle w:val="FootnoteText"/>
      </w:pPr>
      <w:r>
        <w:rPr>
          <w:rStyle w:val="FootnoteReference"/>
        </w:rPr>
        <w:footnoteRef/>
      </w:r>
      <w:r>
        <w:t xml:space="preserve"> </w:t>
      </w:r>
      <w:r w:rsidR="008C3446" w:rsidRPr="008C3446">
        <w:rPr>
          <w:i/>
        </w:rPr>
        <w:t>Id.</w:t>
      </w:r>
      <w:r w:rsidR="008C3446">
        <w:t xml:space="preserve"> </w:t>
      </w:r>
      <w:r w:rsidRPr="00EB533D">
        <w:t xml:space="preserve"> § </w:t>
      </w:r>
      <w:r>
        <w:t>36.354(a).</w:t>
      </w:r>
    </w:p>
  </w:footnote>
  <w:footnote w:id="6">
    <w:p w:rsidR="007615B8" w:rsidRDefault="007615B8">
      <w:pPr>
        <w:pStyle w:val="FootnoteText"/>
      </w:pPr>
      <w:r>
        <w:rPr>
          <w:rStyle w:val="FootnoteReference"/>
        </w:rPr>
        <w:footnoteRef/>
      </w:r>
      <w:r w:rsidR="008C3446">
        <w:t xml:space="preserve"> </w:t>
      </w:r>
      <w:proofErr w:type="gramStart"/>
      <w:r w:rsidR="008C3446" w:rsidRPr="008C3446">
        <w:rPr>
          <w:i/>
        </w:rPr>
        <w:t>Id</w:t>
      </w:r>
      <w:r w:rsidR="008C3446">
        <w:t>.</w:t>
      </w:r>
      <w:r w:rsidRPr="00EB533D">
        <w:t xml:space="preserve"> § </w:t>
      </w:r>
      <w:r>
        <w:t>36.354(d).</w:t>
      </w:r>
      <w:proofErr w:type="gramEnd"/>
      <w:r>
        <w:t xml:space="preserve"> </w:t>
      </w:r>
    </w:p>
  </w:footnote>
  <w:footnote w:id="7">
    <w:p w:rsidR="008C3446" w:rsidRDefault="008C3446">
      <w:pPr>
        <w:pStyle w:val="FootnoteText"/>
      </w:pPr>
      <w:r>
        <w:rPr>
          <w:rStyle w:val="FootnoteReference"/>
        </w:rPr>
        <w:footnoteRef/>
      </w:r>
      <w:r>
        <w:t xml:space="preserve"> </w:t>
      </w:r>
      <w:r w:rsidRPr="008C3446">
        <w:rPr>
          <w:i/>
        </w:rPr>
        <w:t>Id</w:t>
      </w:r>
      <w:r>
        <w:t>.</w:t>
      </w:r>
    </w:p>
  </w:footnote>
  <w:footnote w:id="8">
    <w:p w:rsidR="007615B8" w:rsidRDefault="007615B8">
      <w:pPr>
        <w:pStyle w:val="FootnoteText"/>
      </w:pPr>
      <w:r>
        <w:rPr>
          <w:rStyle w:val="FootnoteReference"/>
        </w:rPr>
        <w:footnoteRef/>
      </w:r>
      <w:r>
        <w:t xml:space="preserve"> </w:t>
      </w:r>
      <w:proofErr w:type="gramStart"/>
      <w:r w:rsidR="008C3446" w:rsidRPr="008C3446">
        <w:rPr>
          <w:i/>
        </w:rPr>
        <w:t>Id.</w:t>
      </w:r>
      <w:r w:rsidRPr="00EB533D">
        <w:t xml:space="preserve"> § </w:t>
      </w:r>
      <w:r>
        <w:t>11.003(18).</w:t>
      </w:r>
      <w:proofErr w:type="gramEnd"/>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15B8" w:rsidRPr="00EB533D" w:rsidRDefault="007615B8" w:rsidP="00EB533D">
    <w:pPr>
      <w:keepLines/>
      <w:tabs>
        <w:tab w:val="center" w:pos="4680"/>
        <w:tab w:val="right" w:pos="9360"/>
      </w:tabs>
      <w:spacing w:before="0" w:line="240" w:lineRule="auto"/>
      <w:rPr>
        <w:b/>
        <w:sz w:val="20"/>
      </w:rPr>
    </w:pPr>
    <w:r>
      <w:rPr>
        <w:b/>
        <w:sz w:val="20"/>
      </w:rPr>
      <w:t>SOAH Docket No. 473-11-9468</w:t>
    </w:r>
    <w:r w:rsidRPr="00EB533D">
      <w:rPr>
        <w:b/>
        <w:sz w:val="20"/>
      </w:rPr>
      <w:tab/>
    </w:r>
    <w:r>
      <w:rPr>
        <w:b/>
        <w:sz w:val="20"/>
      </w:rPr>
      <w:t xml:space="preserve">Draft </w:t>
    </w:r>
    <w:r w:rsidRPr="00EB533D">
      <w:rPr>
        <w:b/>
        <w:sz w:val="20"/>
      </w:rPr>
      <w:t>Preliminary Order</w:t>
    </w:r>
    <w:r w:rsidRPr="00EB533D">
      <w:rPr>
        <w:b/>
        <w:sz w:val="20"/>
      </w:rPr>
      <w:tab/>
      <w:t xml:space="preserve">Page </w:t>
    </w:r>
    <w:r w:rsidRPr="00EB533D">
      <w:rPr>
        <w:b/>
        <w:sz w:val="20"/>
      </w:rPr>
      <w:fldChar w:fldCharType="begin"/>
    </w:r>
    <w:r w:rsidRPr="00EB533D">
      <w:rPr>
        <w:b/>
        <w:sz w:val="20"/>
      </w:rPr>
      <w:instrText xml:space="preserve"> PAGE </w:instrText>
    </w:r>
    <w:r w:rsidRPr="00EB533D">
      <w:rPr>
        <w:b/>
        <w:sz w:val="20"/>
      </w:rPr>
      <w:fldChar w:fldCharType="separate"/>
    </w:r>
    <w:r w:rsidR="008C3446">
      <w:rPr>
        <w:b/>
        <w:noProof/>
        <w:sz w:val="20"/>
      </w:rPr>
      <w:t>4</w:t>
    </w:r>
    <w:r w:rsidRPr="00EB533D">
      <w:rPr>
        <w:b/>
        <w:sz w:val="20"/>
      </w:rPr>
      <w:fldChar w:fldCharType="end"/>
    </w:r>
    <w:r w:rsidRPr="00EB533D">
      <w:rPr>
        <w:b/>
        <w:sz w:val="20"/>
      </w:rPr>
      <w:t xml:space="preserve"> of </w:t>
    </w:r>
    <w:r w:rsidRPr="00EB533D">
      <w:rPr>
        <w:b/>
        <w:sz w:val="20"/>
      </w:rPr>
      <w:fldChar w:fldCharType="begin"/>
    </w:r>
    <w:r w:rsidRPr="00EB533D">
      <w:rPr>
        <w:b/>
        <w:sz w:val="20"/>
      </w:rPr>
      <w:instrText xml:space="preserve"> NUMPAGES </w:instrText>
    </w:r>
    <w:r w:rsidRPr="00EB533D">
      <w:rPr>
        <w:b/>
        <w:sz w:val="20"/>
      </w:rPr>
      <w:fldChar w:fldCharType="separate"/>
    </w:r>
    <w:r w:rsidR="008C3446">
      <w:rPr>
        <w:b/>
        <w:noProof/>
        <w:sz w:val="20"/>
      </w:rPr>
      <w:t>4</w:t>
    </w:r>
    <w:r w:rsidRPr="00EB533D">
      <w:rPr>
        <w:b/>
        <w:sz w:val="20"/>
      </w:rPr>
      <w:fldChar w:fldCharType="end"/>
    </w:r>
  </w:p>
  <w:p w:rsidR="007615B8" w:rsidRPr="00EB533D" w:rsidRDefault="007615B8" w:rsidP="00EB533D">
    <w:pPr>
      <w:keepLines/>
      <w:tabs>
        <w:tab w:val="center" w:pos="4680"/>
        <w:tab w:val="right" w:pos="9360"/>
      </w:tabs>
      <w:spacing w:before="0" w:line="240" w:lineRule="auto"/>
      <w:rPr>
        <w:b/>
      </w:rPr>
    </w:pPr>
    <w:r>
      <w:rPr>
        <w:b/>
        <w:sz w:val="20"/>
      </w:rPr>
      <w:t>Docket No. 39590</w:t>
    </w:r>
  </w:p>
  <w:p w:rsidR="007615B8" w:rsidRPr="00EB533D" w:rsidRDefault="007615B8" w:rsidP="00EB533D">
    <w:pPr>
      <w:keepLines/>
      <w:tabs>
        <w:tab w:val="center" w:pos="4680"/>
        <w:tab w:val="right" w:pos="9360"/>
      </w:tabs>
      <w:spacing w:before="0" w:line="240" w:lineRule="auto"/>
      <w:rPr>
        <w:b/>
      </w:rPr>
    </w:pPr>
  </w:p>
  <w:p w:rsidR="007615B8" w:rsidRDefault="007615B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C5442D"/>
    <w:multiLevelType w:val="singleLevel"/>
    <w:tmpl w:val="59324114"/>
    <w:lvl w:ilvl="0">
      <w:start w:val="1"/>
      <w:numFmt w:val="decimal"/>
      <w:lvlText w:val="%1."/>
      <w:legacy w:legacy="1" w:legacySpace="0" w:legacyIndent="360"/>
      <w:lvlJc w:val="left"/>
      <w:pPr>
        <w:ind w:left="360" w:hanging="360"/>
      </w:pPr>
    </w:lvl>
  </w:abstractNum>
  <w:abstractNum w:abstractNumId="1">
    <w:nsid w:val="5FF6204A"/>
    <w:multiLevelType w:val="hybridMultilevel"/>
    <w:tmpl w:val="48CC40A2"/>
    <w:lvl w:ilvl="0" w:tplc="0A943042">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2">
    <w:nsid w:val="7F23417C"/>
    <w:multiLevelType w:val="hybridMultilevel"/>
    <w:tmpl w:val="D84EC9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6E1B"/>
    <w:rsid w:val="00133ECF"/>
    <w:rsid w:val="00145809"/>
    <w:rsid w:val="0015538E"/>
    <w:rsid w:val="00281BF2"/>
    <w:rsid w:val="002F10A9"/>
    <w:rsid w:val="00334951"/>
    <w:rsid w:val="004346F0"/>
    <w:rsid w:val="00481DD3"/>
    <w:rsid w:val="00487AF6"/>
    <w:rsid w:val="004C0E1C"/>
    <w:rsid w:val="00506E1B"/>
    <w:rsid w:val="00622BDB"/>
    <w:rsid w:val="00657A77"/>
    <w:rsid w:val="00677A74"/>
    <w:rsid w:val="006B58F3"/>
    <w:rsid w:val="00742A48"/>
    <w:rsid w:val="007615B8"/>
    <w:rsid w:val="007E01FB"/>
    <w:rsid w:val="00857F31"/>
    <w:rsid w:val="008C3446"/>
    <w:rsid w:val="00917517"/>
    <w:rsid w:val="00944779"/>
    <w:rsid w:val="00A26EF5"/>
    <w:rsid w:val="00AB1DDB"/>
    <w:rsid w:val="00BA5AEA"/>
    <w:rsid w:val="00BD0668"/>
    <w:rsid w:val="00C2507B"/>
    <w:rsid w:val="00C945BD"/>
    <w:rsid w:val="00CB2857"/>
    <w:rsid w:val="00D06CA5"/>
    <w:rsid w:val="00D53066"/>
    <w:rsid w:val="00EA1411"/>
    <w:rsid w:val="00EB533D"/>
    <w:rsid w:val="00FA0D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533D"/>
    <w:pPr>
      <w:spacing w:before="240" w:after="0" w:line="36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EB533D"/>
    <w:pPr>
      <w:keepNext/>
      <w:keepLines/>
      <w:tabs>
        <w:tab w:val="left" w:pos="720"/>
        <w:tab w:val="left" w:pos="1440"/>
        <w:tab w:val="left" w:pos="2160"/>
        <w:tab w:val="left" w:pos="2880"/>
        <w:tab w:val="left" w:pos="4680"/>
        <w:tab w:val="left" w:pos="5760"/>
        <w:tab w:val="left" w:pos="6912"/>
      </w:tabs>
      <w:spacing w:before="480"/>
      <w:ind w:left="720" w:hanging="720"/>
      <w:jc w:val="center"/>
      <w:outlineLvl w:val="0"/>
    </w:pPr>
    <w:rPr>
      <w:b/>
      <w:cap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B533D"/>
    <w:rPr>
      <w:rFonts w:ascii="Times New Roman" w:eastAsia="Times New Roman" w:hAnsi="Times New Roman" w:cs="Times New Roman"/>
      <w:b/>
      <w:caps/>
      <w:sz w:val="24"/>
      <w:szCs w:val="20"/>
    </w:rPr>
  </w:style>
  <w:style w:type="character" w:styleId="FootnoteReference">
    <w:name w:val="footnote reference"/>
    <w:basedOn w:val="DefaultParagraphFont"/>
    <w:semiHidden/>
    <w:rsid w:val="00EB533D"/>
    <w:rPr>
      <w:position w:val="6"/>
      <w:sz w:val="17"/>
    </w:rPr>
  </w:style>
  <w:style w:type="paragraph" w:styleId="FootnoteText">
    <w:name w:val="footnote text"/>
    <w:basedOn w:val="Normal"/>
    <w:link w:val="FootnoteTextChar"/>
    <w:semiHidden/>
    <w:rsid w:val="00EB533D"/>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character" w:customStyle="1" w:styleId="FootnoteTextChar">
    <w:name w:val="Footnote Text Char"/>
    <w:basedOn w:val="DefaultParagraphFont"/>
    <w:link w:val="FootnoteText"/>
    <w:semiHidden/>
    <w:rsid w:val="00EB533D"/>
    <w:rPr>
      <w:rFonts w:ascii="Times New Roman" w:eastAsia="Times New Roman" w:hAnsi="Times New Roman" w:cs="Times New Roman"/>
      <w:sz w:val="20"/>
      <w:szCs w:val="20"/>
    </w:rPr>
  </w:style>
  <w:style w:type="paragraph" w:customStyle="1" w:styleId="ItemList">
    <w:name w:val="Item List"/>
    <w:basedOn w:val="Normal"/>
    <w:rsid w:val="00EB533D"/>
    <w:pPr>
      <w:spacing w:before="360"/>
      <w:ind w:left="720" w:hanging="720"/>
    </w:pPr>
  </w:style>
  <w:style w:type="paragraph" w:styleId="Subtitle">
    <w:name w:val="Subtitle"/>
    <w:basedOn w:val="Normal"/>
    <w:link w:val="SubtitleChar"/>
    <w:qFormat/>
    <w:rsid w:val="00EB533D"/>
    <w:pPr>
      <w:spacing w:before="0"/>
      <w:jc w:val="center"/>
    </w:pPr>
    <w:rPr>
      <w:b/>
    </w:rPr>
  </w:style>
  <w:style w:type="character" w:customStyle="1" w:styleId="SubtitleChar">
    <w:name w:val="Subtitle Char"/>
    <w:basedOn w:val="DefaultParagraphFont"/>
    <w:link w:val="Subtitle"/>
    <w:rsid w:val="00EB533D"/>
    <w:rPr>
      <w:rFonts w:ascii="Times New Roman" w:eastAsia="Times New Roman" w:hAnsi="Times New Roman" w:cs="Times New Roman"/>
      <w:b/>
      <w:sz w:val="24"/>
      <w:szCs w:val="20"/>
    </w:rPr>
  </w:style>
  <w:style w:type="paragraph" w:styleId="Header">
    <w:name w:val="header"/>
    <w:basedOn w:val="Normal"/>
    <w:link w:val="HeaderChar"/>
    <w:uiPriority w:val="99"/>
    <w:unhideWhenUsed/>
    <w:rsid w:val="00EB533D"/>
    <w:pPr>
      <w:tabs>
        <w:tab w:val="center" w:pos="4680"/>
        <w:tab w:val="right" w:pos="9360"/>
      </w:tabs>
      <w:spacing w:before="0" w:line="240" w:lineRule="auto"/>
    </w:pPr>
  </w:style>
  <w:style w:type="character" w:customStyle="1" w:styleId="HeaderChar">
    <w:name w:val="Header Char"/>
    <w:basedOn w:val="DefaultParagraphFont"/>
    <w:link w:val="Header"/>
    <w:uiPriority w:val="99"/>
    <w:rsid w:val="00EB533D"/>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EB533D"/>
    <w:pPr>
      <w:tabs>
        <w:tab w:val="center" w:pos="4680"/>
        <w:tab w:val="right" w:pos="9360"/>
      </w:tabs>
      <w:spacing w:before="0" w:line="240" w:lineRule="auto"/>
    </w:pPr>
  </w:style>
  <w:style w:type="character" w:customStyle="1" w:styleId="FooterChar">
    <w:name w:val="Footer Char"/>
    <w:basedOn w:val="DefaultParagraphFont"/>
    <w:link w:val="Footer"/>
    <w:uiPriority w:val="99"/>
    <w:rsid w:val="00EB533D"/>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7615B8"/>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615B8"/>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533D"/>
    <w:pPr>
      <w:spacing w:before="240" w:after="0" w:line="36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EB533D"/>
    <w:pPr>
      <w:keepNext/>
      <w:keepLines/>
      <w:tabs>
        <w:tab w:val="left" w:pos="720"/>
        <w:tab w:val="left" w:pos="1440"/>
        <w:tab w:val="left" w:pos="2160"/>
        <w:tab w:val="left" w:pos="2880"/>
        <w:tab w:val="left" w:pos="4680"/>
        <w:tab w:val="left" w:pos="5760"/>
        <w:tab w:val="left" w:pos="6912"/>
      </w:tabs>
      <w:spacing w:before="480"/>
      <w:ind w:left="720" w:hanging="720"/>
      <w:jc w:val="center"/>
      <w:outlineLvl w:val="0"/>
    </w:pPr>
    <w:rPr>
      <w:b/>
      <w:cap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B533D"/>
    <w:rPr>
      <w:rFonts w:ascii="Times New Roman" w:eastAsia="Times New Roman" w:hAnsi="Times New Roman" w:cs="Times New Roman"/>
      <w:b/>
      <w:caps/>
      <w:sz w:val="24"/>
      <w:szCs w:val="20"/>
    </w:rPr>
  </w:style>
  <w:style w:type="character" w:styleId="FootnoteReference">
    <w:name w:val="footnote reference"/>
    <w:basedOn w:val="DefaultParagraphFont"/>
    <w:semiHidden/>
    <w:rsid w:val="00EB533D"/>
    <w:rPr>
      <w:position w:val="6"/>
      <w:sz w:val="17"/>
    </w:rPr>
  </w:style>
  <w:style w:type="paragraph" w:styleId="FootnoteText">
    <w:name w:val="footnote text"/>
    <w:basedOn w:val="Normal"/>
    <w:link w:val="FootnoteTextChar"/>
    <w:semiHidden/>
    <w:rsid w:val="00EB533D"/>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character" w:customStyle="1" w:styleId="FootnoteTextChar">
    <w:name w:val="Footnote Text Char"/>
    <w:basedOn w:val="DefaultParagraphFont"/>
    <w:link w:val="FootnoteText"/>
    <w:semiHidden/>
    <w:rsid w:val="00EB533D"/>
    <w:rPr>
      <w:rFonts w:ascii="Times New Roman" w:eastAsia="Times New Roman" w:hAnsi="Times New Roman" w:cs="Times New Roman"/>
      <w:sz w:val="20"/>
      <w:szCs w:val="20"/>
    </w:rPr>
  </w:style>
  <w:style w:type="paragraph" w:customStyle="1" w:styleId="ItemList">
    <w:name w:val="Item List"/>
    <w:basedOn w:val="Normal"/>
    <w:rsid w:val="00EB533D"/>
    <w:pPr>
      <w:spacing w:before="360"/>
      <w:ind w:left="720" w:hanging="720"/>
    </w:pPr>
  </w:style>
  <w:style w:type="paragraph" w:styleId="Subtitle">
    <w:name w:val="Subtitle"/>
    <w:basedOn w:val="Normal"/>
    <w:link w:val="SubtitleChar"/>
    <w:qFormat/>
    <w:rsid w:val="00EB533D"/>
    <w:pPr>
      <w:spacing w:before="0"/>
      <w:jc w:val="center"/>
    </w:pPr>
    <w:rPr>
      <w:b/>
    </w:rPr>
  </w:style>
  <w:style w:type="character" w:customStyle="1" w:styleId="SubtitleChar">
    <w:name w:val="Subtitle Char"/>
    <w:basedOn w:val="DefaultParagraphFont"/>
    <w:link w:val="Subtitle"/>
    <w:rsid w:val="00EB533D"/>
    <w:rPr>
      <w:rFonts w:ascii="Times New Roman" w:eastAsia="Times New Roman" w:hAnsi="Times New Roman" w:cs="Times New Roman"/>
      <w:b/>
      <w:sz w:val="24"/>
      <w:szCs w:val="20"/>
    </w:rPr>
  </w:style>
  <w:style w:type="paragraph" w:styleId="Header">
    <w:name w:val="header"/>
    <w:basedOn w:val="Normal"/>
    <w:link w:val="HeaderChar"/>
    <w:uiPriority w:val="99"/>
    <w:unhideWhenUsed/>
    <w:rsid w:val="00EB533D"/>
    <w:pPr>
      <w:tabs>
        <w:tab w:val="center" w:pos="4680"/>
        <w:tab w:val="right" w:pos="9360"/>
      </w:tabs>
      <w:spacing w:before="0" w:line="240" w:lineRule="auto"/>
    </w:pPr>
  </w:style>
  <w:style w:type="character" w:customStyle="1" w:styleId="HeaderChar">
    <w:name w:val="Header Char"/>
    <w:basedOn w:val="DefaultParagraphFont"/>
    <w:link w:val="Header"/>
    <w:uiPriority w:val="99"/>
    <w:rsid w:val="00EB533D"/>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EB533D"/>
    <w:pPr>
      <w:tabs>
        <w:tab w:val="center" w:pos="4680"/>
        <w:tab w:val="right" w:pos="9360"/>
      </w:tabs>
      <w:spacing w:before="0" w:line="240" w:lineRule="auto"/>
    </w:pPr>
  </w:style>
  <w:style w:type="character" w:customStyle="1" w:styleId="FooterChar">
    <w:name w:val="Footer Char"/>
    <w:basedOn w:val="DefaultParagraphFont"/>
    <w:link w:val="Footer"/>
    <w:uiPriority w:val="99"/>
    <w:rsid w:val="00EB533D"/>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7615B8"/>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615B8"/>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F10E98-B077-45C3-9CEA-22823E93A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TotalTime>
  <Pages>4</Pages>
  <Words>836</Words>
  <Characters>4768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wsadm</dc:creator>
  <cp:keywords/>
  <dc:description/>
  <cp:lastModifiedBy>wsadm</cp:lastModifiedBy>
  <cp:revision>18</cp:revision>
  <cp:lastPrinted>2011-09-22T15:46:00Z</cp:lastPrinted>
  <dcterms:created xsi:type="dcterms:W3CDTF">2011-09-16T14:06:00Z</dcterms:created>
  <dcterms:modified xsi:type="dcterms:W3CDTF">2011-09-22T15:46:00Z</dcterms:modified>
</cp:coreProperties>
</file>