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869" w:rsidRDefault="005D1DAD" w:rsidP="001F7869">
      <w:pPr>
        <w:pStyle w:val="Title"/>
      </w:pPr>
      <w:r>
        <w:t xml:space="preserve">PUC DOCKET NO. </w:t>
      </w:r>
      <w:proofErr w:type="gramStart"/>
      <w:r>
        <w:t>37</w:t>
      </w:r>
      <w:r w:rsidR="000802CC">
        <w:t>448</w:t>
      </w:r>
      <w:r>
        <w:br/>
        <w:t>SOAH DOCKET NO.</w:t>
      </w:r>
      <w:proofErr w:type="gramEnd"/>
      <w:r>
        <w:t xml:space="preserve"> 473-10-</w:t>
      </w:r>
      <w:r w:rsidR="000802CC">
        <w:t>1097</w:t>
      </w:r>
    </w:p>
    <w:tbl>
      <w:tblPr>
        <w:tblW w:w="9450" w:type="dxa"/>
        <w:tblInd w:w="108" w:type="dxa"/>
        <w:tblLayout w:type="fixed"/>
        <w:tblLook w:val="0000"/>
      </w:tblPr>
      <w:tblGrid>
        <w:gridCol w:w="4608"/>
        <w:gridCol w:w="360"/>
        <w:gridCol w:w="4482"/>
      </w:tblGrid>
      <w:tr w:rsidR="00967322" w:rsidTr="001F7869">
        <w:tc>
          <w:tcPr>
            <w:tcW w:w="4608" w:type="dxa"/>
          </w:tcPr>
          <w:p w:rsidR="00967322" w:rsidRDefault="000802CC" w:rsidP="000C1F83">
            <w:pPr>
              <w:rPr>
                <w:b/>
              </w:rPr>
            </w:pPr>
            <w:r w:rsidRPr="000802CC">
              <w:rPr>
                <w:b/>
              </w:rPr>
              <w:t>APPLICATION OF LCRA TRANSMISSION SERVICES CORPORATION TO AMEND ITS CERTIFICATE OF CONVINIENCE AND NECESSITY FOR THE GILLESPIE TO NEWTON 345-kV CREZ TRANSMISSION LINE IN GILLESPIE, LLANO, SAN SABA, BURNET, AND LAMPASAS COUNTIES</w:t>
            </w:r>
          </w:p>
        </w:tc>
        <w:tc>
          <w:tcPr>
            <w:tcW w:w="360" w:type="dxa"/>
          </w:tcPr>
          <w:p w:rsidR="00967322" w:rsidRDefault="00967322">
            <w:pPr>
              <w:rPr>
                <w:b/>
              </w:rPr>
            </w:pPr>
            <w:r>
              <w:rPr>
                <w:b/>
              </w:rPr>
              <w:t>§</w:t>
            </w:r>
          </w:p>
          <w:p w:rsidR="00967322" w:rsidRDefault="00967322">
            <w:pPr>
              <w:rPr>
                <w:b/>
              </w:rPr>
            </w:pPr>
            <w:r>
              <w:rPr>
                <w:b/>
              </w:rPr>
              <w:t>§</w:t>
            </w:r>
          </w:p>
          <w:p w:rsidR="005D1DAD" w:rsidRDefault="00967322" w:rsidP="005D1DAD">
            <w:pPr>
              <w:rPr>
                <w:b/>
              </w:rPr>
            </w:pPr>
            <w:r>
              <w:rPr>
                <w:b/>
              </w:rPr>
              <w:t>§</w:t>
            </w:r>
            <w:r w:rsidR="005D1DAD">
              <w:rPr>
                <w:b/>
              </w:rPr>
              <w:t>§</w:t>
            </w:r>
          </w:p>
          <w:p w:rsidR="005D1DAD" w:rsidRDefault="005D1DAD" w:rsidP="005D1DAD">
            <w:pPr>
              <w:rPr>
                <w:b/>
              </w:rPr>
            </w:pPr>
            <w:r>
              <w:rPr>
                <w:b/>
              </w:rPr>
              <w:t>§</w:t>
            </w:r>
          </w:p>
          <w:p w:rsidR="005D1DAD" w:rsidRDefault="005D1DAD" w:rsidP="005D1DAD">
            <w:pPr>
              <w:rPr>
                <w:b/>
              </w:rPr>
            </w:pPr>
            <w:r>
              <w:rPr>
                <w:b/>
              </w:rPr>
              <w:t>§§</w:t>
            </w:r>
          </w:p>
          <w:p w:rsidR="00967322" w:rsidRDefault="005D1DAD" w:rsidP="005D1DAD">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D76634" w:rsidP="005A2C95">
      <w:pPr>
        <w:pStyle w:val="Title"/>
      </w:pPr>
      <w:proofErr w:type="gramStart"/>
      <w:r>
        <w:t xml:space="preserve">ORDER </w:t>
      </w:r>
      <w:r w:rsidR="00A8326C">
        <w:t>DENYING</w:t>
      </w:r>
      <w:r w:rsidR="007F3E83">
        <w:t xml:space="preserve"> APPEAL OF ORDER NO.</w:t>
      </w:r>
      <w:proofErr w:type="gramEnd"/>
      <w:r w:rsidR="007F3E83">
        <w:t xml:space="preserve"> 11</w:t>
      </w:r>
    </w:p>
    <w:p w:rsidR="005A2C95" w:rsidRDefault="00FF5117" w:rsidP="005A2C95">
      <w:pPr>
        <w:pStyle w:val="BodyText"/>
      </w:pPr>
      <w:r>
        <w:t>This order</w:t>
      </w:r>
      <w:r w:rsidR="000039B8">
        <w:t xml:space="preserve"> addresses</w:t>
      </w:r>
      <w:r>
        <w:t xml:space="preserve"> </w:t>
      </w:r>
      <w:r w:rsidR="000802CC" w:rsidRPr="00143E6C">
        <w:rPr>
          <w:szCs w:val="24"/>
        </w:rPr>
        <w:t xml:space="preserve">KDCB Garrett Ranch’s </w:t>
      </w:r>
      <w:r w:rsidR="00A27E17">
        <w:t xml:space="preserve">appeal </w:t>
      </w:r>
      <w:r w:rsidR="000802CC">
        <w:t>of Order No. 11</w:t>
      </w:r>
      <w:r>
        <w:t xml:space="preserve"> in which the administrative law judge </w:t>
      </w:r>
      <w:r w:rsidR="001F791D">
        <w:t xml:space="preserve">(ALJ) </w:t>
      </w:r>
      <w:r w:rsidR="000802CC">
        <w:t xml:space="preserve">denied </w:t>
      </w:r>
      <w:r w:rsidR="000802CC" w:rsidRPr="00143E6C">
        <w:rPr>
          <w:szCs w:val="24"/>
        </w:rPr>
        <w:t>KDCB Garrett Ranch’s</w:t>
      </w:r>
      <w:r w:rsidR="000802CC">
        <w:rPr>
          <w:szCs w:val="24"/>
        </w:rPr>
        <w:t xml:space="preserve"> motion to dismiss.</w:t>
      </w:r>
      <w:r>
        <w:t xml:space="preserve"> For the reasons discussed below, the Commission denies </w:t>
      </w:r>
      <w:r w:rsidR="000802CC" w:rsidRPr="00143E6C">
        <w:rPr>
          <w:szCs w:val="24"/>
        </w:rPr>
        <w:t>KDCB Garrett Ranch’s</w:t>
      </w:r>
      <w:r>
        <w:t xml:space="preserve"> appeal.</w:t>
      </w:r>
    </w:p>
    <w:p w:rsidR="005A2C95" w:rsidRDefault="000802CC" w:rsidP="00315A13">
      <w:pPr>
        <w:pStyle w:val="BodyText"/>
      </w:pPr>
      <w:r>
        <w:t xml:space="preserve">Under </w:t>
      </w:r>
      <w:r w:rsidRPr="00143E6C">
        <w:rPr>
          <w:szCs w:val="24"/>
        </w:rPr>
        <w:t>P.U.C. P</w:t>
      </w:r>
      <w:r>
        <w:rPr>
          <w:smallCaps/>
          <w:szCs w:val="24"/>
        </w:rPr>
        <w:t>roc</w:t>
      </w:r>
      <w:r w:rsidRPr="00143E6C">
        <w:rPr>
          <w:szCs w:val="24"/>
        </w:rPr>
        <w:t>. R. 22.52(a</w:t>
      </w:r>
      <w:proofErr w:type="gramStart"/>
      <w:r w:rsidRPr="00143E6C">
        <w:rPr>
          <w:szCs w:val="24"/>
        </w:rPr>
        <w:t>)(</w:t>
      </w:r>
      <w:proofErr w:type="gramEnd"/>
      <w:r w:rsidRPr="00143E6C">
        <w:rPr>
          <w:szCs w:val="24"/>
        </w:rPr>
        <w:t>3)</w:t>
      </w:r>
      <w:r>
        <w:rPr>
          <w:szCs w:val="24"/>
        </w:rPr>
        <w:t xml:space="preserve">, an applicant in an electric licensing proceeding must on the date it </w:t>
      </w:r>
      <w:r>
        <w:t>files an application, mail notice of its application to the owners of land, as stated on the current county tax roll(s), who will be directly affected by the requested certificate, including the preferred location and any alternative locat</w:t>
      </w:r>
      <w:r w:rsidR="006F633D">
        <w:t>ion of the proposed facility.  Further, u</w:t>
      </w:r>
      <w:r>
        <w:t xml:space="preserve">nder </w:t>
      </w:r>
      <w:r w:rsidRPr="00143E6C">
        <w:rPr>
          <w:szCs w:val="24"/>
        </w:rPr>
        <w:t>P.U.C. P</w:t>
      </w:r>
      <w:r>
        <w:rPr>
          <w:smallCaps/>
          <w:szCs w:val="24"/>
        </w:rPr>
        <w:t>roc</w:t>
      </w:r>
      <w:r w:rsidRPr="00143E6C">
        <w:rPr>
          <w:szCs w:val="24"/>
        </w:rPr>
        <w:t>. R. 22.52(a)(3)</w:t>
      </w:r>
      <w:r>
        <w:rPr>
          <w:szCs w:val="24"/>
        </w:rPr>
        <w:t xml:space="preserve">, </w:t>
      </w:r>
      <w:r>
        <w:t xml:space="preserve">land is directly affected if an easement or other property interest would be obtained over all or any portion of it, or if it contains a habitable structure that would be within 500 feet of the centerline of a transmission project greater than 230kV.  </w:t>
      </w:r>
      <w:r w:rsidRPr="00143E6C">
        <w:rPr>
          <w:szCs w:val="24"/>
        </w:rPr>
        <w:t>KDCB Garrett Ranch</w:t>
      </w:r>
      <w:r>
        <w:rPr>
          <w:szCs w:val="24"/>
        </w:rPr>
        <w:t>’s motion to dismiss alleges that a directly affected landowner, Oakhurst Properties,</w:t>
      </w:r>
      <w:r w:rsidR="005A2C95">
        <w:rPr>
          <w:szCs w:val="24"/>
        </w:rPr>
        <w:t xml:space="preserve"> L.P.,</w:t>
      </w:r>
      <w:r>
        <w:rPr>
          <w:szCs w:val="24"/>
        </w:rPr>
        <w:t xml:space="preserve"> has not received</w:t>
      </w:r>
      <w:r w:rsidR="00315A13">
        <w:rPr>
          <w:szCs w:val="24"/>
        </w:rPr>
        <w:t xml:space="preserve"> notice of LCR</w:t>
      </w:r>
      <w:r w:rsidR="006F633D">
        <w:rPr>
          <w:szCs w:val="24"/>
        </w:rPr>
        <w:t xml:space="preserve">A’s proposed route as required </w:t>
      </w:r>
      <w:r w:rsidR="00315A13">
        <w:rPr>
          <w:szCs w:val="24"/>
        </w:rPr>
        <w:t xml:space="preserve">by </w:t>
      </w:r>
      <w:r w:rsidR="00315A13" w:rsidRPr="00143E6C">
        <w:rPr>
          <w:szCs w:val="24"/>
        </w:rPr>
        <w:t>P.U.C. P</w:t>
      </w:r>
      <w:r w:rsidR="00315A13">
        <w:rPr>
          <w:smallCaps/>
          <w:szCs w:val="24"/>
        </w:rPr>
        <w:t>roc</w:t>
      </w:r>
      <w:r w:rsidR="00315A13" w:rsidRPr="00143E6C">
        <w:rPr>
          <w:szCs w:val="24"/>
        </w:rPr>
        <w:t>. R. 22.52(a</w:t>
      </w:r>
      <w:proofErr w:type="gramStart"/>
      <w:r w:rsidR="00315A13" w:rsidRPr="00143E6C">
        <w:rPr>
          <w:szCs w:val="24"/>
        </w:rPr>
        <w:t>)(</w:t>
      </w:r>
      <w:proofErr w:type="gramEnd"/>
      <w:r w:rsidR="00315A13" w:rsidRPr="00143E6C">
        <w:rPr>
          <w:szCs w:val="24"/>
        </w:rPr>
        <w:t>3)</w:t>
      </w:r>
      <w:r w:rsidR="00315A13">
        <w:rPr>
          <w:szCs w:val="24"/>
        </w:rPr>
        <w:t xml:space="preserve">, and </w:t>
      </w:r>
      <w:r w:rsidR="00953C27">
        <w:rPr>
          <w:szCs w:val="24"/>
        </w:rPr>
        <w:t xml:space="preserve">that </w:t>
      </w:r>
      <w:r w:rsidR="00315A13">
        <w:rPr>
          <w:szCs w:val="24"/>
        </w:rPr>
        <w:t xml:space="preserve">therefore the application must be dismissed. </w:t>
      </w:r>
      <w:r>
        <w:t xml:space="preserve"> </w:t>
      </w:r>
    </w:p>
    <w:p w:rsidR="00315A13" w:rsidRPr="00315A13" w:rsidRDefault="005A2C95" w:rsidP="00315A13">
      <w:pPr>
        <w:pStyle w:val="BodyText"/>
        <w:rPr>
          <w:szCs w:val="24"/>
        </w:rPr>
      </w:pPr>
      <w:r>
        <w:t>The Commission concludes that</w:t>
      </w:r>
      <w:r w:rsidR="00315A13">
        <w:t xml:space="preserve"> </w:t>
      </w:r>
      <w:r w:rsidR="000802CC" w:rsidRPr="00143E6C">
        <w:rPr>
          <w:szCs w:val="24"/>
        </w:rPr>
        <w:t xml:space="preserve">KDCB Garrett Ranch may </w:t>
      </w:r>
      <w:r w:rsidR="00315A13">
        <w:rPr>
          <w:szCs w:val="24"/>
        </w:rPr>
        <w:t xml:space="preserve">not </w:t>
      </w:r>
      <w:r w:rsidR="000802CC" w:rsidRPr="00143E6C">
        <w:rPr>
          <w:szCs w:val="24"/>
        </w:rPr>
        <w:t xml:space="preserve">raise a failure of proper notice claim under </w:t>
      </w:r>
      <w:r w:rsidR="00315A13" w:rsidRPr="00143E6C">
        <w:rPr>
          <w:szCs w:val="24"/>
        </w:rPr>
        <w:t>P.U.C. P</w:t>
      </w:r>
      <w:r w:rsidR="00315A13">
        <w:rPr>
          <w:smallCaps/>
          <w:szCs w:val="24"/>
        </w:rPr>
        <w:t>roc</w:t>
      </w:r>
      <w:r w:rsidR="00315A13" w:rsidRPr="00143E6C">
        <w:rPr>
          <w:szCs w:val="24"/>
        </w:rPr>
        <w:t>. R. 22.52</w:t>
      </w:r>
      <w:r w:rsidR="000802CC" w:rsidRPr="00143E6C">
        <w:rPr>
          <w:szCs w:val="24"/>
        </w:rPr>
        <w:t>(a)(3) on behalf of a non-intervener such as Oakhurst Properties</w:t>
      </w:r>
      <w:r w:rsidR="00315A13">
        <w:rPr>
          <w:szCs w:val="24"/>
        </w:rPr>
        <w:t xml:space="preserve"> because </w:t>
      </w:r>
      <w:r w:rsidR="00315A13" w:rsidRPr="00143E6C">
        <w:rPr>
          <w:szCs w:val="24"/>
        </w:rPr>
        <w:t xml:space="preserve">KDCB Garrett Ranch </w:t>
      </w:r>
      <w:r w:rsidR="00315A13">
        <w:rPr>
          <w:szCs w:val="24"/>
        </w:rPr>
        <w:t xml:space="preserve">lacks standing to </w:t>
      </w:r>
      <w:r w:rsidR="00953C27">
        <w:rPr>
          <w:szCs w:val="24"/>
        </w:rPr>
        <w:t>raise</w:t>
      </w:r>
      <w:r w:rsidR="00315A13">
        <w:rPr>
          <w:szCs w:val="24"/>
        </w:rPr>
        <w:t xml:space="preserve"> that claim.  In addition, the Commission agrees with the ALJ’s ruling in Order No. 11, which cited LCRA’s response to the motion to dismiss. </w:t>
      </w:r>
    </w:p>
    <w:p w:rsidR="008668F7" w:rsidRDefault="00A27E17" w:rsidP="008668F7">
      <w:pPr>
        <w:pStyle w:val="BodyText"/>
      </w:pPr>
      <w:r>
        <w:lastRenderedPageBreak/>
        <w:t>Therefore, t</w:t>
      </w:r>
      <w:r w:rsidR="008668F7">
        <w:t xml:space="preserve">he appeal of </w:t>
      </w:r>
      <w:r w:rsidR="000802CC">
        <w:rPr>
          <w:szCs w:val="24"/>
        </w:rPr>
        <w:t xml:space="preserve">KDCB Garrett Ranch </w:t>
      </w:r>
      <w:r w:rsidR="0003055E">
        <w:t xml:space="preserve">of Order No. </w:t>
      </w:r>
      <w:r w:rsidR="000802CC">
        <w:t>11</w:t>
      </w:r>
      <w:r>
        <w:t xml:space="preserve"> is denied</w:t>
      </w:r>
      <w:r w:rsidR="000C3DE9">
        <w:t>.</w:t>
      </w:r>
    </w:p>
    <w:p w:rsidR="00FD6764" w:rsidRDefault="00FD6764" w:rsidP="008F66B2">
      <w:pPr>
        <w:pStyle w:val="BodyText"/>
      </w:pPr>
    </w:p>
    <w:p w:rsidR="00967322" w:rsidRDefault="00967322" w:rsidP="002A1501">
      <w:pPr>
        <w:keepNext/>
        <w:spacing w:line="480" w:lineRule="auto"/>
        <w:ind w:firstLine="720"/>
        <w:rPr>
          <w:b/>
        </w:rPr>
      </w:pPr>
      <w:r>
        <w:rPr>
          <w:b/>
        </w:rPr>
        <w:t xml:space="preserve">SIGNED AT AUSTIN, TEXAS the </w:t>
      </w:r>
      <w:r>
        <w:t xml:space="preserve">______ </w:t>
      </w:r>
      <w:r>
        <w:rPr>
          <w:b/>
        </w:rPr>
        <w:t xml:space="preserve">day of </w:t>
      </w:r>
      <w:r w:rsidR="000802CC">
        <w:rPr>
          <w:b/>
        </w:rPr>
        <w:t>February 2010</w:t>
      </w:r>
    </w:p>
    <w:p w:rsidR="00967322" w:rsidRDefault="00967322">
      <w:pPr>
        <w:keepNext/>
        <w:tabs>
          <w:tab w:val="left" w:pos="3600"/>
        </w:tabs>
      </w:pPr>
    </w:p>
    <w:p w:rsidR="008F66B2" w:rsidRDefault="008F66B2" w:rsidP="007B739C">
      <w:pPr>
        <w:pStyle w:val="BodyText"/>
        <w:keepLines/>
        <w:spacing w:after="100" w:afterAutospacing="1"/>
        <w:ind w:left="2880" w:firstLine="0"/>
        <w:rPr>
          <w:b/>
        </w:rPr>
      </w:pPr>
      <w:r w:rsidRPr="008F66B2">
        <w:rPr>
          <w:b/>
        </w:rPr>
        <w:t>PUBLIC UTILITY COMMISSION OF TEXAS</w:t>
      </w:r>
    </w:p>
    <w:p w:rsidR="00070512" w:rsidRPr="00423FED" w:rsidRDefault="00FD6764" w:rsidP="00070512">
      <w:pPr>
        <w:keepNext/>
        <w:keepLines/>
        <w:tabs>
          <w:tab w:val="left" w:pos="2880"/>
          <w:tab w:val="left" w:pos="8640"/>
        </w:tabs>
        <w:rPr>
          <w:b/>
          <w:szCs w:val="24"/>
        </w:rPr>
      </w:pPr>
      <w:r>
        <w:rPr>
          <w:b/>
          <w:szCs w:val="24"/>
        </w:rPr>
        <w:tab/>
      </w:r>
      <w:r w:rsidR="00070512" w:rsidRPr="00423FED">
        <w:rPr>
          <w:b/>
          <w:szCs w:val="24"/>
          <w:u w:val="single"/>
        </w:rPr>
        <w:tab/>
      </w:r>
    </w:p>
    <w:p w:rsidR="00070512" w:rsidRPr="00423FED" w:rsidRDefault="00070512" w:rsidP="00070512">
      <w:pPr>
        <w:keepNext/>
        <w:keepLines/>
        <w:tabs>
          <w:tab w:val="left" w:pos="2880"/>
          <w:tab w:val="left" w:pos="8640"/>
        </w:tabs>
        <w:rPr>
          <w:b/>
          <w:szCs w:val="24"/>
        </w:rPr>
      </w:pPr>
      <w:r w:rsidRPr="00423FED">
        <w:rPr>
          <w:b/>
          <w:szCs w:val="24"/>
        </w:rPr>
        <w:tab/>
      </w:r>
      <w:r>
        <w:rPr>
          <w:b/>
          <w:szCs w:val="24"/>
        </w:rPr>
        <w:t>BARRY T. SMITHERMAN, CHAIRMAN</w:t>
      </w:r>
    </w:p>
    <w:p w:rsidR="008F66B2" w:rsidRPr="001F7869" w:rsidRDefault="008F66B2" w:rsidP="00D76634">
      <w:pPr>
        <w:keepNext/>
        <w:keepLines/>
        <w:tabs>
          <w:tab w:val="left" w:pos="2880"/>
          <w:tab w:val="left" w:pos="8640"/>
        </w:tabs>
        <w:rPr>
          <w:b/>
          <w:szCs w:val="24"/>
        </w:rPr>
      </w:pPr>
    </w:p>
    <w:p w:rsidR="008F66B2" w:rsidRPr="00423FED" w:rsidRDefault="008F66B2" w:rsidP="008F66B2">
      <w:pPr>
        <w:keepNext/>
        <w:tabs>
          <w:tab w:val="left" w:pos="3600"/>
        </w:tabs>
        <w:rPr>
          <w:szCs w:val="24"/>
        </w:rPr>
      </w:pPr>
    </w:p>
    <w:p w:rsidR="008F66B2" w:rsidRPr="00423FED" w:rsidRDefault="008F66B2" w:rsidP="008F66B2">
      <w:pPr>
        <w:keepNext/>
        <w:tabs>
          <w:tab w:val="left" w:pos="2880"/>
          <w:tab w:val="left" w:pos="8640"/>
        </w:tabs>
        <w:rPr>
          <w:b/>
          <w:szCs w:val="24"/>
          <w:u w:val="single"/>
        </w:rPr>
      </w:pPr>
      <w:r w:rsidRPr="00423FED">
        <w:rPr>
          <w:b/>
          <w:szCs w:val="24"/>
        </w:rPr>
        <w:tab/>
      </w:r>
      <w:r w:rsidRPr="00423FED">
        <w:rPr>
          <w:b/>
          <w:szCs w:val="24"/>
          <w:u w:val="single"/>
        </w:rPr>
        <w:tab/>
      </w:r>
    </w:p>
    <w:p w:rsidR="008F66B2" w:rsidRDefault="008F66B2" w:rsidP="008F66B2">
      <w:pPr>
        <w:keepNext/>
        <w:tabs>
          <w:tab w:val="left" w:pos="2880"/>
          <w:tab w:val="left" w:pos="8640"/>
        </w:tabs>
        <w:rPr>
          <w:b/>
          <w:szCs w:val="24"/>
        </w:rPr>
      </w:pPr>
      <w:r w:rsidRPr="00423FED">
        <w:rPr>
          <w:b/>
          <w:szCs w:val="24"/>
        </w:rPr>
        <w:tab/>
      </w:r>
      <w:r w:rsidR="002A1501">
        <w:rPr>
          <w:b/>
          <w:szCs w:val="24"/>
        </w:rPr>
        <w:t>DONNA L. NELSON</w:t>
      </w:r>
      <w:r w:rsidR="00680DE9">
        <w:rPr>
          <w:b/>
          <w:szCs w:val="24"/>
        </w:rPr>
        <w:t>, COMMISSIONER</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8F66B2">
      <w:pPr>
        <w:keepNext/>
        <w:tabs>
          <w:tab w:val="left" w:pos="2880"/>
          <w:tab w:val="left" w:pos="8640"/>
        </w:tabs>
        <w:rPr>
          <w:b/>
          <w:szCs w:val="24"/>
        </w:rPr>
      </w:pPr>
      <w:r>
        <w:rPr>
          <w:b/>
          <w:szCs w:val="24"/>
        </w:rPr>
        <w:tab/>
      </w:r>
      <w:r>
        <w:rPr>
          <w:b/>
          <w:szCs w:val="24"/>
          <w:u w:val="single"/>
        </w:rPr>
        <w:tab/>
      </w:r>
    </w:p>
    <w:p w:rsidR="008F66B2" w:rsidRDefault="008F66B2" w:rsidP="008F66B2">
      <w:pPr>
        <w:keepNext/>
        <w:tabs>
          <w:tab w:val="left" w:pos="2880"/>
          <w:tab w:val="left" w:pos="8640"/>
        </w:tabs>
        <w:rPr>
          <w:b/>
          <w:szCs w:val="24"/>
        </w:rPr>
      </w:pPr>
      <w:r w:rsidRPr="00423FED">
        <w:rPr>
          <w:b/>
          <w:szCs w:val="24"/>
        </w:rPr>
        <w:tab/>
      </w:r>
      <w:r w:rsidR="002A1501">
        <w:rPr>
          <w:b/>
          <w:szCs w:val="24"/>
        </w:rPr>
        <w:t>KENNETH W. ANDERSON, JR.</w:t>
      </w:r>
      <w:r w:rsidR="00C36161">
        <w:rPr>
          <w:b/>
          <w:szCs w:val="24"/>
        </w:rPr>
        <w:t>, COMMISSIONER</w:t>
      </w:r>
    </w:p>
    <w:p w:rsidR="00246A7F" w:rsidRDefault="00246A7F" w:rsidP="008F66B2">
      <w:pPr>
        <w:keepNext/>
        <w:tabs>
          <w:tab w:val="left" w:pos="2880"/>
          <w:tab w:val="left" w:pos="8640"/>
        </w:tabs>
        <w:rPr>
          <w:b/>
          <w:szCs w:val="24"/>
        </w:rPr>
      </w:pPr>
    </w:p>
    <w:p w:rsidR="00246A7F" w:rsidRDefault="00246A7F" w:rsidP="008F66B2">
      <w:pPr>
        <w:keepNext/>
        <w:tabs>
          <w:tab w:val="left" w:pos="2880"/>
          <w:tab w:val="left" w:pos="8640"/>
        </w:tabs>
        <w:rPr>
          <w:b/>
          <w:szCs w:val="24"/>
        </w:rPr>
      </w:pPr>
    </w:p>
    <w:p w:rsidR="00E358FC" w:rsidRDefault="00E358FC" w:rsidP="008F66B2">
      <w:pPr>
        <w:keepNext/>
        <w:tabs>
          <w:tab w:val="left" w:pos="2880"/>
          <w:tab w:val="left" w:pos="8640"/>
        </w:tabs>
        <w:rPr>
          <w:sz w:val="16"/>
          <w:szCs w:val="16"/>
        </w:rPr>
      </w:pPr>
    </w:p>
    <w:p w:rsidR="00E358FC" w:rsidRDefault="00E358FC" w:rsidP="008F66B2">
      <w:pPr>
        <w:keepNext/>
        <w:tabs>
          <w:tab w:val="left" w:pos="2880"/>
          <w:tab w:val="left" w:pos="8640"/>
        </w:tabs>
        <w:rPr>
          <w:sz w:val="16"/>
          <w:szCs w:val="16"/>
        </w:rPr>
      </w:pPr>
    </w:p>
    <w:p w:rsidR="00E358FC" w:rsidRDefault="00E358FC" w:rsidP="008F66B2">
      <w:pPr>
        <w:keepNext/>
        <w:tabs>
          <w:tab w:val="left" w:pos="2880"/>
          <w:tab w:val="left" w:pos="8640"/>
        </w:tabs>
        <w:rPr>
          <w:sz w:val="16"/>
          <w:szCs w:val="16"/>
        </w:rPr>
      </w:pPr>
    </w:p>
    <w:p w:rsidR="00E358FC" w:rsidRDefault="00E358FC" w:rsidP="008F66B2">
      <w:pPr>
        <w:keepNext/>
        <w:tabs>
          <w:tab w:val="left" w:pos="2880"/>
          <w:tab w:val="left" w:pos="8640"/>
        </w:tabs>
        <w:rPr>
          <w:sz w:val="16"/>
          <w:szCs w:val="16"/>
        </w:rPr>
      </w:pPr>
    </w:p>
    <w:p w:rsidR="00246A7F" w:rsidRPr="00E358FC" w:rsidRDefault="00F02CA2" w:rsidP="008F66B2">
      <w:pPr>
        <w:keepNext/>
        <w:tabs>
          <w:tab w:val="left" w:pos="2880"/>
          <w:tab w:val="left" w:pos="8640"/>
        </w:tabs>
        <w:rPr>
          <w:sz w:val="16"/>
          <w:szCs w:val="16"/>
        </w:rPr>
      </w:pPr>
      <w:fldSimple w:instr=" FILENAME  \p  \* MERGEFORMAT ">
        <w:r w:rsidR="000802CC" w:rsidRPr="000802CC">
          <w:rPr>
            <w:noProof/>
            <w:sz w:val="16"/>
            <w:szCs w:val="16"/>
          </w:rPr>
          <w:t>Q:\CADM\ORDERS\INTERIM\37000\37448appo11.docx</w:t>
        </w:r>
      </w:fldSimple>
    </w:p>
    <w:sectPr w:rsidR="00246A7F" w:rsidRPr="00E358FC" w:rsidSect="001F7869">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0EB" w:rsidRDefault="003520EB">
      <w:r>
        <w:separator/>
      </w:r>
    </w:p>
  </w:endnote>
  <w:endnote w:type="continuationSeparator" w:id="0">
    <w:p w:rsidR="003520EB" w:rsidRDefault="003520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0EB" w:rsidRDefault="003520EB">
      <w:r>
        <w:separator/>
      </w:r>
    </w:p>
  </w:footnote>
  <w:footnote w:type="continuationSeparator" w:id="0">
    <w:p w:rsidR="003520EB" w:rsidRDefault="00352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71875C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C7726"/>
    <w:multiLevelType w:val="singleLevel"/>
    <w:tmpl w:val="C974120C"/>
    <w:lvl w:ilvl="0">
      <w:start w:val="1"/>
      <w:numFmt w:val="decimal"/>
      <w:pStyle w:val="COLNumbered"/>
      <w:lvlText w:val="%1."/>
      <w:lvlJc w:val="left"/>
      <w:pPr>
        <w:tabs>
          <w:tab w:val="num" w:pos="720"/>
        </w:tabs>
        <w:ind w:left="720" w:hanging="720"/>
      </w:pPr>
    </w:lvl>
  </w:abstractNum>
  <w:abstractNum w:abstractNumId="2">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6F502CE1"/>
    <w:multiLevelType w:val="singleLevel"/>
    <w:tmpl w:val="D8D86316"/>
    <w:lvl w:ilvl="0">
      <w:start w:val="1"/>
      <w:numFmt w:val="decimal"/>
      <w:pStyle w:val="OrderingNumbered"/>
      <w:lvlText w:val="%1."/>
      <w:lvlJc w:val="left"/>
      <w:pPr>
        <w:tabs>
          <w:tab w:val="num" w:pos="720"/>
        </w:tabs>
        <w:ind w:left="720" w:hanging="720"/>
      </w:pPr>
    </w:lvl>
  </w:abstractNum>
  <w:abstractNum w:abstractNumId="5">
    <w:nsid w:val="6F6B1C74"/>
    <w:multiLevelType w:val="multilevel"/>
    <w:tmpl w:val="CA0491EE"/>
    <w:lvl w:ilvl="0">
      <w:start w:val="1"/>
      <w:numFmt w:val="upperRoman"/>
      <w:pStyle w:val="Heading1"/>
      <w:suff w:val="space"/>
      <w:lvlText w:val="%1."/>
      <w:lvlJc w:val="center"/>
      <w:pPr>
        <w:ind w:left="0" w:firstLine="288"/>
      </w:pPr>
    </w:lvl>
    <w:lvl w:ilvl="1">
      <w:start w:val="1"/>
      <w:numFmt w:val="upperLetter"/>
      <w:pStyle w:val="Heading2"/>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5"/>
  </w:num>
  <w:num w:numId="3">
    <w:abstractNumId w:val="5"/>
  </w:num>
  <w:num w:numId="4">
    <w:abstractNumId w:val="5"/>
  </w:num>
  <w:num w:numId="5">
    <w:abstractNumId w:val="1"/>
  </w:num>
  <w:num w:numId="6">
    <w:abstractNumId w:val="4"/>
  </w:num>
  <w:num w:numId="7">
    <w:abstractNumId w:val="4"/>
    <w:lvlOverride w:ilvl="0">
      <w:startOverride w:val="1"/>
    </w:lvlOverride>
  </w:num>
  <w:num w:numId="8">
    <w:abstractNumId w:val="2"/>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76634"/>
    <w:rsid w:val="000039B8"/>
    <w:rsid w:val="0003055E"/>
    <w:rsid w:val="00032D7A"/>
    <w:rsid w:val="00040455"/>
    <w:rsid w:val="00070512"/>
    <w:rsid w:val="00077D4A"/>
    <w:rsid w:val="000802CC"/>
    <w:rsid w:val="000A0583"/>
    <w:rsid w:val="000C1AB7"/>
    <w:rsid w:val="000C1F83"/>
    <w:rsid w:val="000C3DE9"/>
    <w:rsid w:val="00117530"/>
    <w:rsid w:val="001F7869"/>
    <w:rsid w:val="001F791D"/>
    <w:rsid w:val="00246A7F"/>
    <w:rsid w:val="00253A42"/>
    <w:rsid w:val="002A1501"/>
    <w:rsid w:val="002C1BCA"/>
    <w:rsid w:val="002C2B5C"/>
    <w:rsid w:val="00315A13"/>
    <w:rsid w:val="003520EB"/>
    <w:rsid w:val="0036472C"/>
    <w:rsid w:val="003B45AE"/>
    <w:rsid w:val="003C7827"/>
    <w:rsid w:val="003E1BD1"/>
    <w:rsid w:val="003E3C10"/>
    <w:rsid w:val="00400525"/>
    <w:rsid w:val="00412AEC"/>
    <w:rsid w:val="00493D6F"/>
    <w:rsid w:val="004C7928"/>
    <w:rsid w:val="004D6F55"/>
    <w:rsid w:val="00580522"/>
    <w:rsid w:val="00583DB5"/>
    <w:rsid w:val="00593C02"/>
    <w:rsid w:val="005A2C95"/>
    <w:rsid w:val="005D1DAD"/>
    <w:rsid w:val="00680DE9"/>
    <w:rsid w:val="006C1C58"/>
    <w:rsid w:val="006C62B1"/>
    <w:rsid w:val="006E2930"/>
    <w:rsid w:val="006F633D"/>
    <w:rsid w:val="00786A66"/>
    <w:rsid w:val="007B739C"/>
    <w:rsid w:val="007D59DD"/>
    <w:rsid w:val="007F3E83"/>
    <w:rsid w:val="008439DC"/>
    <w:rsid w:val="00854919"/>
    <w:rsid w:val="008668F7"/>
    <w:rsid w:val="00896CE7"/>
    <w:rsid w:val="008A1D27"/>
    <w:rsid w:val="008D3357"/>
    <w:rsid w:val="008F66B2"/>
    <w:rsid w:val="00916C8C"/>
    <w:rsid w:val="00926AC5"/>
    <w:rsid w:val="00937527"/>
    <w:rsid w:val="00953C27"/>
    <w:rsid w:val="00965F94"/>
    <w:rsid w:val="00967322"/>
    <w:rsid w:val="009A287F"/>
    <w:rsid w:val="009B5F5A"/>
    <w:rsid w:val="009B61FA"/>
    <w:rsid w:val="009E4A5F"/>
    <w:rsid w:val="00A27E17"/>
    <w:rsid w:val="00A626AD"/>
    <w:rsid w:val="00A71C93"/>
    <w:rsid w:val="00A8326C"/>
    <w:rsid w:val="00AD3AF7"/>
    <w:rsid w:val="00B009B1"/>
    <w:rsid w:val="00B16C4B"/>
    <w:rsid w:val="00BA0CB9"/>
    <w:rsid w:val="00BB22CB"/>
    <w:rsid w:val="00BC11B9"/>
    <w:rsid w:val="00C3510D"/>
    <w:rsid w:val="00C36161"/>
    <w:rsid w:val="00C36761"/>
    <w:rsid w:val="00CB57EC"/>
    <w:rsid w:val="00CD78C8"/>
    <w:rsid w:val="00D0614C"/>
    <w:rsid w:val="00D10BD6"/>
    <w:rsid w:val="00D609A7"/>
    <w:rsid w:val="00D76634"/>
    <w:rsid w:val="00DA19F4"/>
    <w:rsid w:val="00DF4D3E"/>
    <w:rsid w:val="00DF7253"/>
    <w:rsid w:val="00E0317C"/>
    <w:rsid w:val="00E0440D"/>
    <w:rsid w:val="00E16081"/>
    <w:rsid w:val="00E278A2"/>
    <w:rsid w:val="00E358FC"/>
    <w:rsid w:val="00E754ED"/>
    <w:rsid w:val="00EA7065"/>
    <w:rsid w:val="00EC1E5F"/>
    <w:rsid w:val="00F006C0"/>
    <w:rsid w:val="00F02CA2"/>
    <w:rsid w:val="00F356ED"/>
    <w:rsid w:val="00F360D2"/>
    <w:rsid w:val="00F533B1"/>
    <w:rsid w:val="00F92854"/>
    <w:rsid w:val="00FB6887"/>
    <w:rsid w:val="00FD6764"/>
    <w:rsid w:val="00FF51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AEC"/>
    <w:rPr>
      <w:snapToGrid w:val="0"/>
      <w:sz w:val="24"/>
    </w:rPr>
  </w:style>
  <w:style w:type="paragraph" w:styleId="Heading1">
    <w:name w:val="heading 1"/>
    <w:basedOn w:val="Normal"/>
    <w:next w:val="BodyText"/>
    <w:qFormat/>
    <w:rsid w:val="00CD78C8"/>
    <w:pPr>
      <w:keepNext/>
      <w:numPr>
        <w:numId w:val="1"/>
      </w:numPr>
      <w:spacing w:before="480" w:after="120"/>
      <w:ind w:firstLine="0"/>
      <w:jc w:val="center"/>
      <w:outlineLvl w:val="0"/>
    </w:pPr>
    <w:rPr>
      <w:b/>
      <w:szCs w:val="24"/>
    </w:rPr>
  </w:style>
  <w:style w:type="paragraph" w:styleId="Heading2">
    <w:name w:val="heading 2"/>
    <w:basedOn w:val="Normal"/>
    <w:next w:val="BodyText"/>
    <w:qFormat/>
    <w:rsid w:val="00CD78C8"/>
    <w:pPr>
      <w:keepNext/>
      <w:numPr>
        <w:ilvl w:val="1"/>
        <w:numId w:val="1"/>
      </w:numPr>
      <w:spacing w:before="360" w:after="120"/>
      <w:jc w:val="center"/>
      <w:outlineLvl w:val="1"/>
    </w:pPr>
    <w:rPr>
      <w:b/>
      <w:szCs w:val="24"/>
    </w:rPr>
  </w:style>
  <w:style w:type="paragraph" w:styleId="Heading3">
    <w:name w:val="heading 3"/>
    <w:basedOn w:val="Normal"/>
    <w:next w:val="BodyText"/>
    <w:qFormat/>
    <w:rsid w:val="00CD78C8"/>
    <w:pPr>
      <w:keepNext/>
      <w:tabs>
        <w:tab w:val="num" w:pos="360"/>
      </w:tabs>
      <w:spacing w:before="240" w:after="120"/>
      <w:outlineLvl w:val="2"/>
    </w:pPr>
    <w:rPr>
      <w:b/>
      <w:szCs w:val="24"/>
    </w:rPr>
  </w:style>
  <w:style w:type="paragraph" w:styleId="Heading4">
    <w:name w:val="heading 4"/>
    <w:basedOn w:val="Normal"/>
    <w:next w:val="BodyText"/>
    <w:qFormat/>
    <w:rsid w:val="00CD78C8"/>
    <w:pPr>
      <w:keepNext/>
      <w:tabs>
        <w:tab w:val="num" w:pos="360"/>
      </w:tabs>
      <w:spacing w:before="240" w:after="120"/>
      <w:outlineLvl w:val="3"/>
    </w:pPr>
    <w:rPr>
      <w:b/>
      <w:szCs w:val="24"/>
    </w:rPr>
  </w:style>
  <w:style w:type="paragraph" w:styleId="Heading5">
    <w:name w:val="heading 5"/>
    <w:basedOn w:val="Normal"/>
    <w:next w:val="BodyText"/>
    <w:qFormat/>
    <w:rsid w:val="00CD78C8"/>
    <w:pPr>
      <w:keepNext/>
      <w:numPr>
        <w:ilvl w:val="4"/>
        <w:numId w:val="9"/>
      </w:numPr>
      <w:spacing w:before="240" w:after="60"/>
      <w:outlineLvl w:val="4"/>
    </w:pPr>
    <w:rPr>
      <w:b/>
      <w:sz w:val="22"/>
      <w:szCs w:val="22"/>
    </w:rPr>
  </w:style>
  <w:style w:type="paragraph" w:styleId="Heading6">
    <w:name w:val="heading 6"/>
    <w:aliases w:val="FOF or COL Subheading"/>
    <w:basedOn w:val="Normal"/>
    <w:next w:val="FOFCOL"/>
    <w:qFormat/>
    <w:rsid w:val="008D3357"/>
    <w:pPr>
      <w:keepNext/>
      <w:spacing w:before="240" w:after="60"/>
      <w:outlineLvl w:val="5"/>
    </w:pPr>
    <w:rPr>
      <w:b/>
      <w: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2AEC"/>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rsid w:val="00412AEC"/>
    <w:pPr>
      <w:ind w:left="720" w:hanging="720"/>
    </w:pPr>
  </w:style>
  <w:style w:type="paragraph" w:styleId="Footer">
    <w:name w:val="footer"/>
    <w:basedOn w:val="Normal"/>
    <w:link w:val="FooterChar"/>
    <w:uiPriority w:val="99"/>
    <w:rsid w:val="00412AEC"/>
    <w:pPr>
      <w:widowControl w:val="0"/>
      <w:tabs>
        <w:tab w:val="center" w:pos="4320"/>
        <w:tab w:val="right" w:pos="8640"/>
      </w:tabs>
    </w:pPr>
  </w:style>
  <w:style w:type="character" w:styleId="FootnoteReference">
    <w:name w:val="footnote reference"/>
    <w:semiHidden/>
    <w:rsid w:val="00412AEC"/>
    <w:rPr>
      <w:vertAlign w:val="superscript"/>
    </w:rPr>
  </w:style>
  <w:style w:type="paragraph" w:styleId="FootnoteText">
    <w:name w:val="footnote text"/>
    <w:basedOn w:val="Normal"/>
    <w:semiHidden/>
    <w:rsid w:val="00412AEC"/>
    <w:pPr>
      <w:spacing w:before="120"/>
      <w:ind w:firstLine="720"/>
      <w:jc w:val="both"/>
    </w:pPr>
    <w:rPr>
      <w:sz w:val="20"/>
    </w:rPr>
  </w:style>
  <w:style w:type="paragraph" w:styleId="Header">
    <w:name w:val="header"/>
    <w:basedOn w:val="Normal"/>
    <w:rsid w:val="00412AEC"/>
    <w:pPr>
      <w:widowControl w:val="0"/>
      <w:tabs>
        <w:tab w:val="center" w:pos="4320"/>
        <w:tab w:val="right" w:pos="8640"/>
      </w:tabs>
    </w:pPr>
    <w:rPr>
      <w:b/>
      <w:sz w:val="20"/>
    </w:rPr>
  </w:style>
  <w:style w:type="character" w:styleId="PageNumber">
    <w:name w:val="page number"/>
    <w:basedOn w:val="DefaultParagraphFont"/>
    <w:rsid w:val="00412AEC"/>
  </w:style>
  <w:style w:type="paragraph" w:styleId="Title">
    <w:name w:val="Title"/>
    <w:basedOn w:val="Normal"/>
    <w:qFormat/>
    <w:rsid w:val="00412AEC"/>
    <w:pPr>
      <w:spacing w:before="480" w:after="480"/>
      <w:jc w:val="center"/>
    </w:pPr>
    <w:rPr>
      <w:b/>
    </w:rPr>
  </w:style>
  <w:style w:type="paragraph" w:styleId="TOC1">
    <w:name w:val="toc 1"/>
    <w:basedOn w:val="Normal"/>
    <w:next w:val="Normal"/>
    <w:autoRedefine/>
    <w:semiHidden/>
    <w:rsid w:val="00412AEC"/>
    <w:pPr>
      <w:spacing w:before="120" w:after="120"/>
    </w:pPr>
    <w:rPr>
      <w:b/>
      <w:caps/>
      <w:sz w:val="20"/>
    </w:rPr>
  </w:style>
  <w:style w:type="paragraph" w:styleId="TOC2">
    <w:name w:val="toc 2"/>
    <w:basedOn w:val="Normal"/>
    <w:next w:val="Normal"/>
    <w:autoRedefine/>
    <w:semiHidden/>
    <w:rsid w:val="00412AEC"/>
    <w:pPr>
      <w:ind w:left="240"/>
    </w:pPr>
    <w:rPr>
      <w:smallCaps/>
      <w:sz w:val="20"/>
    </w:rPr>
  </w:style>
  <w:style w:type="paragraph" w:styleId="TOC3">
    <w:name w:val="toc 3"/>
    <w:basedOn w:val="Normal"/>
    <w:next w:val="Normal"/>
    <w:autoRedefine/>
    <w:semiHidden/>
    <w:rsid w:val="00412AEC"/>
    <w:pPr>
      <w:ind w:left="480"/>
    </w:pPr>
    <w:rPr>
      <w:i/>
      <w:sz w:val="20"/>
    </w:rPr>
  </w:style>
  <w:style w:type="paragraph" w:styleId="TOC4">
    <w:name w:val="toc 4"/>
    <w:basedOn w:val="Normal"/>
    <w:next w:val="Normal"/>
    <w:autoRedefine/>
    <w:semiHidden/>
    <w:rsid w:val="00412AEC"/>
    <w:pPr>
      <w:ind w:left="720"/>
    </w:pPr>
    <w:rPr>
      <w:sz w:val="18"/>
    </w:rPr>
  </w:style>
  <w:style w:type="paragraph" w:styleId="TOC5">
    <w:name w:val="toc 5"/>
    <w:basedOn w:val="Normal"/>
    <w:next w:val="Normal"/>
    <w:autoRedefine/>
    <w:semiHidden/>
    <w:rsid w:val="00412AEC"/>
    <w:pPr>
      <w:ind w:left="960"/>
    </w:pPr>
    <w:rPr>
      <w:sz w:val="18"/>
    </w:rPr>
  </w:style>
  <w:style w:type="paragraph" w:styleId="TOC6">
    <w:name w:val="toc 6"/>
    <w:basedOn w:val="Normal"/>
    <w:next w:val="Normal"/>
    <w:autoRedefine/>
    <w:semiHidden/>
    <w:rsid w:val="00412AEC"/>
    <w:pPr>
      <w:ind w:left="1200"/>
    </w:pPr>
    <w:rPr>
      <w:sz w:val="18"/>
    </w:rPr>
  </w:style>
  <w:style w:type="paragraph" w:styleId="TOC7">
    <w:name w:val="toc 7"/>
    <w:basedOn w:val="Normal"/>
    <w:next w:val="Normal"/>
    <w:autoRedefine/>
    <w:semiHidden/>
    <w:rsid w:val="00412AEC"/>
    <w:pPr>
      <w:ind w:left="1440"/>
    </w:pPr>
    <w:rPr>
      <w:sz w:val="18"/>
    </w:rPr>
  </w:style>
  <w:style w:type="paragraph" w:styleId="TOC8">
    <w:name w:val="toc 8"/>
    <w:basedOn w:val="Normal"/>
    <w:next w:val="Normal"/>
    <w:autoRedefine/>
    <w:semiHidden/>
    <w:rsid w:val="00412AEC"/>
    <w:pPr>
      <w:ind w:left="1680"/>
    </w:pPr>
    <w:rPr>
      <w:sz w:val="18"/>
    </w:rPr>
  </w:style>
  <w:style w:type="paragraph" w:styleId="TOC9">
    <w:name w:val="toc 9"/>
    <w:basedOn w:val="Normal"/>
    <w:next w:val="Normal"/>
    <w:autoRedefine/>
    <w:semiHidden/>
    <w:rsid w:val="00412AEC"/>
    <w:pPr>
      <w:ind w:left="1920"/>
    </w:pPr>
    <w:rPr>
      <w:sz w:val="18"/>
    </w:rPr>
  </w:style>
  <w:style w:type="paragraph" w:customStyle="1" w:styleId="FOFNumbered">
    <w:name w:val="FOF Numbered"/>
    <w:basedOn w:val="FOFCOL"/>
    <w:rsid w:val="00412AEC"/>
    <w:pPr>
      <w:numPr>
        <w:numId w:val="8"/>
      </w:numPr>
    </w:pPr>
  </w:style>
  <w:style w:type="paragraph" w:customStyle="1" w:styleId="COLNumbered">
    <w:name w:val="COL Numbered"/>
    <w:basedOn w:val="FOFNumbered"/>
    <w:rsid w:val="00412AEC"/>
    <w:pPr>
      <w:numPr>
        <w:numId w:val="5"/>
      </w:numPr>
    </w:pPr>
  </w:style>
  <w:style w:type="paragraph" w:customStyle="1" w:styleId="OrderingNumbered">
    <w:name w:val="Ordering Numbered"/>
    <w:basedOn w:val="FOFNumbered"/>
    <w:rsid w:val="00412AEC"/>
    <w:pPr>
      <w:numPr>
        <w:numId w:val="6"/>
      </w:numPr>
    </w:pPr>
  </w:style>
  <w:style w:type="paragraph" w:styleId="BlockText">
    <w:name w:val="Block Text"/>
    <w:basedOn w:val="BodyText"/>
    <w:rsid w:val="00412AEC"/>
    <w:pPr>
      <w:ind w:left="1008" w:right="288" w:firstLine="0"/>
    </w:pPr>
  </w:style>
  <w:style w:type="character" w:customStyle="1" w:styleId="BodyTextChar">
    <w:name w:val="Body Text Char"/>
    <w:basedOn w:val="DefaultParagraphFont"/>
    <w:link w:val="BodyText"/>
    <w:rsid w:val="008668F7"/>
    <w:rPr>
      <w:snapToGrid w:val="0"/>
      <w:sz w:val="24"/>
    </w:rPr>
  </w:style>
  <w:style w:type="character" w:customStyle="1" w:styleId="FooterChar">
    <w:name w:val="Footer Char"/>
    <w:basedOn w:val="DefaultParagraphFont"/>
    <w:link w:val="Footer"/>
    <w:uiPriority w:val="99"/>
    <w:rsid w:val="00E754ED"/>
    <w:rPr>
      <w:snapToGrid w:val="0"/>
      <w:sz w:val="24"/>
    </w:rPr>
  </w:style>
  <w:style w:type="paragraph" w:styleId="BalloonText">
    <w:name w:val="Balloon Text"/>
    <w:basedOn w:val="Normal"/>
    <w:link w:val="BalloonTextChar"/>
    <w:rsid w:val="00E754ED"/>
    <w:rPr>
      <w:rFonts w:ascii="Tahoma" w:hAnsi="Tahoma" w:cs="Tahoma"/>
      <w:sz w:val="16"/>
      <w:szCs w:val="16"/>
    </w:rPr>
  </w:style>
  <w:style w:type="character" w:customStyle="1" w:styleId="BalloonTextChar">
    <w:name w:val="Balloon Text Char"/>
    <w:basedOn w:val="DefaultParagraphFont"/>
    <w:link w:val="BalloonText"/>
    <w:rsid w:val="00E754ED"/>
    <w:rPr>
      <w:rFonts w:ascii="Tahoma" w:hAnsi="Tahoma" w:cs="Tahoma"/>
      <w:snapToGrid w:val="0"/>
      <w:sz w:val="16"/>
      <w:szCs w:val="16"/>
    </w:rPr>
  </w:style>
  <w:style w:type="paragraph" w:styleId="ListBullet">
    <w:name w:val="List Bullet"/>
    <w:basedOn w:val="Normal"/>
    <w:rsid w:val="00246A7F"/>
    <w:pPr>
      <w:numPr>
        <w:numId w:val="10"/>
      </w:numPr>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A067C-B2B6-422C-B93C-5B73E9032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346</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Laura B. Kennedy</dc:creator>
  <cp:lastModifiedBy>kwilliams</cp:lastModifiedBy>
  <cp:revision>6</cp:revision>
  <cp:lastPrinted>2010-02-11T20:00:00Z</cp:lastPrinted>
  <dcterms:created xsi:type="dcterms:W3CDTF">2010-02-11T19:21:00Z</dcterms:created>
  <dcterms:modified xsi:type="dcterms:W3CDTF">2010-02-11T21:53:00Z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