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B22" w:rsidRPr="003C35B5" w:rsidRDefault="00275B22">
      <w:pPr>
        <w:spacing w:before="0" w:line="240" w:lineRule="auto"/>
        <w:jc w:val="center"/>
        <w:rPr>
          <w:b/>
        </w:rPr>
      </w:pPr>
      <w:r w:rsidRPr="003C35B5">
        <w:rPr>
          <w:b/>
        </w:rPr>
        <w:t xml:space="preserve">PUC DOCKET NO. </w:t>
      </w:r>
      <w:r w:rsidR="00695811">
        <w:rPr>
          <w:b/>
        </w:rPr>
        <w:t>36416</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tblPr>
      <w:tblGrid>
        <w:gridCol w:w="4698"/>
        <w:gridCol w:w="360"/>
        <w:gridCol w:w="4518"/>
      </w:tblGrid>
      <w:tr w:rsidR="00275B22" w:rsidRPr="003C35B5">
        <w:tc>
          <w:tcPr>
            <w:tcW w:w="4698" w:type="dxa"/>
          </w:tcPr>
          <w:p w:rsidR="00275B22" w:rsidRPr="003C35B5" w:rsidRDefault="00695811">
            <w:pPr>
              <w:spacing w:before="0" w:line="240" w:lineRule="auto"/>
              <w:jc w:val="left"/>
            </w:pPr>
            <w:r w:rsidRPr="00695811">
              <w:rPr>
                <w:b/>
              </w:rPr>
              <w:t>AEP ENERGY PARTNERS' APPEAL OF THE DECISION OF THE ERCOT BOARD ASSIGNING OKLAUNION GENERATING STATION TO THE WEST ZON</w:t>
            </w:r>
            <w:r w:rsidR="009665E4">
              <w:rPr>
                <w:b/>
              </w:rPr>
              <w:t xml:space="preserve">E AND REQUEST FOR EXPEDITED </w:t>
            </w:r>
            <w:r w:rsidRPr="00695811">
              <w:rPr>
                <w:b/>
              </w:rPr>
              <w:t>CONSIDERATION AND EMERGENCY REMAND WITH INSTRUCTIONS</w:t>
            </w:r>
          </w:p>
        </w:tc>
        <w:tc>
          <w:tcPr>
            <w:tcW w:w="360" w:type="dxa"/>
          </w:tcPr>
          <w:p w:rsidR="00275B22" w:rsidRDefault="00275B22">
            <w:pPr>
              <w:spacing w:before="0" w:line="240" w:lineRule="auto"/>
              <w:ind w:right="576"/>
              <w:rPr>
                <w:b/>
              </w:rPr>
            </w:pPr>
            <w:r w:rsidRPr="003C35B5">
              <w:rPr>
                <w:b/>
              </w:rPr>
              <w:t>§§§</w:t>
            </w:r>
          </w:p>
          <w:p w:rsidR="00695811" w:rsidRDefault="00695811">
            <w:pPr>
              <w:spacing w:before="0" w:line="240" w:lineRule="auto"/>
              <w:ind w:right="576"/>
              <w:rPr>
                <w:b/>
              </w:rPr>
            </w:pPr>
            <w:r w:rsidRPr="003C35B5">
              <w:rPr>
                <w:b/>
              </w:rPr>
              <w:t>§</w:t>
            </w:r>
          </w:p>
          <w:p w:rsidR="00695811" w:rsidRDefault="00695811">
            <w:pPr>
              <w:spacing w:before="0" w:line="240" w:lineRule="auto"/>
              <w:ind w:right="576"/>
              <w:rPr>
                <w:b/>
              </w:rPr>
            </w:pPr>
            <w:r w:rsidRPr="003C35B5">
              <w:rPr>
                <w:b/>
              </w:rPr>
              <w:t>§</w:t>
            </w:r>
          </w:p>
          <w:p w:rsidR="00695811" w:rsidRDefault="00695811">
            <w:pPr>
              <w:spacing w:before="0" w:line="240" w:lineRule="auto"/>
              <w:ind w:right="576"/>
              <w:rPr>
                <w:b/>
              </w:rPr>
            </w:pPr>
            <w:r w:rsidRPr="003C35B5">
              <w:rPr>
                <w:b/>
              </w:rPr>
              <w:t>§</w:t>
            </w:r>
          </w:p>
          <w:p w:rsidR="00695811" w:rsidRDefault="00695811">
            <w:pPr>
              <w:spacing w:before="0" w:line="240" w:lineRule="auto"/>
              <w:ind w:right="576"/>
              <w:rPr>
                <w:b/>
              </w:rPr>
            </w:pPr>
            <w:r w:rsidRPr="003C35B5">
              <w:rPr>
                <w:b/>
              </w:rPr>
              <w:t>§</w:t>
            </w:r>
          </w:p>
          <w:p w:rsidR="00695811" w:rsidRPr="003C35B5" w:rsidRDefault="00695811">
            <w:pPr>
              <w:spacing w:before="0" w:line="240" w:lineRule="auto"/>
              <w:ind w:right="576"/>
              <w:rPr>
                <w:b/>
              </w:rPr>
            </w:pPr>
            <w:r w:rsidRPr="003C35B5">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Default="00275B22">
            <w:pPr>
              <w:spacing w:before="0" w:line="240" w:lineRule="auto"/>
              <w:jc w:val="center"/>
              <w:rPr>
                <w:b/>
              </w:rPr>
            </w:pPr>
          </w:p>
          <w:p w:rsidR="00695811" w:rsidRDefault="00695811">
            <w:pPr>
              <w:spacing w:before="0" w:line="240" w:lineRule="auto"/>
              <w:jc w:val="center"/>
              <w:rPr>
                <w:b/>
              </w:rPr>
            </w:pPr>
          </w:p>
          <w:p w:rsidR="00695811" w:rsidRPr="003C35B5" w:rsidRDefault="00695811">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544994">
      <w:pPr>
        <w:spacing w:before="0"/>
        <w:jc w:val="center"/>
      </w:pPr>
      <w:r>
        <w:rPr>
          <w:b/>
        </w:rPr>
        <w:t xml:space="preserve">DRAFT </w:t>
      </w:r>
      <w:r w:rsidR="00275B22" w:rsidRPr="003C35B5">
        <w:rPr>
          <w:b/>
        </w:rPr>
        <w:t>PRELIMINARY ORDER</w:t>
      </w:r>
    </w:p>
    <w:p w:rsidR="00275B22" w:rsidRPr="003C35B5" w:rsidRDefault="00275B22">
      <w:pPr>
        <w:spacing w:before="0"/>
        <w:jc w:val="center"/>
        <w:rPr>
          <w:b/>
        </w:rPr>
      </w:pPr>
    </w:p>
    <w:p w:rsidR="00444D24" w:rsidRDefault="00275B22" w:rsidP="00FA357E">
      <w:pPr>
        <w:pStyle w:val="BodyText"/>
      </w:pPr>
      <w:r w:rsidRPr="00FA357E">
        <w:rPr>
          <w:rStyle w:val="SubtitleChar"/>
        </w:rPr>
        <w:tab/>
      </w:r>
      <w:r w:rsidR="008C0437">
        <w:t>This is an</w:t>
      </w:r>
      <w:r w:rsidR="00F5125F" w:rsidRPr="00F5125F">
        <w:t xml:space="preserve"> </w:t>
      </w:r>
      <w:r w:rsidR="008C0437">
        <w:t xml:space="preserve">appeal by </w:t>
      </w:r>
      <w:r w:rsidR="00F5125F" w:rsidRPr="00F5125F">
        <w:t xml:space="preserve">AEP Energy Partners of a decision by the Electric Reliability Council of Texas (ERCOT).  </w:t>
      </w:r>
      <w:r w:rsidR="00F54517" w:rsidRPr="00F54517">
        <w:t xml:space="preserve">The ERCOT board voted on October 21, </w:t>
      </w:r>
      <w:r w:rsidR="00F54517">
        <w:t xml:space="preserve">2008 to approve the 2009 </w:t>
      </w:r>
      <w:r w:rsidR="007C299C">
        <w:t>commercially significant constraints</w:t>
      </w:r>
      <w:r w:rsidR="00410A68">
        <w:t xml:space="preserve"> (CSC)</w:t>
      </w:r>
      <w:r w:rsidR="00F54517">
        <w:t xml:space="preserve">, transmission congestion zones, </w:t>
      </w:r>
      <w:r w:rsidR="007C299C">
        <w:t>closely related elements</w:t>
      </w:r>
      <w:r w:rsidR="00F54517">
        <w:t>, and boundary generation r</w:t>
      </w:r>
      <w:r w:rsidR="00F54517" w:rsidRPr="00F54517">
        <w:t>esources in the ERCOT transmission system, which decision was based on</w:t>
      </w:r>
      <w:r w:rsidR="007307F3">
        <w:t xml:space="preserve"> the load-flow study known as s</w:t>
      </w:r>
      <w:r w:rsidR="006040A8">
        <w:t>cenario 3i</w:t>
      </w:r>
      <w:r w:rsidR="00F54517" w:rsidRPr="00F54517">
        <w:t>—a scenario whereby several generators, but not Oklaunion, were mo</w:t>
      </w:r>
      <w:r w:rsidR="00F54517">
        <w:t>ved from the West to the North Congestion Z</w:t>
      </w:r>
      <w:r w:rsidR="00F54517" w:rsidRPr="00F54517">
        <w:t>one.  Another</w:t>
      </w:r>
      <w:r w:rsidR="006040A8">
        <w:t xml:space="preserve"> scenario considered by ERCOT, scenario 3h,</w:t>
      </w:r>
      <w:r w:rsidR="00F54517" w:rsidRPr="00F54517">
        <w:t xml:space="preserve"> would have moved all of the foregoing generators</w:t>
      </w:r>
      <w:r w:rsidR="00F54517">
        <w:t>, plus Oklaunion, to the North Congestion Z</w:t>
      </w:r>
      <w:r w:rsidR="00F54517" w:rsidRPr="00F54517">
        <w:t xml:space="preserve">one.  </w:t>
      </w:r>
    </w:p>
    <w:p w:rsidR="0039740F" w:rsidRDefault="0039740F" w:rsidP="00FA357E">
      <w:pPr>
        <w:pStyle w:val="BodyText"/>
      </w:pPr>
    </w:p>
    <w:p w:rsidR="001F0846" w:rsidRDefault="00444D24" w:rsidP="00721417">
      <w:pPr>
        <w:spacing w:before="0"/>
        <w:ind w:firstLine="720"/>
      </w:pPr>
      <w:r w:rsidRPr="00F5125F">
        <w:t xml:space="preserve">AEP appeals the ERCOT board approval of </w:t>
      </w:r>
      <w:r w:rsidR="004C264D">
        <w:t>congestion management zones</w:t>
      </w:r>
      <w:r w:rsidR="00DF7EDB">
        <w:t xml:space="preserve"> </w:t>
      </w:r>
      <w:r w:rsidR="00DF7EDB" w:rsidRPr="00F5125F">
        <w:t>for the 2009 calendar year</w:t>
      </w:r>
      <w:r w:rsidRPr="00F5125F">
        <w:t>, which resulted in the assignment of the Oklaunion Generating Station to the West Congestion Zone.</w:t>
      </w:r>
      <w:r>
        <w:t xml:space="preserve">  </w:t>
      </w:r>
      <w:r w:rsidRPr="00F5125F">
        <w:t>Specifically,</w:t>
      </w:r>
      <w:r>
        <w:t xml:space="preserve"> </w:t>
      </w:r>
      <w:r w:rsidR="007F689B">
        <w:t>AEP argues that</w:t>
      </w:r>
      <w:r w:rsidR="006040A8">
        <w:t>,</w:t>
      </w:r>
      <w:r w:rsidR="007F689B">
        <w:t xml:space="preserve"> </w:t>
      </w:r>
      <w:r w:rsidR="007307F3">
        <w:t>in adopting s</w:t>
      </w:r>
      <w:r w:rsidR="007307F3" w:rsidRPr="00F54517">
        <w:t>cenario 3i</w:t>
      </w:r>
      <w:r w:rsidR="006040A8">
        <w:t>, using</w:t>
      </w:r>
      <w:r w:rsidR="004C264D">
        <w:t xml:space="preserve"> a post-contingency model,</w:t>
      </w:r>
      <w:r w:rsidR="007307F3">
        <w:t xml:space="preserve"> </w:t>
      </w:r>
      <w:r w:rsidR="007F689B">
        <w:t>ERCOT violated its own protocol</w:t>
      </w:r>
      <w:r w:rsidR="007307F3">
        <w:t>s</w:t>
      </w:r>
      <w:r w:rsidR="008C0437">
        <w:t xml:space="preserve"> both procedurally and substantively</w:t>
      </w:r>
      <w:r w:rsidR="007307F3">
        <w:t>.</w:t>
      </w:r>
      <w:r w:rsidR="007F689B">
        <w:t xml:space="preserve"> </w:t>
      </w:r>
      <w:r w:rsidR="007307F3">
        <w:t xml:space="preserve"> </w:t>
      </w:r>
      <w:r w:rsidR="006040A8">
        <w:t>AEP</w:t>
      </w:r>
      <w:r>
        <w:t xml:space="preserve"> contends that </w:t>
      </w:r>
      <w:r w:rsidR="008C0437">
        <w:t xml:space="preserve">ERCOT </w:t>
      </w:r>
      <w:r>
        <w:t xml:space="preserve">procedurally violated </w:t>
      </w:r>
      <w:r w:rsidR="00721417">
        <w:t>its</w:t>
      </w:r>
      <w:r>
        <w:t xml:space="preserve"> protocols, </w:t>
      </w:r>
      <w:r w:rsidR="008C0437" w:rsidRPr="00042F71">
        <w:t xml:space="preserve">because of the timing of </w:t>
      </w:r>
      <w:r w:rsidR="008C0437">
        <w:t xml:space="preserve">the genesis of </w:t>
      </w:r>
      <w:r w:rsidR="008C0437" w:rsidRPr="00042F71">
        <w:t xml:space="preserve">scenario 3i </w:t>
      </w:r>
      <w:r w:rsidR="004C264D">
        <w:t>as well as</w:t>
      </w:r>
      <w:r w:rsidR="008C0437" w:rsidRPr="00042F71">
        <w:t xml:space="preserve"> the </w:t>
      </w:r>
      <w:r w:rsidR="008C0437">
        <w:t>procedure used to approve</w:t>
      </w:r>
      <w:r w:rsidR="008C0437" w:rsidRPr="00042F71">
        <w:t xml:space="preserve"> </w:t>
      </w:r>
      <w:r w:rsidR="008C0437">
        <w:t xml:space="preserve">scenario 3i.  </w:t>
      </w:r>
      <w:r w:rsidR="001F0846">
        <w:t xml:space="preserve">AEP further states </w:t>
      </w:r>
      <w:r w:rsidR="006040A8">
        <w:t xml:space="preserve">that </w:t>
      </w:r>
      <w:r w:rsidR="001F0846">
        <w:t>the ERCOT decision adopting scenario 3i amounted to discriminatory treatment that is pro</w:t>
      </w:r>
      <w:r w:rsidR="00DF7EDB">
        <w:t>hibited by ERCOT protocol § 1.2</w:t>
      </w:r>
      <w:r w:rsidR="001F0846">
        <w:t xml:space="preserve"> and PURA § 39.001(c). </w:t>
      </w:r>
    </w:p>
    <w:p w:rsidR="0039740F" w:rsidRDefault="0039740F" w:rsidP="00721417">
      <w:pPr>
        <w:spacing w:before="0"/>
        <w:ind w:firstLine="720"/>
      </w:pPr>
    </w:p>
    <w:p w:rsidR="00F5125F" w:rsidRDefault="007F689B" w:rsidP="00721417">
      <w:pPr>
        <w:spacing w:before="0"/>
        <w:ind w:firstLine="720"/>
      </w:pPr>
      <w:r>
        <w:t>AEP submits that ERCOT’s prior interpretations of and</w:t>
      </w:r>
      <w:r w:rsidR="008C0437">
        <w:t xml:space="preserve"> precedent in applying § 7.2.2 </w:t>
      </w:r>
      <w:r>
        <w:t>became</w:t>
      </w:r>
      <w:r w:rsidR="008C0437">
        <w:t xml:space="preserve"> part of the protocol itself.  AEP </w:t>
      </w:r>
      <w:r>
        <w:t xml:space="preserve">reasons that because ERCOT staff has never previously </w:t>
      </w:r>
      <w:r>
        <w:lastRenderedPageBreak/>
        <w:t>used a post-contingency model in an a</w:t>
      </w:r>
      <w:r w:rsidR="008C0437">
        <w:t>ctual clustering recommendation</w:t>
      </w:r>
      <w:r>
        <w:t xml:space="preserve">, nor did it do so for any other CSC in 2009, this variance results in a </w:t>
      </w:r>
      <w:r w:rsidR="00444D24">
        <w:t xml:space="preserve">substantive </w:t>
      </w:r>
      <w:r>
        <w:t xml:space="preserve">violation of </w:t>
      </w:r>
      <w:r w:rsidR="00721417">
        <w:t>§ 7.2.2</w:t>
      </w:r>
      <w:r>
        <w:t xml:space="preserve">. </w:t>
      </w:r>
      <w:r w:rsidR="00721417">
        <w:t xml:space="preserve"> </w:t>
      </w:r>
      <w:r>
        <w:t xml:space="preserve">AEP additionally argues that ERCOT </w:t>
      </w:r>
      <w:r w:rsidR="00444D24">
        <w:t xml:space="preserve">substantively </w:t>
      </w:r>
      <w:r>
        <w:t>violated § 7.2.2 by taking</w:t>
      </w:r>
      <w:r w:rsidR="005E610F">
        <w:t>,</w:t>
      </w:r>
      <w:r>
        <w:t xml:space="preserve"> that are not provided for by the express language of the protocol and are beyond any </w:t>
      </w:r>
      <w:r w:rsidR="000760DA">
        <w:t xml:space="preserve">into consideration ERCOT </w:t>
      </w:r>
      <w:r w:rsidR="000760DA" w:rsidRPr="005E610F">
        <w:t xml:space="preserve">market costs implications </w:t>
      </w:r>
      <w:r w:rsidR="000760DA">
        <w:t xml:space="preserve">under the guise of operational benefits or flexibility </w:t>
      </w:r>
      <w:r>
        <w:t xml:space="preserve">reasonable implied ERCOT discretion. </w:t>
      </w:r>
      <w:r w:rsidR="008C0437">
        <w:t xml:space="preserve"> </w:t>
      </w:r>
      <w:r w:rsidR="00F54517" w:rsidRPr="00F54517">
        <w:t xml:space="preserve">AEP posits that had the ERCOT staff and board followed the procedures and analysis that have been established and followed in applying and interpreting § 7.2 of the ERCOT protocols in previous years, scenario 3h would and should have been approved.  </w:t>
      </w:r>
      <w:r w:rsidR="00721417">
        <w:t>AEP’s appeal requests the Commission to reverse</w:t>
      </w:r>
      <w:r w:rsidR="00721417" w:rsidRPr="00721417">
        <w:t xml:space="preserve"> ERCOT’s s</w:t>
      </w:r>
      <w:r w:rsidR="00721417">
        <w:t>election of scenario 3i and send</w:t>
      </w:r>
      <w:r w:rsidR="00721417" w:rsidRPr="00721417">
        <w:t xml:space="preserve"> it back to ERCOT for reconsideration or </w:t>
      </w:r>
      <w:r w:rsidR="00721417">
        <w:t>alternatively order</w:t>
      </w:r>
      <w:r w:rsidR="00721417" w:rsidRPr="00721417">
        <w:t xml:space="preserve"> the selection </w:t>
      </w:r>
      <w:r w:rsidR="00721417">
        <w:t>of</w:t>
      </w:r>
      <w:r w:rsidR="00721417" w:rsidRPr="00721417">
        <w:t xml:space="preserve"> scenario 3h.</w:t>
      </w:r>
    </w:p>
    <w:p w:rsidR="0039740F" w:rsidRDefault="0039740F" w:rsidP="00721417">
      <w:pPr>
        <w:spacing w:before="0"/>
        <w:ind w:firstLine="720"/>
      </w:pPr>
    </w:p>
    <w:p w:rsidR="00275B22" w:rsidRPr="003C35B5" w:rsidRDefault="00F5125F" w:rsidP="00F5125F">
      <w:pPr>
        <w:spacing w:before="0"/>
        <w:ind w:firstLine="720"/>
      </w:pPr>
      <w:r>
        <w:t xml:space="preserve">On January 12, 2009, the parties filed their joint stipulation of </w:t>
      </w:r>
      <w:r w:rsidR="00A008EA">
        <w:t>facts, which</w:t>
      </w:r>
      <w:r>
        <w:t xml:space="preserve"> constituted the entire evidentiary</w:t>
      </w:r>
      <w:r w:rsidR="00A312A0">
        <w:t xml:space="preserve"> record.  Following briefing by the parties, t</w:t>
      </w:r>
      <w:r w:rsidR="00A312A0" w:rsidRPr="00F5125F">
        <w:t xml:space="preserve">he Commission </w:t>
      </w:r>
      <w:r w:rsidR="003C2F62">
        <w:t>considered</w:t>
      </w:r>
      <w:r w:rsidR="00A312A0">
        <w:t xml:space="preserve"> AEP’s appeal</w:t>
      </w:r>
      <w:r>
        <w:t xml:space="preserve"> </w:t>
      </w:r>
      <w:r w:rsidR="00A312A0">
        <w:t>at its</w:t>
      </w:r>
      <w:r>
        <w:t xml:space="preserve"> April 9, 2009 open meeting, </w:t>
      </w:r>
      <w:r w:rsidR="00A312A0">
        <w:t xml:space="preserve">and </w:t>
      </w:r>
      <w:r w:rsidRPr="00F5125F">
        <w:t>f</w:t>
      </w:r>
      <w:r>
        <w:t>ound</w:t>
      </w:r>
      <w:r w:rsidRPr="00F5125F">
        <w:t xml:space="preserve"> good cause for waiver of the alternative dispute </w:t>
      </w:r>
      <w:r w:rsidR="003C2F62">
        <w:t>prerequisite to appeal</w:t>
      </w:r>
      <w:r w:rsidRPr="00F5125F">
        <w:t xml:space="preserve"> pursuant to P.U.C. </w:t>
      </w:r>
      <w:r w:rsidRPr="00544994">
        <w:rPr>
          <w:smallCaps/>
        </w:rPr>
        <w:t>PROC</w:t>
      </w:r>
      <w:r w:rsidR="003C2F62" w:rsidRPr="00544994">
        <w:rPr>
          <w:smallCaps/>
        </w:rPr>
        <w:t>. R.</w:t>
      </w:r>
      <w:r w:rsidR="003C2F62">
        <w:t xml:space="preserve"> 22.251</w:t>
      </w:r>
      <w:r>
        <w:t>.</w:t>
      </w:r>
      <w:r w:rsidRPr="00F5125F">
        <w:t xml:space="preserve">  Ho</w:t>
      </w:r>
      <w:r>
        <w:t>wever, the Commission also found</w:t>
      </w:r>
      <w:r w:rsidRPr="00F5125F">
        <w:t xml:space="preserve"> that the factual determinations necessary to the resolution of the matter have not been made an</w:t>
      </w:r>
      <w:r>
        <w:t>d therefore ordered</w:t>
      </w:r>
      <w:r w:rsidRPr="00F5125F">
        <w:t xml:space="preserve"> that an evidentiary hearing be conducted</w:t>
      </w:r>
      <w:r w:rsidR="003F767A">
        <w:t xml:space="preserve">. </w:t>
      </w:r>
    </w:p>
    <w:p w:rsidR="007F3C40" w:rsidRPr="003C35B5" w:rsidRDefault="007F3C40" w:rsidP="003F767A">
      <w:pPr>
        <w:spacing w:before="0"/>
        <w:rPr>
          <w:b/>
        </w:rPr>
      </w:pPr>
    </w:p>
    <w:p w:rsidR="00275B22" w:rsidRPr="003C35B5" w:rsidRDefault="009F1850">
      <w:pPr>
        <w:spacing w:before="0"/>
        <w:jc w:val="center"/>
      </w:pPr>
      <w:r w:rsidRPr="003C35B5">
        <w:rPr>
          <w:b/>
        </w:rPr>
        <w:t>I</w:t>
      </w:r>
      <w:r w:rsidR="00275B22" w:rsidRPr="003C35B5">
        <w:rPr>
          <w:b/>
        </w:rPr>
        <w:t xml:space="preserve">.  </w:t>
      </w:r>
      <w:r w:rsidR="002B0DD0" w:rsidRPr="003C35B5">
        <w:rPr>
          <w:b/>
        </w:rPr>
        <w:t>Issues to b</w:t>
      </w:r>
      <w:r w:rsidR="00C35689" w:rsidRPr="003C35B5">
        <w:rPr>
          <w:b/>
        </w:rPr>
        <w:t>e Addressed</w:t>
      </w:r>
    </w:p>
    <w:p w:rsidR="00275B22" w:rsidRPr="003C35B5" w:rsidRDefault="00275B22">
      <w:pPr>
        <w:spacing w:before="0"/>
        <w:jc w:val="center"/>
      </w:pPr>
    </w:p>
    <w:p w:rsidR="00275B22" w:rsidRPr="003C35B5" w:rsidRDefault="00275B22" w:rsidP="002B0DD0">
      <w:pPr>
        <w:spacing w:before="0"/>
      </w:pPr>
      <w:r w:rsidRPr="003C35B5">
        <w:tab/>
        <w:t>After reviewing the pleadings</w:t>
      </w:r>
      <w:r w:rsidR="00D946F0">
        <w:t>, briefs</w:t>
      </w:r>
      <w:r w:rsidR="003F767A">
        <w:t xml:space="preserve"> and </w:t>
      </w:r>
      <w:r w:rsidR="00D946F0">
        <w:t>the joint stipulation of facts previously</w:t>
      </w:r>
      <w:r w:rsidRPr="003C35B5">
        <w:t xml:space="preserve"> submitted by the parties, the Commission identifies the following issues that must be addressed in this docket:</w:t>
      </w:r>
    </w:p>
    <w:p w:rsidR="00275B22" w:rsidRPr="003C35B5" w:rsidRDefault="007C299C" w:rsidP="007C299C">
      <w:pPr>
        <w:pStyle w:val="ItemList"/>
        <w:numPr>
          <w:ilvl w:val="0"/>
          <w:numId w:val="1"/>
        </w:numPr>
        <w:spacing w:before="240"/>
        <w:ind w:left="720" w:hanging="720"/>
      </w:pPr>
      <w:r>
        <w:t xml:space="preserve">Did the ERCOT </w:t>
      </w:r>
      <w:r w:rsidR="009665E4">
        <w:t>b</w:t>
      </w:r>
      <w:r>
        <w:t>oard's approval of the 2009 commercially significant constraints, congestion zones, closely related elements, and boundary generation resources for the ERCOT transmission grid result from the proper procedural application of the ERCOT protocols?</w:t>
      </w:r>
    </w:p>
    <w:p w:rsidR="007C299C" w:rsidRDefault="009665E4">
      <w:pPr>
        <w:pStyle w:val="ItemList"/>
        <w:numPr>
          <w:ilvl w:val="0"/>
          <w:numId w:val="1"/>
        </w:numPr>
        <w:spacing w:before="240"/>
        <w:ind w:left="720" w:hanging="720"/>
      </w:pPr>
      <w:r>
        <w:t>Did the ERCOT b</w:t>
      </w:r>
      <w:r w:rsidR="007C299C">
        <w:t xml:space="preserve">oard's approval of the 2009 commercially significant constraints, congestion zones, closely related elements, and boundary generation resources for the </w:t>
      </w:r>
      <w:r w:rsidR="007C299C">
        <w:lastRenderedPageBreak/>
        <w:t xml:space="preserve">ERCOT transmission grid result from the proper </w:t>
      </w:r>
      <w:r w:rsidR="007C299C" w:rsidRPr="007C299C">
        <w:t>substantive ap</w:t>
      </w:r>
      <w:r w:rsidR="007C299C">
        <w:t>plication of the ERCOT protocols?</w:t>
      </w:r>
      <w:r w:rsidR="007C299C" w:rsidRPr="003C35B5">
        <w:t xml:space="preserve"> </w:t>
      </w:r>
    </w:p>
    <w:p w:rsidR="00275B22" w:rsidRDefault="009665E4">
      <w:pPr>
        <w:pStyle w:val="ItemList"/>
        <w:numPr>
          <w:ilvl w:val="0"/>
          <w:numId w:val="1"/>
        </w:numPr>
        <w:spacing w:before="240"/>
        <w:ind w:left="720" w:hanging="720"/>
      </w:pPr>
      <w:r>
        <w:t>Did the ERCOT b</w:t>
      </w:r>
      <w:r w:rsidR="007C299C">
        <w:t>oard's approval of the 2009 commercially significant constraints, congestion zones, closely related elements, and boundary generation resources for the ERCOT transmission grid discriminate against AEP</w:t>
      </w:r>
      <w:r w:rsidR="00AF6D8B">
        <w:t>,</w:t>
      </w:r>
      <w:r w:rsidR="007C299C">
        <w:t xml:space="preserve"> and if so, </w:t>
      </w:r>
      <w:r w:rsidR="00AF6D8B">
        <w:t>was there reasonable justification</w:t>
      </w:r>
      <w:r w:rsidR="007C299C">
        <w:t>?</w:t>
      </w:r>
    </w:p>
    <w:p w:rsidR="00A13B1A" w:rsidRDefault="00A13B1A">
      <w:pPr>
        <w:pStyle w:val="ItemList"/>
        <w:numPr>
          <w:ilvl w:val="0"/>
          <w:numId w:val="1"/>
        </w:numPr>
        <w:spacing w:before="240"/>
        <w:ind w:left="720" w:hanging="720"/>
      </w:pPr>
      <w:r>
        <w:t>In determining the issues above, the following facts should be addressed:</w:t>
      </w:r>
    </w:p>
    <w:p w:rsidR="00A13B1A" w:rsidRDefault="0072489A" w:rsidP="0072489A">
      <w:pPr>
        <w:pStyle w:val="ItemList"/>
        <w:numPr>
          <w:ilvl w:val="0"/>
          <w:numId w:val="10"/>
        </w:numPr>
      </w:pPr>
      <w:r>
        <w:t>Why did the ERCOT staff deviate from the otherwise consistent use of steady state modeling analysis and their clustering analysis, and only in this ins</w:t>
      </w:r>
      <w:r w:rsidR="006040A8">
        <w:t>tance and only with respect to s</w:t>
      </w:r>
      <w:r>
        <w:t>cenario 3i?</w:t>
      </w:r>
    </w:p>
    <w:p w:rsidR="004F77CC" w:rsidRDefault="004F77CC" w:rsidP="0072489A">
      <w:pPr>
        <w:pStyle w:val="ItemList"/>
        <w:numPr>
          <w:ilvl w:val="0"/>
          <w:numId w:val="10"/>
        </w:numPr>
      </w:pPr>
      <w:r>
        <w:t xml:space="preserve">Was there a change in ERCOT grid power flow or ERCOT market conditions subsequent to August 1, 2008, when the congestion management working group recommended scenarios 3b, </w:t>
      </w:r>
      <w:r w:rsidR="00A008EA">
        <w:t>3g,</w:t>
      </w:r>
      <w:r>
        <w:t xml:space="preserve"> and 3h for consideration by the wholesale market subcommittee, and </w:t>
      </w:r>
      <w:r w:rsidR="00941A17">
        <w:t xml:space="preserve">before </w:t>
      </w:r>
      <w:r>
        <w:t xml:space="preserve">September </w:t>
      </w:r>
      <w:r w:rsidR="00A008EA">
        <w:t>4</w:t>
      </w:r>
      <w:r>
        <w:t>, 2008</w:t>
      </w:r>
      <w:r w:rsidR="00941A17">
        <w:t>,</w:t>
      </w:r>
      <w:r>
        <w:t xml:space="preserve"> when ERCOT staff presented scenario 3i for consideration by the technical advisory committee? </w:t>
      </w:r>
      <w:r w:rsidR="00941A17">
        <w:t xml:space="preserve"> If there were changes in ERCOT grid power flow or ERCOT market conditions in this interim, what </w:t>
      </w:r>
      <w:r w:rsidR="00A008EA">
        <w:t>was the nature</w:t>
      </w:r>
      <w:r w:rsidR="00941A17">
        <w:t xml:space="preserve"> of the changes and did they form the basis of ERCOT’s development of scenario3i?</w:t>
      </w:r>
    </w:p>
    <w:p w:rsidR="00410A68" w:rsidRDefault="002A4B5A" w:rsidP="0072489A">
      <w:pPr>
        <w:pStyle w:val="ItemList"/>
        <w:numPr>
          <w:ilvl w:val="0"/>
          <w:numId w:val="10"/>
        </w:numPr>
      </w:pPr>
      <w:r>
        <w:t>Were ERCOT’s grounds, as referenced in 4a and or 4b above,</w:t>
      </w:r>
      <w:r w:rsidR="00410A68">
        <w:t xml:space="preserve"> </w:t>
      </w:r>
      <w:r>
        <w:t>adequate justification for</w:t>
      </w:r>
      <w:r w:rsidR="00410A68">
        <w:t xml:space="preserve"> </w:t>
      </w:r>
      <w:r>
        <w:t>ERCOT’s</w:t>
      </w:r>
      <w:r w:rsidR="00410A68">
        <w:t xml:space="preserve"> departure from the otherwise consistent use of steady state modeling analysis used for clustering analysis?</w:t>
      </w:r>
    </w:p>
    <w:p w:rsidR="00774FB0" w:rsidRDefault="00774FB0" w:rsidP="0072489A">
      <w:pPr>
        <w:pStyle w:val="ItemList"/>
        <w:numPr>
          <w:ilvl w:val="0"/>
          <w:numId w:val="10"/>
        </w:numPr>
      </w:pPr>
      <w:r>
        <w:t>Did the ERCOT board's action in remanding the clustering analysis decision for a joint wholesale market subcommittee and technical advisory committee meeting resolve the protocol process issues raised by AEP in its appeal?</w:t>
      </w:r>
    </w:p>
    <w:p w:rsidR="0065065E" w:rsidRDefault="0065065E" w:rsidP="0065065E">
      <w:pPr>
        <w:pStyle w:val="ItemList"/>
        <w:numPr>
          <w:ilvl w:val="0"/>
          <w:numId w:val="10"/>
        </w:numPr>
      </w:pPr>
      <w:r>
        <w:t xml:space="preserve">What specifically were the operational concerns </w:t>
      </w:r>
      <w:r w:rsidR="006040A8">
        <w:t>relied upon</w:t>
      </w:r>
      <w:r w:rsidR="007335E8">
        <w:t xml:space="preserve"> by </w:t>
      </w:r>
      <w:r>
        <w:t>ERCOT that necessitated the last minute addition of a new Scenario 3i?</w:t>
      </w:r>
    </w:p>
    <w:p w:rsidR="00FF3B5D" w:rsidRDefault="00FF3B5D" w:rsidP="0065065E">
      <w:pPr>
        <w:pStyle w:val="ItemList"/>
        <w:numPr>
          <w:ilvl w:val="0"/>
          <w:numId w:val="10"/>
        </w:numPr>
      </w:pPr>
      <w:r>
        <w:lastRenderedPageBreak/>
        <w:t>If operational concerns, as opposed to reliability issues, were the basis for ERCOT’s decision to base its 2009 congestion management zones upon scenario 3i, is that adequate justification for use of scenario 3i?</w:t>
      </w:r>
    </w:p>
    <w:p w:rsidR="00BD4776" w:rsidRDefault="00BD4776" w:rsidP="0065065E">
      <w:pPr>
        <w:pStyle w:val="ItemList"/>
        <w:numPr>
          <w:ilvl w:val="0"/>
          <w:numId w:val="10"/>
        </w:numPr>
      </w:pPr>
      <w:r>
        <w:t xml:space="preserve">If ERCOT’s operational concerns, as referenced in 4d or 4e above are based in whole or in part on </w:t>
      </w:r>
      <w:r w:rsidRPr="005E610F">
        <w:t>market costs</w:t>
      </w:r>
      <w:r>
        <w:t xml:space="preserve"> </w:t>
      </w:r>
      <w:r w:rsidR="00DC7163">
        <w:t>impl</w:t>
      </w:r>
      <w:r>
        <w:t>i</w:t>
      </w:r>
      <w:r w:rsidR="00DC7163">
        <w:t>cati</w:t>
      </w:r>
      <w:r>
        <w:t xml:space="preserve">ons, what were the specific </w:t>
      </w:r>
      <w:r w:rsidRPr="005E610F">
        <w:t xml:space="preserve">market costs </w:t>
      </w:r>
      <w:r w:rsidR="00DC7163">
        <w:t>implications</w:t>
      </w:r>
      <w:r w:rsidR="00E9306F">
        <w:t xml:space="preserve"> and how do they </w:t>
      </w:r>
      <w:r w:rsidR="00A008EA">
        <w:t>influence</w:t>
      </w:r>
      <w:r w:rsidR="00E9306F">
        <w:t xml:space="preserve"> operational flexibility or benefits</w:t>
      </w:r>
      <w:r>
        <w:t>?</w:t>
      </w:r>
    </w:p>
    <w:p w:rsidR="00410A68" w:rsidRDefault="00410A68" w:rsidP="0065065E">
      <w:pPr>
        <w:pStyle w:val="ItemList"/>
        <w:numPr>
          <w:ilvl w:val="0"/>
          <w:numId w:val="10"/>
        </w:numPr>
      </w:pPr>
      <w:r>
        <w:t xml:space="preserve">If ERCOT’s operational concerns </w:t>
      </w:r>
      <w:r w:rsidR="0093049D">
        <w:t>are</w:t>
      </w:r>
      <w:r>
        <w:t xml:space="preserve"> based in whole or in part on </w:t>
      </w:r>
      <w:r w:rsidRPr="005E610F">
        <w:t>market costs</w:t>
      </w:r>
      <w:r>
        <w:t xml:space="preserve"> </w:t>
      </w:r>
      <w:r w:rsidR="00DC7163">
        <w:t>implications</w:t>
      </w:r>
      <w:r>
        <w:t xml:space="preserve">, did ERCOT substantively violate § 7.2.2 by taking into consideration these </w:t>
      </w:r>
      <w:r w:rsidRPr="005E610F">
        <w:t xml:space="preserve">market costs </w:t>
      </w:r>
      <w:r w:rsidR="00DC7163">
        <w:t xml:space="preserve">implications </w:t>
      </w:r>
      <w:r w:rsidR="00A008EA">
        <w:t xml:space="preserve">in </w:t>
      </w:r>
      <w:r w:rsidR="00DC7163">
        <w:t>perform</w:t>
      </w:r>
      <w:r w:rsidR="00A008EA">
        <w:t>ing the clustering analysis</w:t>
      </w:r>
      <w:r>
        <w:t>?</w:t>
      </w:r>
    </w:p>
    <w:p w:rsidR="003D63F6" w:rsidRDefault="003D63F6" w:rsidP="0065065E">
      <w:pPr>
        <w:pStyle w:val="ItemList"/>
        <w:numPr>
          <w:ilvl w:val="0"/>
          <w:numId w:val="10"/>
        </w:numPr>
      </w:pPr>
      <w:r>
        <w:t xml:space="preserve">If </w:t>
      </w:r>
      <w:r w:rsidR="00442C5B">
        <w:t xml:space="preserve">ERCOT protocols allow </w:t>
      </w:r>
      <w:r>
        <w:t>market participants</w:t>
      </w:r>
      <w:r w:rsidR="00442C5B">
        <w:t>,</w:t>
      </w:r>
      <w:r>
        <w:t xml:space="preserve"> such as AEP</w:t>
      </w:r>
      <w:r w:rsidR="00442C5B">
        <w:t>,</w:t>
      </w:r>
      <w:r>
        <w:t xml:space="preserve"> </w:t>
      </w:r>
      <w:r w:rsidR="00442C5B">
        <w:t>to be legitimately</w:t>
      </w:r>
      <w:r>
        <w:t xml:space="preserve"> subject to disparate impact based upon the </w:t>
      </w:r>
      <w:r w:rsidR="00442C5B">
        <w:t xml:space="preserve">ERCOT congestion </w:t>
      </w:r>
      <w:r>
        <w:t>zone in which they are located</w:t>
      </w:r>
      <w:r w:rsidR="00442C5B">
        <w:t>, do any ERCOT protocols allow the congestion zone determination to be based upon market implications, and if so, under what circumstances?</w:t>
      </w:r>
      <w:r>
        <w:t xml:space="preserve"> </w:t>
      </w:r>
    </w:p>
    <w:p w:rsidR="00774FB0" w:rsidRDefault="00774FB0" w:rsidP="00774FB0">
      <w:pPr>
        <w:pStyle w:val="ItemList"/>
        <w:numPr>
          <w:ilvl w:val="0"/>
          <w:numId w:val="10"/>
        </w:numPr>
      </w:pPr>
      <w:r>
        <w:t xml:space="preserve">If actual or projected congestion was the basis of ERCOT’s adoption of scenario 3i, which generator(s) caused the congestion under ERCOT’s modeling?  </w:t>
      </w:r>
    </w:p>
    <w:p w:rsidR="00774FB0" w:rsidRDefault="00774FB0" w:rsidP="0065065E">
      <w:pPr>
        <w:pStyle w:val="ItemList"/>
        <w:numPr>
          <w:ilvl w:val="0"/>
          <w:numId w:val="10"/>
        </w:numPr>
      </w:pPr>
      <w:r>
        <w:t>If any parties contend that scenario 3i is the proper model because it assigns congestion costs to the “cost causer,” who is the “cost causer” and what is the basis for that assertion?</w:t>
      </w:r>
    </w:p>
    <w:p w:rsidR="00E42DF5" w:rsidRDefault="00E42DF5" w:rsidP="00E42DF5">
      <w:pPr>
        <w:pStyle w:val="ItemList"/>
        <w:numPr>
          <w:ilvl w:val="0"/>
          <w:numId w:val="10"/>
        </w:numPr>
      </w:pPr>
      <w:r>
        <w:t xml:space="preserve">Did certain market participants and ERCOT staff improperly collude in the </w:t>
      </w:r>
      <w:r w:rsidR="0093049D">
        <w:t>genesis of and or the adoption of</w:t>
      </w:r>
      <w:r>
        <w:t xml:space="preserve"> scenario 3i?</w:t>
      </w:r>
    </w:p>
    <w:p w:rsidR="00CD11A2" w:rsidRDefault="00CD11A2" w:rsidP="00CD11A2">
      <w:pPr>
        <w:pStyle w:val="ItemList"/>
        <w:numPr>
          <w:ilvl w:val="0"/>
          <w:numId w:val="10"/>
        </w:numPr>
      </w:pPr>
      <w:r>
        <w:t>Does leaving Oklaunion, in the West Congestion Management Zone require this coal plant to vary its output, and if so, does it violate any ERCOT protocols to require a c</w:t>
      </w:r>
      <w:r w:rsidR="005F1F8B">
        <w:t>oal plant to vary its output?  D</w:t>
      </w:r>
      <w:r>
        <w:t>oes any coal plant</w:t>
      </w:r>
      <w:r w:rsidR="005F1F8B">
        <w:t>, other than Oklaunion,</w:t>
      </w:r>
      <w:r>
        <w:t xml:space="preserve"> actually face this variable</w:t>
      </w:r>
      <w:r w:rsidR="005F1F8B">
        <w:t xml:space="preserve"> under the ERCOT approved 2009 congestion management zones</w:t>
      </w:r>
      <w:r>
        <w:t>?</w:t>
      </w:r>
    </w:p>
    <w:p w:rsidR="005F1F8B" w:rsidRDefault="005F1F8B" w:rsidP="005F1F8B">
      <w:pPr>
        <w:pStyle w:val="ItemList"/>
        <w:numPr>
          <w:ilvl w:val="0"/>
          <w:numId w:val="10"/>
        </w:numPr>
      </w:pPr>
      <w:r>
        <w:lastRenderedPageBreak/>
        <w:t xml:space="preserve">What are the costs associated with choosing another scenario, </w:t>
      </w:r>
      <w:r w:rsidR="00425C87">
        <w:t xml:space="preserve">in general terms and specifically </w:t>
      </w:r>
      <w:r>
        <w:t>scenario 3h, including the costs associated with possibly undoing transactions that have occurred since the 2009 congestion manag</w:t>
      </w:r>
      <w:r w:rsidR="0039740F">
        <w:t>ement zones have been in effect?</w:t>
      </w:r>
    </w:p>
    <w:p w:rsidR="00FB4E75" w:rsidRDefault="00DC7163" w:rsidP="00774FB0">
      <w:pPr>
        <w:pStyle w:val="ItemList"/>
        <w:numPr>
          <w:ilvl w:val="0"/>
          <w:numId w:val="10"/>
        </w:numPr>
      </w:pPr>
      <w:r>
        <w:t xml:space="preserve">What are the ERCOT market impacts, if any, associated with choosing another scenario, in general terms and specifically </w:t>
      </w:r>
      <w:r w:rsidR="009774F1">
        <w:t xml:space="preserve">for </w:t>
      </w:r>
      <w:r>
        <w:t xml:space="preserve">scenario </w:t>
      </w:r>
      <w:r w:rsidR="009774F1">
        <w:t>3h, which is: (</w:t>
      </w:r>
      <w:proofErr w:type="spellStart"/>
      <w:r w:rsidR="009774F1">
        <w:t>i</w:t>
      </w:r>
      <w:proofErr w:type="spellEnd"/>
      <w:r w:rsidR="009774F1">
        <w:t>) retroactively effective on January 1, 2009, or (ii) effective contemporaneously with the Commission’s order on AEP’s appeal?</w:t>
      </w:r>
    </w:p>
    <w:p w:rsidR="00275B22" w:rsidRPr="003C35B5" w:rsidRDefault="00275B22">
      <w:r w:rsidRPr="003C35B5">
        <w:tab/>
        <w:t xml:space="preserve">This list of issues is not intended to be exhaustive.  The parties and the ALJ are free to raise and address any </w:t>
      </w:r>
      <w:r w:rsidR="0089088D">
        <w:t xml:space="preserve">additional </w:t>
      </w:r>
      <w:r w:rsidRPr="003C35B5">
        <w:t xml:space="preserve">issues relevant in this docket that </w:t>
      </w:r>
      <w:r w:rsidR="004F252A">
        <w:t>are</w:t>
      </w:r>
      <w:r w:rsidRPr="003C35B5">
        <w:t xml:space="preserve"> deem</w:t>
      </w:r>
      <w:r w:rsidR="004F252A">
        <w:t>ed</w:t>
      </w:r>
      <w:r w:rsidRPr="003C35B5">
        <w:t xml:space="preserve"> necessary by the ALJ, or by the Commission in future orders issued in this docket.  </w:t>
      </w:r>
      <w:r w:rsidR="004633B4">
        <w:t>In addition</w:t>
      </w:r>
      <w:r w:rsidR="00544994">
        <w:t>,</w:t>
      </w:r>
      <w:r w:rsidR="004633B4">
        <w:t xml:space="preserve"> t</w:t>
      </w:r>
      <w:r w:rsidRPr="003C35B5">
        <w:t xml:space="preserve">he Commission </w:t>
      </w:r>
      <w:r w:rsidR="004633B4">
        <w:t>may</w:t>
      </w:r>
      <w:r w:rsidRPr="003C35B5">
        <w:t xml:space="preserve"> identify and provide to the ALJ in the future additional issues </w:t>
      </w:r>
      <w:r w:rsidR="00E05A4B">
        <w:t>or areas that must be addressed.</w:t>
      </w:r>
      <w:r w:rsidRPr="003C35B5">
        <w:t xml:space="preserve"> </w:t>
      </w:r>
    </w:p>
    <w:p w:rsidR="00275B22" w:rsidRPr="003C35B5" w:rsidRDefault="00275B22">
      <w:pPr>
        <w:spacing w:before="0"/>
        <w:jc w:val="left"/>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777688">
        <w:rPr>
          <w:b/>
        </w:rPr>
        <w:t>April 2009.</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BARRY T. SMITHERMAN</w:t>
      </w:r>
      <w:r w:rsidR="002B0DD0" w:rsidRPr="003C35B5">
        <w:rPr>
          <w:b/>
        </w:rPr>
        <w:t xml:space="preserve">, CHAIRMAN </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275B22"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COMMISSIONER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D07FE4" w:rsidRPr="003C35B5" w:rsidRDefault="00D07FE4">
      <w:pPr>
        <w:spacing w:before="0" w:line="240" w:lineRule="auto"/>
        <w:rPr>
          <w:b/>
        </w:rPr>
      </w:pPr>
    </w:p>
    <w:p w:rsidR="002B0DD0" w:rsidRPr="003C35B5" w:rsidRDefault="002B0DD0">
      <w:pPr>
        <w:spacing w:before="0" w:line="240" w:lineRule="auto"/>
        <w:rPr>
          <w:b/>
        </w:rPr>
      </w:pPr>
    </w:p>
    <w:p w:rsidR="002B0DD0" w:rsidRPr="003C35B5" w:rsidRDefault="002B0DD0">
      <w:pPr>
        <w:spacing w:before="0" w:line="240" w:lineRule="auto"/>
        <w:rPr>
          <w:b/>
        </w:rPr>
      </w:pPr>
    </w:p>
    <w:p w:rsidR="002B0DD0" w:rsidRPr="003C35B5" w:rsidRDefault="00F02756" w:rsidP="00091DED">
      <w:pPr>
        <w:rPr>
          <w:sz w:val="16"/>
        </w:rPr>
      </w:pPr>
      <w:fldSimple w:instr=" FILENAME \* Lower\p \* MERGEFORMAT ">
        <w:r w:rsidR="00091DED">
          <w:rPr>
            <w:noProof/>
            <w:sz w:val="16"/>
          </w:rPr>
          <w:t>q:\cadm\majdkts\36416-ercot appeal\36416po.docx</w:t>
        </w:r>
      </w:fldSimple>
      <w:r w:rsidR="007F3C40" w:rsidRPr="003C35B5">
        <w:rPr>
          <w:sz w:val="16"/>
        </w:rPr>
        <w:t xml:space="preserve">  </w:t>
      </w:r>
    </w:p>
    <w:sectPr w:rsidR="002B0DD0" w:rsidRPr="003C35B5" w:rsidSect="00E3423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158" w:rsidRDefault="003E0158">
      <w:r>
        <w:separator/>
      </w:r>
    </w:p>
  </w:endnote>
  <w:endnote w:type="continuationSeparator" w:id="1">
    <w:p w:rsidR="003E0158" w:rsidRDefault="003E01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158" w:rsidRDefault="003E0158" w:rsidP="00995701">
    <w:pPr>
      <w:pStyle w:val="Footer"/>
      <w:numPr>
        <w:ilvl w:val="0"/>
        <w:numId w:val="2"/>
      </w:num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158" w:rsidRDefault="003E0158" w:rsidP="007F3C40">
    <w:pPr>
      <w:pStyle w:val="Footer"/>
      <w:ind w:left="0"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158" w:rsidRDefault="003E0158">
      <w:r>
        <w:separator/>
      </w:r>
    </w:p>
  </w:footnote>
  <w:footnote w:type="continuationSeparator" w:id="1">
    <w:p w:rsidR="003E0158" w:rsidRDefault="003E01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158" w:rsidRDefault="003E0158">
    <w:pPr>
      <w:pStyle w:val="Header"/>
      <w:spacing w:before="0" w:line="240" w:lineRule="auto"/>
    </w:pPr>
    <w:r w:rsidRPr="00D07FE4">
      <w:rPr>
        <w:sz w:val="20"/>
      </w:rPr>
      <w:t xml:space="preserve">Docket No. </w:t>
    </w:r>
    <w:r>
      <w:rPr>
        <w:sz w:val="20"/>
      </w:rPr>
      <w:t>36416</w:t>
    </w:r>
    <w:r w:rsidRPr="00D07FE4">
      <w:rPr>
        <w:rStyle w:val="PageNumber"/>
        <w:sz w:val="20"/>
      </w:rPr>
      <w:t xml:space="preserve"> </w:t>
    </w:r>
    <w:r w:rsidRPr="00D07FE4">
      <w:rPr>
        <w:sz w:val="20"/>
      </w:rPr>
      <w:tab/>
    </w:r>
    <w:r w:rsidR="00544994">
      <w:rPr>
        <w:sz w:val="20"/>
      </w:rPr>
      <w:t xml:space="preserve">Draft </w:t>
    </w:r>
    <w:r w:rsidRPr="00D07FE4">
      <w:rPr>
        <w:sz w:val="20"/>
      </w:rPr>
      <w:t>Preliminary Order</w:t>
    </w:r>
    <w:r w:rsidRPr="00D07FE4">
      <w:rPr>
        <w:sz w:val="20"/>
      </w:rPr>
      <w:tab/>
      <w:t xml:space="preserve">Page </w:t>
    </w:r>
    <w:r w:rsidR="00F02756" w:rsidRPr="00D07FE4">
      <w:rPr>
        <w:rStyle w:val="PageNumber"/>
        <w:sz w:val="20"/>
      </w:rPr>
      <w:fldChar w:fldCharType="begin"/>
    </w:r>
    <w:r w:rsidRPr="00D07FE4">
      <w:rPr>
        <w:rStyle w:val="PageNumber"/>
        <w:sz w:val="20"/>
      </w:rPr>
      <w:instrText xml:space="preserve"> PAGE </w:instrText>
    </w:r>
    <w:r w:rsidR="00F02756" w:rsidRPr="00D07FE4">
      <w:rPr>
        <w:rStyle w:val="PageNumber"/>
        <w:sz w:val="20"/>
      </w:rPr>
      <w:fldChar w:fldCharType="separate"/>
    </w:r>
    <w:r w:rsidR="00544994">
      <w:rPr>
        <w:rStyle w:val="PageNumber"/>
        <w:noProof/>
        <w:sz w:val="20"/>
      </w:rPr>
      <w:t>5</w:t>
    </w:r>
    <w:r w:rsidR="00F02756" w:rsidRPr="00D07FE4">
      <w:rPr>
        <w:rStyle w:val="PageNumber"/>
        <w:sz w:val="20"/>
      </w:rPr>
      <w:fldChar w:fldCharType="end"/>
    </w:r>
    <w:r w:rsidRPr="00D07FE4">
      <w:rPr>
        <w:rStyle w:val="PageNumber"/>
        <w:sz w:val="20"/>
      </w:rPr>
      <w:t xml:space="preserve"> of </w:t>
    </w:r>
    <w:r w:rsidR="00F02756" w:rsidRPr="00D07FE4">
      <w:rPr>
        <w:rStyle w:val="PageNumber"/>
        <w:sz w:val="20"/>
      </w:rPr>
      <w:fldChar w:fldCharType="begin"/>
    </w:r>
    <w:r w:rsidRPr="00D07FE4">
      <w:rPr>
        <w:rStyle w:val="PageNumber"/>
        <w:sz w:val="20"/>
      </w:rPr>
      <w:instrText xml:space="preserve"> NUMPAGES </w:instrText>
    </w:r>
    <w:r w:rsidR="00F02756" w:rsidRPr="00D07FE4">
      <w:rPr>
        <w:rStyle w:val="PageNumber"/>
        <w:sz w:val="20"/>
      </w:rPr>
      <w:fldChar w:fldCharType="separate"/>
    </w:r>
    <w:r w:rsidR="00544994">
      <w:rPr>
        <w:rStyle w:val="PageNumber"/>
        <w:noProof/>
        <w:sz w:val="20"/>
      </w:rPr>
      <w:t>5</w:t>
    </w:r>
    <w:r w:rsidR="00F02756" w:rsidRPr="00D07FE4">
      <w:rPr>
        <w:rStyle w:val="PageNumber"/>
        <w:sz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2259688B"/>
    <w:multiLevelType w:val="hybridMultilevel"/>
    <w:tmpl w:val="D2EEA9F0"/>
    <w:lvl w:ilvl="0" w:tplc="B3987D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C5442D"/>
    <w:multiLevelType w:val="singleLevel"/>
    <w:tmpl w:val="59324114"/>
    <w:lvl w:ilvl="0">
      <w:start w:val="1"/>
      <w:numFmt w:val="decimal"/>
      <w:lvlText w:val="%1."/>
      <w:legacy w:legacy="1" w:legacySpace="0" w:legacyIndent="360"/>
      <w:lvlJc w:val="left"/>
      <w:pPr>
        <w:ind w:left="360" w:hanging="360"/>
      </w:pPr>
    </w:lvl>
  </w:abstractNum>
  <w:abstractNum w:abstractNumId="6">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8">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5"/>
  </w:num>
  <w:num w:numId="2">
    <w:abstractNumId w:val="0"/>
  </w:num>
  <w:num w:numId="3">
    <w:abstractNumId w:val="7"/>
  </w:num>
  <w:num w:numId="4">
    <w:abstractNumId w:val="6"/>
  </w:num>
  <w:num w:numId="5">
    <w:abstractNumId w:val="8"/>
  </w:num>
  <w:num w:numId="6">
    <w:abstractNumId w:val="1"/>
  </w:num>
  <w:num w:numId="7">
    <w:abstractNumId w:val="2"/>
  </w:num>
  <w:num w:numId="8">
    <w:abstractNumId w:val="4"/>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attachedTemplate r:id="rId1"/>
  <w:stylePaneFormatFilter w:val="3F01"/>
  <w:defaultTabStop w:val="720"/>
  <w:doNotHyphenateCap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F54517"/>
    <w:rsid w:val="0000092F"/>
    <w:rsid w:val="00042F71"/>
    <w:rsid w:val="00072267"/>
    <w:rsid w:val="000760DA"/>
    <w:rsid w:val="00091DED"/>
    <w:rsid w:val="000B6013"/>
    <w:rsid w:val="0012543C"/>
    <w:rsid w:val="001C225E"/>
    <w:rsid w:val="001F0846"/>
    <w:rsid w:val="001F1B2C"/>
    <w:rsid w:val="002133F3"/>
    <w:rsid w:val="00232BA6"/>
    <w:rsid w:val="002332A5"/>
    <w:rsid w:val="00275B22"/>
    <w:rsid w:val="002A4B5A"/>
    <w:rsid w:val="002B0DD0"/>
    <w:rsid w:val="003243A0"/>
    <w:rsid w:val="003572F8"/>
    <w:rsid w:val="00364BA2"/>
    <w:rsid w:val="0039740F"/>
    <w:rsid w:val="003A255D"/>
    <w:rsid w:val="003C2F62"/>
    <w:rsid w:val="003C35B5"/>
    <w:rsid w:val="003D1D8E"/>
    <w:rsid w:val="003D63F6"/>
    <w:rsid w:val="003E0158"/>
    <w:rsid w:val="003F767A"/>
    <w:rsid w:val="00410A68"/>
    <w:rsid w:val="00425C87"/>
    <w:rsid w:val="00442C5B"/>
    <w:rsid w:val="00444D24"/>
    <w:rsid w:val="004633B4"/>
    <w:rsid w:val="004713F2"/>
    <w:rsid w:val="004C264D"/>
    <w:rsid w:val="004E3AD7"/>
    <w:rsid w:val="004F252A"/>
    <w:rsid w:val="004F77CC"/>
    <w:rsid w:val="00544994"/>
    <w:rsid w:val="005B5B97"/>
    <w:rsid w:val="005E610F"/>
    <w:rsid w:val="005F1F8B"/>
    <w:rsid w:val="006040A8"/>
    <w:rsid w:val="006312D3"/>
    <w:rsid w:val="0065065E"/>
    <w:rsid w:val="00653486"/>
    <w:rsid w:val="00676438"/>
    <w:rsid w:val="00683707"/>
    <w:rsid w:val="00695811"/>
    <w:rsid w:val="006F000D"/>
    <w:rsid w:val="00721417"/>
    <w:rsid w:val="0072489A"/>
    <w:rsid w:val="007307F3"/>
    <w:rsid w:val="007335E8"/>
    <w:rsid w:val="0074722F"/>
    <w:rsid w:val="00774FB0"/>
    <w:rsid w:val="00777688"/>
    <w:rsid w:val="007A5644"/>
    <w:rsid w:val="007B04CB"/>
    <w:rsid w:val="007C299C"/>
    <w:rsid w:val="007F3C40"/>
    <w:rsid w:val="007F689B"/>
    <w:rsid w:val="008342FA"/>
    <w:rsid w:val="0089088D"/>
    <w:rsid w:val="008C0437"/>
    <w:rsid w:val="008C7F0C"/>
    <w:rsid w:val="00917E2A"/>
    <w:rsid w:val="009264E7"/>
    <w:rsid w:val="0093049D"/>
    <w:rsid w:val="00941A17"/>
    <w:rsid w:val="009665E4"/>
    <w:rsid w:val="009774F1"/>
    <w:rsid w:val="00995701"/>
    <w:rsid w:val="009F1850"/>
    <w:rsid w:val="00A008EA"/>
    <w:rsid w:val="00A13B1A"/>
    <w:rsid w:val="00A312A0"/>
    <w:rsid w:val="00AA36AA"/>
    <w:rsid w:val="00AC2D6E"/>
    <w:rsid w:val="00AD0759"/>
    <w:rsid w:val="00AF6D8B"/>
    <w:rsid w:val="00B10142"/>
    <w:rsid w:val="00BA289E"/>
    <w:rsid w:val="00BD4776"/>
    <w:rsid w:val="00C15554"/>
    <w:rsid w:val="00C2483A"/>
    <w:rsid w:val="00C35689"/>
    <w:rsid w:val="00CD11A2"/>
    <w:rsid w:val="00CE470D"/>
    <w:rsid w:val="00D07FE4"/>
    <w:rsid w:val="00D10A2B"/>
    <w:rsid w:val="00D946F0"/>
    <w:rsid w:val="00DC7163"/>
    <w:rsid w:val="00DF7EDB"/>
    <w:rsid w:val="00E05A4B"/>
    <w:rsid w:val="00E27A04"/>
    <w:rsid w:val="00E34235"/>
    <w:rsid w:val="00E42DF5"/>
    <w:rsid w:val="00E575D1"/>
    <w:rsid w:val="00E9306F"/>
    <w:rsid w:val="00F02756"/>
    <w:rsid w:val="00F5125F"/>
    <w:rsid w:val="00F54517"/>
    <w:rsid w:val="00FA357E"/>
    <w:rsid w:val="00FB4E75"/>
    <w:rsid w:val="00FF3B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4235"/>
    <w:pPr>
      <w:spacing w:before="240" w:line="360" w:lineRule="auto"/>
      <w:jc w:val="both"/>
    </w:pPr>
    <w:rPr>
      <w:sz w:val="24"/>
    </w:rPr>
  </w:style>
  <w:style w:type="paragraph" w:styleId="Heading1">
    <w:name w:val="heading 1"/>
    <w:basedOn w:val="Normal"/>
    <w:next w:val="Normal"/>
    <w:qFormat/>
    <w:rsid w:val="00E34235"/>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rsid w:val="00E34235"/>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rsid w:val="00E34235"/>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sid w:val="00E34235"/>
    <w:rPr>
      <w:rFonts w:ascii="Letter Gothic" w:hAnsi="Letter Gothic"/>
      <w:caps/>
      <w:sz w:val="20"/>
    </w:rPr>
  </w:style>
  <w:style w:type="character" w:customStyle="1" w:styleId="BIG10PITCHCOURIERPRINT">
    <w:name w:val="BIG (10 PITCH COURIER) PRINT"/>
    <w:rsid w:val="00E34235"/>
  </w:style>
  <w:style w:type="character" w:customStyle="1" w:styleId="BOLDCHARACTERS">
    <w:name w:val="BOLD CHARACTERS"/>
    <w:rsid w:val="00E34235"/>
    <w:rPr>
      <w:rFonts w:ascii="Letter Gothic" w:hAnsi="Letter Gothic"/>
      <w:b/>
      <w:sz w:val="20"/>
    </w:rPr>
  </w:style>
  <w:style w:type="character" w:customStyle="1" w:styleId="BOLDITALICCHARACTERS">
    <w:name w:val="BOLD ITALIC CHARACTERS"/>
    <w:rsid w:val="00E34235"/>
    <w:rPr>
      <w:rFonts w:ascii="Letter Gothic" w:hAnsi="Letter Gothic"/>
      <w:b/>
      <w:i/>
      <w:sz w:val="20"/>
    </w:rPr>
  </w:style>
  <w:style w:type="character" w:customStyle="1" w:styleId="BOLDUNDERLINEDCHARACTERS">
    <w:name w:val="BOLD UNDERLINED CHARACTERS"/>
    <w:rsid w:val="00E34235"/>
    <w:rPr>
      <w:rFonts w:ascii="Letter Gothic" w:hAnsi="Letter Gothic"/>
      <w:b/>
      <w:sz w:val="20"/>
      <w:u w:val="single"/>
    </w:rPr>
  </w:style>
  <w:style w:type="paragraph" w:customStyle="1" w:styleId="CAPTION-BOLD">
    <w:name w:val="CAPTION - BOLD"/>
    <w:aliases w:val="SS"/>
    <w:rsid w:val="00E34235"/>
    <w:pPr>
      <w:tabs>
        <w:tab w:val="left" w:pos="4680"/>
        <w:tab w:val="left" w:pos="5760"/>
        <w:tab w:val="left" w:pos="6912"/>
      </w:tabs>
      <w:spacing w:line="240" w:lineRule="exact"/>
    </w:pPr>
    <w:rPr>
      <w:rFonts w:ascii="Letter Gothic" w:hAnsi="Letter Gothic"/>
      <w:b/>
    </w:rPr>
  </w:style>
  <w:style w:type="paragraph" w:customStyle="1" w:styleId="CENTER">
    <w:name w:val="CENTER"/>
    <w:rsid w:val="00E34235"/>
    <w:pPr>
      <w:spacing w:before="240" w:line="240" w:lineRule="exact"/>
      <w:ind w:left="3096" w:right="3096"/>
    </w:pPr>
    <w:rPr>
      <w:rFonts w:ascii="Letter Gothic" w:hAnsi="Letter Gothic"/>
    </w:rPr>
  </w:style>
  <w:style w:type="character" w:customStyle="1" w:styleId="Character3">
    <w:name w:val="Character 3"/>
    <w:rsid w:val="00E34235"/>
    <w:rPr>
      <w:rFonts w:ascii="Letter Gothic" w:hAnsi="Letter Gothic"/>
      <w:sz w:val="20"/>
    </w:rPr>
  </w:style>
  <w:style w:type="character" w:customStyle="1" w:styleId="Character5">
    <w:name w:val="Character 5"/>
    <w:rsid w:val="00E34235"/>
    <w:rPr>
      <w:rFonts w:ascii="Letter Gothic" w:hAnsi="Letter Gothic"/>
      <w:sz w:val="20"/>
    </w:rPr>
  </w:style>
  <w:style w:type="paragraph" w:customStyle="1" w:styleId="CLOSINGIndenttomiddle">
    <w:name w:val="CLOSING (Indent to middle)"/>
    <w:rsid w:val="00E34235"/>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rsid w:val="00E34235"/>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basedOn w:val="DefaultParagraphFont"/>
    <w:semiHidden/>
    <w:rsid w:val="00E34235"/>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rsid w:val="00E34235"/>
    <w:pPr>
      <w:keepLines/>
      <w:tabs>
        <w:tab w:val="center" w:pos="4680"/>
        <w:tab w:val="right" w:pos="9360"/>
      </w:tabs>
      <w:spacing w:line="240" w:lineRule="exact"/>
    </w:pPr>
    <w:rPr>
      <w:b/>
    </w:rPr>
  </w:style>
  <w:style w:type="paragraph" w:customStyle="1" w:styleId="HI">
    <w:name w:val="HI"/>
    <w:rsid w:val="00E34235"/>
    <w:pPr>
      <w:tabs>
        <w:tab w:val="left" w:pos="1440"/>
      </w:tabs>
      <w:spacing w:line="360" w:lineRule="exact"/>
      <w:ind w:left="1440" w:hanging="720"/>
      <w:jc w:val="both"/>
    </w:pPr>
    <w:rPr>
      <w:rFonts w:ascii="Letter Gothic" w:hAnsi="Letter Gothic"/>
    </w:rPr>
  </w:style>
  <w:style w:type="character" w:customStyle="1" w:styleId="ITALICCHARACTERS">
    <w:name w:val="ITALIC CHARACTERS"/>
    <w:rsid w:val="00E34235"/>
    <w:rPr>
      <w:rFonts w:ascii="Letter Gothic" w:hAnsi="Letter Gothic"/>
      <w:i/>
      <w:sz w:val="20"/>
    </w:rPr>
  </w:style>
  <w:style w:type="paragraph" w:customStyle="1" w:styleId="LEFT">
    <w:name w:val="LEFT"/>
    <w:rsid w:val="00E34235"/>
    <w:pPr>
      <w:spacing w:before="240" w:line="240" w:lineRule="exact"/>
      <w:ind w:right="4320"/>
    </w:pPr>
    <w:rPr>
      <w:rFonts w:ascii="Letter Gothic" w:hAnsi="Letter Gothic"/>
    </w:rPr>
  </w:style>
  <w:style w:type="character" w:customStyle="1" w:styleId="LineDraw">
    <w:name w:val="Line Draw"/>
    <w:rsid w:val="00E34235"/>
  </w:style>
  <w:style w:type="paragraph" w:customStyle="1" w:styleId="Paragraph11">
    <w:name w:val="Paragraph 11"/>
    <w:rsid w:val="00E34235"/>
    <w:pPr>
      <w:spacing w:before="240" w:line="240" w:lineRule="exact"/>
      <w:ind w:left="6192"/>
    </w:pPr>
    <w:rPr>
      <w:rFonts w:ascii="Letter Gothic" w:hAnsi="Letter Gothic"/>
    </w:rPr>
  </w:style>
  <w:style w:type="paragraph" w:customStyle="1" w:styleId="Paragraph8">
    <w:name w:val="Paragraph 8"/>
    <w:rsid w:val="00E34235"/>
    <w:pPr>
      <w:spacing w:before="240" w:line="240" w:lineRule="exact"/>
      <w:ind w:right="6192"/>
    </w:pPr>
    <w:rPr>
      <w:rFonts w:ascii="Letter Gothic" w:hAnsi="Letter Gothic"/>
    </w:rPr>
  </w:style>
  <w:style w:type="paragraph" w:customStyle="1" w:styleId="QUOTES">
    <w:name w:val="QUOTES"/>
    <w:rsid w:val="00E34235"/>
    <w:pPr>
      <w:spacing w:before="360" w:line="240" w:lineRule="exact"/>
      <w:ind w:left="720" w:right="720"/>
      <w:jc w:val="both"/>
    </w:pPr>
    <w:rPr>
      <w:rFonts w:ascii="Letter Gothic" w:hAnsi="Letter Gothic"/>
    </w:rPr>
  </w:style>
  <w:style w:type="paragraph" w:customStyle="1" w:styleId="RIGHT">
    <w:name w:val="RIGHT"/>
    <w:rsid w:val="00E34235"/>
    <w:pPr>
      <w:spacing w:before="240" w:line="240" w:lineRule="exact"/>
      <w:ind w:left="5040"/>
    </w:pPr>
    <w:rPr>
      <w:rFonts w:ascii="Letter Gothic" w:hAnsi="Letter Gothic"/>
    </w:rPr>
  </w:style>
  <w:style w:type="paragraph" w:customStyle="1" w:styleId="SINGLESPACE">
    <w:name w:val="SINGLE SPACE"/>
    <w:aliases w:val="LEFT JUSTIFIED"/>
    <w:rsid w:val="00E34235"/>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rsid w:val="00E34235"/>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sid w:val="00E34235"/>
    <w:rPr>
      <w:rFonts w:ascii="Elite" w:hAnsi="Elite"/>
      <w:sz w:val="17"/>
    </w:rPr>
  </w:style>
  <w:style w:type="character" w:customStyle="1" w:styleId="UNDERLINEDCHARACTERS">
    <w:name w:val="UNDERLINED CHARACTERS"/>
    <w:rsid w:val="00E34235"/>
    <w:rPr>
      <w:rFonts w:ascii="Letter Gothic" w:hAnsi="Letter Gothic"/>
      <w:sz w:val="20"/>
      <w:u w:val="single"/>
    </w:rPr>
  </w:style>
  <w:style w:type="paragraph" w:customStyle="1" w:styleId="a">
    <w:name w:val="§"/>
    <w:rsid w:val="00E34235"/>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rsid w:val="00E34235"/>
    <w:pPr>
      <w:outlineLvl w:val="9"/>
    </w:pPr>
    <w:rPr>
      <w:caps w:val="0"/>
    </w:rPr>
  </w:style>
  <w:style w:type="paragraph" w:styleId="Footer">
    <w:name w:val="footer"/>
    <w:basedOn w:val="Normal"/>
    <w:rsid w:val="00E34235"/>
    <w:pPr>
      <w:tabs>
        <w:tab w:val="center" w:pos="4320"/>
        <w:tab w:val="right" w:pos="8640"/>
      </w:tabs>
      <w:spacing w:before="0"/>
      <w:ind w:left="360" w:hanging="360"/>
    </w:pPr>
  </w:style>
  <w:style w:type="character" w:styleId="PageNumber">
    <w:name w:val="page number"/>
    <w:basedOn w:val="DefaultParagraphFont"/>
    <w:rsid w:val="00E34235"/>
  </w:style>
  <w:style w:type="paragraph" w:customStyle="1" w:styleId="ItemList">
    <w:name w:val="Item List"/>
    <w:basedOn w:val="Normal"/>
    <w:rsid w:val="00E34235"/>
    <w:pPr>
      <w:spacing w:before="360"/>
      <w:ind w:left="720" w:hanging="720"/>
    </w:pPr>
  </w:style>
  <w:style w:type="paragraph" w:styleId="BodyText">
    <w:name w:val="Body Text"/>
    <w:basedOn w:val="Normal"/>
    <w:rsid w:val="002133F3"/>
    <w:pPr>
      <w:spacing w:before="0"/>
    </w:pPr>
  </w:style>
  <w:style w:type="paragraph" w:styleId="Subtitle">
    <w:name w:val="Subtitle"/>
    <w:basedOn w:val="Normal"/>
    <w:link w:val="SubtitleChar"/>
    <w:qFormat/>
    <w:rsid w:val="002133F3"/>
    <w:pPr>
      <w:spacing w:before="0"/>
      <w:jc w:val="center"/>
    </w:pPr>
    <w:rPr>
      <w:b/>
    </w:rPr>
  </w:style>
  <w:style w:type="character" w:customStyle="1" w:styleId="SubtitleChar">
    <w:name w:val="Subtitle Char"/>
    <w:basedOn w:val="DefaultParagraphFont"/>
    <w:link w:val="Subtitle"/>
    <w:rsid w:val="00FA357E"/>
    <w:rPr>
      <w:b/>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136F4-7C4C-4CAD-ACFD-DC8397D9E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755</TotalTime>
  <Pages>5</Pages>
  <Words>1344</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Mark Hovenkamp</dc:creator>
  <cp:lastModifiedBy>nhernandez</cp:lastModifiedBy>
  <cp:revision>42</cp:revision>
  <cp:lastPrinted>2009-04-16T21:29:00Z</cp:lastPrinted>
  <dcterms:created xsi:type="dcterms:W3CDTF">2009-04-15T15:22:00Z</dcterms:created>
  <dcterms:modified xsi:type="dcterms:W3CDTF">2009-04-16T21:31:00Z</dcterms:modified>
</cp:coreProperties>
</file>